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392430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67" w:lineRule="exact"/>
        <w:rPr>
          <w:sz w:val="24"/>
          <w:szCs w:val="24"/>
          <w:color w:val="auto"/>
        </w:rPr>
      </w:pPr>
    </w:p>
    <w:p>
      <w:pPr>
        <w:ind w:left="2900" w:right="1680" w:hanging="2674"/>
        <w:spacing w:after="0" w:line="305" w:lineRule="auto"/>
        <w:tabs>
          <w:tab w:leader="none" w:pos="604"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9/30/2018</w:t>
      </w:r>
    </w:p>
    <w:p>
      <w:pPr>
        <w:spacing w:after="0" w:line="30" w:lineRule="exact"/>
        <w:rPr>
          <w:sz w:val="24"/>
          <w:szCs w:val="24"/>
          <w:color w:val="auto"/>
        </w:rPr>
      </w:pPr>
    </w:p>
    <w:p>
      <w:pPr>
        <w:ind w:left="3420" w:right="1640" w:hanging="3194"/>
        <w:spacing w:after="0" w:line="284" w:lineRule="auto"/>
        <w:tabs>
          <w:tab w:leader="none" w:pos="617"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No. 0-15950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FIRST BUSEY CORPORATION</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3"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4020" w:type="dxa"/>
            <w:vAlign w:val="bottom"/>
          </w:tcPr>
          <w:p>
            <w:pPr>
              <w:jc w:val="center"/>
              <w:ind w:right="830"/>
              <w:spacing w:after="0"/>
              <w:rPr>
                <w:sz w:val="20"/>
                <w:szCs w:val="20"/>
                <w:color w:val="auto"/>
              </w:rPr>
            </w:pPr>
            <w:r>
              <w:rPr>
                <w:rFonts w:ascii="Arial" w:cs="Arial" w:eastAsia="Arial" w:hAnsi="Arial"/>
                <w:sz w:val="18"/>
                <w:szCs w:val="18"/>
                <w:b w:val="1"/>
                <w:bCs w:val="1"/>
                <w:color w:val="auto"/>
                <w:w w:val="90"/>
              </w:rPr>
              <w:t>Nevada</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c>
          <w:tcPr>
            <w:tcW w:w="0" w:type="dxa"/>
            <w:vAlign w:val="bottom"/>
          </w:tcPr>
          <w:p>
            <w:pPr>
              <w:spacing w:after="0"/>
              <w:rPr>
                <w:sz w:val="1"/>
                <w:szCs w:val="1"/>
                <w:color w:val="auto"/>
              </w:rPr>
            </w:pPr>
          </w:p>
        </w:tc>
      </w:tr>
      <w:tr>
        <w:trPr>
          <w:trHeight w:val="176"/>
        </w:trPr>
        <w:tc>
          <w:tcPr>
            <w:tcW w:w="4020" w:type="dxa"/>
            <w:vAlign w:val="bottom"/>
          </w:tcPr>
          <w:p>
            <w:pPr>
              <w:jc w:val="center"/>
              <w:ind w:right="830"/>
              <w:spacing w:after="0" w:line="176" w:lineRule="exact"/>
              <w:rPr>
                <w:sz w:val="20"/>
                <w:szCs w:val="20"/>
                <w:color w:val="auto"/>
              </w:rPr>
            </w:pPr>
            <w:r>
              <w:rPr>
                <w:rFonts w:ascii="Arial" w:cs="Arial" w:eastAsia="Arial" w:hAnsi="Arial"/>
                <w:sz w:val="18"/>
                <w:szCs w:val="18"/>
                <w:color w:val="auto"/>
                <w:w w:val="92"/>
              </w:rPr>
              <w:t>(State or other jurisdiction of incorporation</w:t>
            </w:r>
          </w:p>
        </w:tc>
        <w:tc>
          <w:tcPr>
            <w:tcW w:w="3540" w:type="dxa"/>
            <w:vAlign w:val="bottom"/>
          </w:tcPr>
          <w:p>
            <w:pPr>
              <w:jc w:val="center"/>
              <w:ind w:left="830"/>
              <w:spacing w:after="0" w:line="176"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198"/>
        </w:trPr>
        <w:tc>
          <w:tcPr>
            <w:tcW w:w="4020" w:type="dxa"/>
            <w:vAlign w:val="bottom"/>
          </w:tcPr>
          <w:p>
            <w:pPr>
              <w:jc w:val="center"/>
              <w:ind w:right="830"/>
              <w:spacing w:after="0" w:line="198" w:lineRule="exact"/>
              <w:rPr>
                <w:sz w:val="20"/>
                <w:szCs w:val="20"/>
                <w:color w:val="auto"/>
              </w:rPr>
            </w:pPr>
            <w:r>
              <w:rPr>
                <w:rFonts w:ascii="Arial" w:cs="Arial" w:eastAsia="Arial" w:hAnsi="Arial"/>
                <w:sz w:val="18"/>
                <w:szCs w:val="18"/>
                <w:color w:val="auto"/>
                <w:w w:val="91"/>
              </w:rPr>
              <w:t>or organization)</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20" w:type="dxa"/>
            <w:vAlign w:val="bottom"/>
          </w:tcPr>
          <w:p>
            <w:pPr>
              <w:jc w:val="center"/>
              <w:ind w:right="830"/>
              <w:spacing w:after="0" w:line="181" w:lineRule="exact"/>
              <w:rPr>
                <w:sz w:val="20"/>
                <w:szCs w:val="20"/>
                <w:color w:val="auto"/>
              </w:rPr>
            </w:pPr>
            <w:r>
              <w:rPr>
                <w:rFonts w:ascii="Arial" w:cs="Arial" w:eastAsia="Arial" w:hAnsi="Arial"/>
                <w:sz w:val="18"/>
                <w:szCs w:val="18"/>
                <w:b w:val="1"/>
                <w:bCs w:val="1"/>
                <w:color w:val="auto"/>
                <w:w w:val="90"/>
              </w:rPr>
              <w:t>100 W. University Ave.</w:t>
            </w:r>
          </w:p>
        </w:tc>
        <w:tc>
          <w:tcPr>
            <w:tcW w:w="3540" w:type="dxa"/>
            <w:vAlign w:val="bottom"/>
            <w:vMerge w:val="restart"/>
          </w:tcPr>
          <w:p>
            <w:pPr>
              <w:jc w:val="right"/>
              <w:ind w:right="1010"/>
              <w:spacing w:after="0"/>
              <w:rPr>
                <w:sz w:val="20"/>
                <w:szCs w:val="20"/>
                <w:color w:val="auto"/>
              </w:rPr>
            </w:pPr>
            <w:r>
              <w:rPr>
                <w:rFonts w:ascii="Arial" w:cs="Arial" w:eastAsia="Arial" w:hAnsi="Arial"/>
                <w:sz w:val="18"/>
                <w:szCs w:val="18"/>
                <w:b w:val="1"/>
                <w:bCs w:val="1"/>
                <w:color w:val="auto"/>
              </w:rPr>
              <w:t>61820</w:t>
            </w:r>
          </w:p>
        </w:tc>
        <w:tc>
          <w:tcPr>
            <w:tcW w:w="0" w:type="dxa"/>
            <w:vAlign w:val="bottom"/>
          </w:tcPr>
          <w:p>
            <w:pPr>
              <w:spacing w:after="0"/>
              <w:rPr>
                <w:sz w:val="1"/>
                <w:szCs w:val="1"/>
                <w:color w:val="auto"/>
              </w:rPr>
            </w:pPr>
          </w:p>
        </w:tc>
      </w:tr>
      <w:tr>
        <w:trPr>
          <w:trHeight w:val="176"/>
        </w:trPr>
        <w:tc>
          <w:tcPr>
            <w:tcW w:w="4020" w:type="dxa"/>
            <w:vAlign w:val="bottom"/>
          </w:tcPr>
          <w:p>
            <w:pPr>
              <w:jc w:val="center"/>
              <w:ind w:right="810"/>
              <w:spacing w:after="0" w:line="176" w:lineRule="exact"/>
              <w:rPr>
                <w:sz w:val="20"/>
                <w:szCs w:val="20"/>
                <w:color w:val="auto"/>
              </w:rPr>
            </w:pPr>
            <w:r>
              <w:rPr>
                <w:rFonts w:ascii="Arial" w:cs="Arial" w:eastAsia="Arial" w:hAnsi="Arial"/>
                <w:sz w:val="18"/>
                <w:szCs w:val="18"/>
                <w:b w:val="1"/>
                <w:bCs w:val="1"/>
                <w:color w:val="auto"/>
                <w:w w:val="92"/>
              </w:rPr>
              <w:t>Champaign, Illinois</w:t>
            </w:r>
          </w:p>
        </w:tc>
        <w:tc>
          <w:tcPr>
            <w:tcW w:w="3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20" w:type="dxa"/>
            <w:vAlign w:val="bottom"/>
          </w:tcPr>
          <w:p>
            <w:pPr>
              <w:jc w:val="center"/>
              <w:ind w:right="830"/>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jc w:val="center"/>
              <w:ind w:left="810"/>
              <w:spacing w:after="0"/>
              <w:rPr>
                <w:sz w:val="20"/>
                <w:szCs w:val="20"/>
                <w:color w:val="auto"/>
              </w:rPr>
            </w:pPr>
            <w:r>
              <w:rPr>
                <w:rFonts w:ascii="Arial" w:cs="Arial" w:eastAsia="Arial" w:hAnsi="Arial"/>
                <w:sz w:val="18"/>
                <w:szCs w:val="18"/>
                <w:color w:val="auto"/>
                <w:w w:val="93"/>
              </w:rPr>
              <w:t>(Zip code)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38"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N/A</w:t>
      </w: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4" w:lineRule="exact"/>
        <w:rPr>
          <w:sz w:val="24"/>
          <w:szCs w:val="24"/>
          <w:color w:val="auto"/>
        </w:rPr>
      </w:pPr>
    </w:p>
    <w:p>
      <w:pPr>
        <w:ind w:right="140"/>
        <w:spacing w:after="0" w:line="20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 w:lineRule="exact"/>
        <w:rPr>
          <w:sz w:val="24"/>
          <w:szCs w:val="24"/>
          <w:color w:val="auto"/>
        </w:rPr>
      </w:pPr>
    </w:p>
    <w:p>
      <w:pPr>
        <w:ind w:right="320"/>
        <w:spacing w:after="0" w:line="201"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 w:lineRule="exact"/>
        <w:rPr>
          <w:sz w:val="24"/>
          <w:szCs w:val="24"/>
          <w:color w:val="auto"/>
        </w:rPr>
      </w:pPr>
    </w:p>
    <w:p>
      <w:pPr>
        <w:ind w:right="120"/>
        <w:spacing w:after="0" w:line="23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60"/>
          </w:cols>
          <w:pgMar w:left="1420" w:top="220" w:right="1419" w:bottom="1440" w:gutter="0" w:footer="0" w:header="0"/>
        </w:sectPr>
      </w:pP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03" w:lineRule="auto"/>
        <w:rPr>
          <w:sz w:val="20"/>
          <w:szCs w:val="20"/>
          <w:color w:val="auto"/>
        </w:rPr>
      </w:pPr>
      <w:r>
        <w:rPr>
          <w:rFonts w:ascii="Arial" w:cs="Arial" w:eastAsia="Arial" w:hAnsi="Arial"/>
          <w:sz w:val="18"/>
          <w:szCs w:val="18"/>
          <w:color w:val="auto"/>
        </w:rPr>
        <w:t>Non-accelerated filer</w:t>
      </w: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71" w:lineRule="exact"/>
        <w:tabs>
          <w:tab w:leader="none" w:pos="24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tabs>
          <w:tab w:leader="none" w:pos="16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67" w:lineRule="exact"/>
        <w:rPr>
          <w:sz w:val="24"/>
          <w:szCs w:val="24"/>
          <w:color w:val="auto"/>
        </w:rPr>
      </w:pPr>
    </w:p>
    <w:p>
      <w:pPr>
        <w:sectPr>
          <w:pgSz w:w="11900" w:h="16838" w:orient="portrait"/>
          <w:cols w:equalWidth="0" w:num="2">
            <w:col w:w="1960" w:space="560"/>
            <w:col w:w="6540"/>
          </w:cols>
          <w:pgMar w:left="1420" w:top="220" w:right="1419" w:bottom="1440" w:gutter="0" w:footer="0" w:header="0"/>
          <w:type w:val="continuous"/>
        </w:sectPr>
      </w:pPr>
    </w:p>
    <w:p>
      <w:pPr>
        <w:jc w:val="both"/>
        <w:ind w:right="460"/>
        <w:spacing w:after="0" w:line="20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3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Class</w:t>
            </w: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at November 7, 2018</w:t>
            </w:r>
          </w:p>
        </w:tc>
        <w:tc>
          <w:tcPr>
            <w:tcW w:w="900" w:type="dxa"/>
            <w:vAlign w:val="bottom"/>
          </w:tcPr>
          <w:p>
            <w:pPr>
              <w:spacing w:after="0"/>
              <w:rPr>
                <w:sz w:val="18"/>
                <w:szCs w:val="18"/>
                <w:color w:val="auto"/>
              </w:rPr>
            </w:pPr>
          </w:p>
        </w:tc>
      </w:tr>
      <w:tr>
        <w:trPr>
          <w:trHeight w:val="224"/>
        </w:trPr>
        <w:tc>
          <w:tcPr>
            <w:tcW w:w="9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19"/>
                <w:szCs w:val="19"/>
                <w:color w:val="auto"/>
              </w:rPr>
            </w:pPr>
          </w:p>
        </w:tc>
        <w:tc>
          <w:tcPr>
            <w:tcW w:w="3500" w:type="dxa"/>
            <w:vAlign w:val="bottom"/>
            <w:tcBorders>
              <w:top w:val="single" w:sz="8" w:color="auto"/>
            </w:tcBorders>
          </w:tcPr>
          <w:p>
            <w:pPr>
              <w:jc w:val="right"/>
              <w:ind w:right="1270"/>
              <w:spacing w:after="0"/>
              <w:rPr>
                <w:sz w:val="20"/>
                <w:szCs w:val="20"/>
                <w:color w:val="auto"/>
              </w:rPr>
            </w:pPr>
            <w:r>
              <w:rPr>
                <w:rFonts w:ascii="Arial" w:cs="Arial" w:eastAsia="Arial" w:hAnsi="Arial"/>
                <w:sz w:val="18"/>
                <w:szCs w:val="18"/>
                <w:color w:val="auto"/>
              </w:rPr>
              <w:t>48,860,557</w:t>
            </w:r>
          </w:p>
        </w:tc>
        <w:tc>
          <w:tcPr>
            <w:tcW w:w="900" w:type="dxa"/>
            <w:vAlign w:val="bottom"/>
          </w:tcPr>
          <w:p>
            <w:pPr>
              <w:spacing w:after="0"/>
              <w:rPr>
                <w:sz w:val="19"/>
                <w:szCs w:val="19"/>
                <w:color w:val="auto"/>
              </w:rPr>
            </w:pPr>
          </w:p>
        </w:tc>
      </w:tr>
      <w:tr>
        <w:trPr>
          <w:trHeight w:val="40"/>
        </w:trPr>
        <w:tc>
          <w:tcPr>
            <w:tcW w:w="92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55"/>
        </w:trPr>
        <w:tc>
          <w:tcPr>
            <w:tcW w:w="9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507"/>
        </w:trPr>
        <w:tc>
          <w:tcPr>
            <w:tcW w:w="9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220" w:right="14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FIRST BUSEY CORPORATION</w:t>
      </w:r>
    </w:p>
    <w:p>
      <w:pPr>
        <w:jc w:val="center"/>
        <w:ind w:left="560"/>
        <w:spacing w:after="0" w:line="203" w:lineRule="auto"/>
        <w:rPr>
          <w:sz w:val="20"/>
          <w:szCs w:val="20"/>
          <w:color w:val="auto"/>
        </w:rPr>
      </w:pPr>
      <w:r>
        <w:rPr>
          <w:rFonts w:ascii="Arial" w:cs="Arial" w:eastAsia="Arial" w:hAnsi="Arial"/>
          <w:sz w:val="18"/>
          <w:szCs w:val="18"/>
          <w:b w:val="1"/>
          <w:bCs w:val="1"/>
          <w:color w:val="auto"/>
        </w:rPr>
        <w:t>FORM 10-Q</w:t>
      </w:r>
    </w:p>
    <w:p>
      <w:pPr>
        <w:jc w:val="center"/>
        <w:ind w:left="560"/>
        <w:spacing w:after="0"/>
        <w:rPr>
          <w:sz w:val="20"/>
          <w:szCs w:val="20"/>
          <w:color w:val="auto"/>
        </w:rPr>
      </w:pPr>
      <w:r>
        <w:rPr>
          <w:rFonts w:ascii="Arial" w:cs="Arial" w:eastAsia="Arial" w:hAnsi="Arial"/>
          <w:sz w:val="18"/>
          <w:szCs w:val="18"/>
          <w:b w:val="1"/>
          <w:bCs w:val="1"/>
          <w:color w:val="auto"/>
        </w:rPr>
        <w:t>September 30, 2018</w:t>
      </w:r>
    </w:p>
    <w:p>
      <w:pPr>
        <w:spacing w:after="0" w:line="12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Table of Contents</w:t>
      </w:r>
    </w:p>
    <w:p>
      <w:pPr>
        <w:spacing w:after="0" w:line="154" w:lineRule="exact"/>
        <w:rPr>
          <w:sz w:val="20"/>
          <w:szCs w:val="20"/>
          <w:color w:val="auto"/>
        </w:rPr>
      </w:pPr>
    </w:p>
    <w:p>
      <w:pPr>
        <w:spacing w:after="0"/>
        <w:tabs>
          <w:tab w:leader="none" w:pos="720" w:val="left"/>
        </w:tabs>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3">
        <w:r>
          <w:rPr>
            <w:rFonts w:ascii="Arial" w:cs="Arial" w:eastAsia="Arial" w:hAnsi="Arial"/>
            <w:sz w:val="18"/>
            <w:szCs w:val="18"/>
            <w:b w:val="1"/>
            <w:bCs w:val="1"/>
            <w:u w:val="single" w:color="auto"/>
            <w:color w:val="0000EE"/>
          </w:rPr>
          <w:t>FINANCIAL INFORMATION</w:t>
        </w:r>
      </w:hyperlink>
    </w:p>
    <w:p>
      <w:pPr>
        <w:spacing w:after="0" w:line="148" w:lineRule="exact"/>
        <w:rPr>
          <w:sz w:val="20"/>
          <w:szCs w:val="20"/>
          <w:color w:val="auto"/>
        </w:rPr>
      </w:pPr>
    </w:p>
    <w:p>
      <w:pPr>
        <w:spacing w:after="0"/>
        <w:tabs>
          <w:tab w:leader="none" w:pos="720" w:val="left"/>
        </w:tabs>
        <w:rPr>
          <w:rFonts w:ascii="Arial" w:cs="Arial" w:eastAsia="Arial" w:hAnsi="Arial"/>
          <w:sz w:val="17"/>
          <w:szCs w:val="17"/>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7"/>
            <w:szCs w:val="17"/>
            <w:u w:val="single" w:color="auto"/>
            <w:color w:val="0000EE"/>
          </w:rPr>
          <w:t>FINANCIAL STATEMENTS</w:t>
        </w:r>
      </w:hyperlink>
    </w:p>
    <w:p>
      <w:pPr>
        <w:spacing w:after="0" w:line="23" w:lineRule="exact"/>
        <w:rPr>
          <w:sz w:val="20"/>
          <w:szCs w:val="20"/>
          <w:color w:val="auto"/>
        </w:rPr>
      </w:pPr>
    </w:p>
    <w:p>
      <w:pPr>
        <w:ind w:left="7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9" w:lineRule="exact"/>
        <w:rPr>
          <w:sz w:val="20"/>
          <w:szCs w:val="20"/>
          <w:color w:val="auto"/>
        </w:rPr>
      </w:pPr>
    </w:p>
    <w:p>
      <w:pPr>
        <w:ind w:left="7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INCOME</w:t>
        </w:r>
      </w:hyperlink>
    </w:p>
    <w:p>
      <w:pPr>
        <w:spacing w:after="0" w:line="9" w:lineRule="exact"/>
        <w:rPr>
          <w:sz w:val="20"/>
          <w:szCs w:val="20"/>
          <w:color w:val="auto"/>
        </w:rPr>
      </w:pPr>
    </w:p>
    <w:p>
      <w:pPr>
        <w:ind w:left="740" w:right="2640"/>
        <w:spacing w:after="0" w:line="265" w:lineRule="auto"/>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CONSOLIDATED STATEMENTS OF COMPREHENSIVE INCOME</w:t>
        </w:r>
      </w:hyperlink>
      <w:r>
        <w:rPr>
          <w:rFonts w:ascii="Arial" w:cs="Arial" w:eastAsia="Arial" w:hAnsi="Arial"/>
          <w:sz w:val="17"/>
          <w:szCs w:val="17"/>
          <w:u w:val="single" w:color="auto"/>
          <w:color w:val="0000EE"/>
        </w:rPr>
        <w:t xml:space="preserve"> </w:t>
      </w:r>
      <w:hyperlink w:anchor="page8">
        <w:r>
          <w:rPr>
            <w:rFonts w:ascii="Arial" w:cs="Arial" w:eastAsia="Arial" w:hAnsi="Arial"/>
            <w:sz w:val="17"/>
            <w:szCs w:val="17"/>
            <w:u w:val="single" w:color="auto"/>
            <w:color w:val="0000EE"/>
          </w:rPr>
          <w:t>CONSOLIDATED STATEMENTS OF STOCKHOLDERS’ EQUITY</w:t>
        </w:r>
      </w:hyperlink>
      <w:r>
        <w:rPr>
          <w:rFonts w:ascii="Arial" w:cs="Arial" w:eastAsia="Arial" w:hAnsi="Arial"/>
          <w:sz w:val="17"/>
          <w:szCs w:val="17"/>
          <w:u w:val="single" w:color="auto"/>
          <w:color w:val="0000EE"/>
        </w:rPr>
        <w:t xml:space="preserve"> </w:t>
      </w:r>
      <w:hyperlink w:anchor="page9">
        <w:r>
          <w:rPr>
            <w:rFonts w:ascii="Arial" w:cs="Arial" w:eastAsia="Arial" w:hAnsi="Arial"/>
            <w:sz w:val="17"/>
            <w:szCs w:val="17"/>
            <w:u w:val="single" w:color="auto"/>
            <w:color w:val="0000EE"/>
          </w:rPr>
          <w:t>CONSOLIDATED STATEMENTS OF CASH FLOWS</w:t>
        </w:r>
      </w:hyperlink>
    </w:p>
    <w:p>
      <w:pPr>
        <w:spacing w:after="0" w:line="1" w:lineRule="exact"/>
        <w:rPr>
          <w:rFonts w:ascii="Arial" w:cs="Arial" w:eastAsia="Arial" w:hAnsi="Arial"/>
          <w:sz w:val="17"/>
          <w:szCs w:val="17"/>
          <w:u w:val="single" w:color="auto"/>
          <w:color w:val="0000EE"/>
        </w:rPr>
      </w:pPr>
    </w:p>
    <w:p>
      <w:pPr>
        <w:ind w:left="7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CONSOLIDATED FINANCIAL STATEMENTS</w:t>
        </w:r>
      </w:hyperlink>
    </w:p>
    <w:p>
      <w:pPr>
        <w:spacing w:after="0" w:line="9" w:lineRule="exact"/>
        <w:rPr>
          <w:rFonts w:ascii="Arial" w:cs="Arial" w:eastAsia="Arial" w:hAnsi="Arial"/>
          <w:sz w:val="17"/>
          <w:szCs w:val="17"/>
          <w:u w:val="single" w:color="auto"/>
          <w:color w:val="0000EE"/>
        </w:rPr>
      </w:pPr>
    </w:p>
    <w:p>
      <w:pPr>
        <w:ind w:left="740" w:hanging="742"/>
        <w:spacing w:after="0" w:line="204" w:lineRule="auto"/>
        <w:tabs>
          <w:tab w:leader="none" w:pos="720" w:val="left"/>
        </w:tabs>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51">
        <w:r>
          <w:rPr>
            <w:rFonts w:ascii="Arial" w:cs="Arial" w:eastAsia="Arial" w:hAnsi="Arial"/>
            <w:sz w:val="18"/>
            <w:szCs w:val="18"/>
            <w:u w:val="single" w:color="auto"/>
            <w:color w:val="0000EE"/>
          </w:rPr>
          <w:t>MANAGEMENT’S DISCUSSION AND ANALYSIS OF FINANCIAL CONDITION AND RESULTS OF</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OPERATIONS</w:t>
        </w:r>
      </w:hyperlink>
    </w:p>
    <w:p>
      <w:pPr>
        <w:spacing w:after="0" w:line="1" w:lineRule="exact"/>
        <w:rPr>
          <w:rFonts w:ascii="Arial" w:cs="Arial" w:eastAsia="Arial" w:hAnsi="Arial"/>
          <w:sz w:val="18"/>
          <w:szCs w:val="18"/>
          <w:u w:val="single" w:color="auto"/>
          <w:color w:val="0000EE"/>
        </w:rPr>
      </w:pPr>
    </w:p>
    <w:p>
      <w:pPr>
        <w:ind w:right="1640"/>
        <w:spacing w:after="0" w:line="259" w:lineRule="auto"/>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71">
        <w:r>
          <w:rPr>
            <w:rFonts w:ascii="Arial" w:cs="Arial" w:eastAsia="Arial" w:hAnsi="Arial"/>
            <w:sz w:val="18"/>
            <w:szCs w:val="18"/>
            <w:u w:val="single" w:color="auto"/>
            <w:color w:val="0000EE"/>
          </w:rPr>
          <w:t>Item 4. CONTROLS AND PROCEDURES</w:t>
        </w:r>
      </w:hyperlink>
    </w:p>
    <w:p>
      <w:pPr>
        <w:spacing w:after="0" w:line="141" w:lineRule="exact"/>
        <w:rPr>
          <w:sz w:val="20"/>
          <w:szCs w:val="20"/>
          <w:color w:val="auto"/>
        </w:rPr>
      </w:pPr>
    </w:p>
    <w:p>
      <w:pPr>
        <w:spacing w:after="0"/>
        <w:tabs>
          <w:tab w:leader="none" w:pos="720" w:val="left"/>
        </w:tabs>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71">
        <w:r>
          <w:rPr>
            <w:rFonts w:ascii="Arial" w:cs="Arial" w:eastAsia="Arial" w:hAnsi="Arial"/>
            <w:sz w:val="18"/>
            <w:szCs w:val="18"/>
            <w:b w:val="1"/>
            <w:bCs w:val="1"/>
            <w:u w:val="single" w:color="auto"/>
            <w:color w:val="0000EE"/>
          </w:rPr>
          <w:t>OTHER INFORMATION</w:t>
        </w:r>
      </w:hyperlink>
    </w:p>
    <w:p>
      <w:pPr>
        <w:spacing w:after="0" w:line="148" w:lineRule="exact"/>
        <w:rPr>
          <w:sz w:val="20"/>
          <w:szCs w:val="20"/>
          <w:color w:val="auto"/>
        </w:rPr>
      </w:pPr>
    </w:p>
    <w:p>
      <w:pPr>
        <w:spacing w:after="0"/>
        <w:tabs>
          <w:tab w:leader="none" w:pos="720" w:val="left"/>
        </w:tabs>
        <w:rPr>
          <w:rFonts w:ascii="Arial" w:cs="Arial" w:eastAsia="Arial" w:hAnsi="Arial"/>
          <w:sz w:val="17"/>
          <w:szCs w:val="17"/>
          <w:u w:val="single" w:color="auto"/>
          <w:color w:val="0000EE"/>
        </w:rPr>
      </w:pPr>
      <w:hyperlink w:anchor="page71">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71">
        <w:r>
          <w:rPr>
            <w:rFonts w:ascii="Arial" w:cs="Arial" w:eastAsia="Arial" w:hAnsi="Arial"/>
            <w:sz w:val="17"/>
            <w:szCs w:val="17"/>
            <w:u w:val="single" w:color="auto"/>
            <w:color w:val="0000EE"/>
          </w:rPr>
          <w:t>LEGAL PROCEEDINGS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1A. RISK FACTORS</w:t>
        </w:r>
      </w:hyperlink>
    </w:p>
    <w:p>
      <w:pPr>
        <w:spacing w:after="0" w:line="9" w:lineRule="exact"/>
        <w:rPr>
          <w:sz w:val="20"/>
          <w:szCs w:val="20"/>
          <w:color w:val="auto"/>
        </w:rPr>
      </w:pPr>
    </w:p>
    <w:p>
      <w:pPr>
        <w:spacing w:after="0"/>
        <w:tabs>
          <w:tab w:leader="none" w:pos="720" w:val="left"/>
        </w:tabs>
        <w:rPr>
          <w:rFonts w:ascii="Arial" w:cs="Arial" w:eastAsia="Arial" w:hAnsi="Arial"/>
          <w:sz w:val="17"/>
          <w:szCs w:val="17"/>
          <w:u w:val="single" w:color="auto"/>
          <w:color w:val="0000EE"/>
        </w:rPr>
      </w:pPr>
      <w:hyperlink w:anchor="page72">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72">
        <w:r>
          <w:rPr>
            <w:rFonts w:ascii="Arial" w:cs="Arial" w:eastAsia="Arial" w:hAnsi="Arial"/>
            <w:sz w:val="17"/>
            <w:szCs w:val="17"/>
            <w:u w:val="single" w:color="auto"/>
            <w:color w:val="0000EE"/>
          </w:rPr>
          <w:t>UNREGISTERED SALES OF EQUITY SECURITIES AND USE OF PROCEEDS</w:t>
        </w:r>
      </w:hyperlink>
    </w:p>
    <w:p>
      <w:pPr>
        <w:spacing w:after="0" w:line="9" w:lineRule="exact"/>
        <w:rPr>
          <w:sz w:val="20"/>
          <w:szCs w:val="20"/>
          <w:color w:val="auto"/>
        </w:rPr>
      </w:pPr>
    </w:p>
    <w:p>
      <w:pPr>
        <w:spacing w:after="0"/>
        <w:tabs>
          <w:tab w:leader="none" w:pos="720" w:val="left"/>
        </w:tabs>
        <w:rPr>
          <w:rFonts w:ascii="Arial" w:cs="Arial" w:eastAsia="Arial" w:hAnsi="Arial"/>
          <w:sz w:val="16"/>
          <w:szCs w:val="16"/>
          <w:u w:val="single" w:color="auto"/>
          <w:color w:val="0000EE"/>
        </w:rPr>
      </w:pPr>
      <w:hyperlink w:anchor="page72">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72">
        <w:r>
          <w:rPr>
            <w:rFonts w:ascii="Arial" w:cs="Arial" w:eastAsia="Arial" w:hAnsi="Arial"/>
            <w:sz w:val="16"/>
            <w:szCs w:val="16"/>
            <w:u w:val="single" w:color="auto"/>
            <w:color w:val="0000EE"/>
          </w:rPr>
          <w:t>DEFAULTS UPON SENIOR SECURITES</w:t>
        </w:r>
      </w:hyperlink>
    </w:p>
    <w:p>
      <w:pPr>
        <w:spacing w:after="0" w:line="9" w:lineRule="exact"/>
        <w:rPr>
          <w:sz w:val="20"/>
          <w:szCs w:val="20"/>
          <w:color w:val="auto"/>
        </w:rPr>
      </w:pPr>
    </w:p>
    <w:p>
      <w:pPr>
        <w:spacing w:after="0"/>
        <w:tabs>
          <w:tab w:leader="none" w:pos="720" w:val="left"/>
        </w:tabs>
        <w:rPr>
          <w:rFonts w:ascii="Arial" w:cs="Arial" w:eastAsia="Arial" w:hAnsi="Arial"/>
          <w:sz w:val="17"/>
          <w:szCs w:val="17"/>
          <w:u w:val="single" w:color="auto"/>
          <w:color w:val="0000EE"/>
        </w:rPr>
      </w:pPr>
      <w:hyperlink w:anchor="page72">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72">
        <w:r>
          <w:rPr>
            <w:rFonts w:ascii="Arial" w:cs="Arial" w:eastAsia="Arial" w:hAnsi="Arial"/>
            <w:sz w:val="17"/>
            <w:szCs w:val="17"/>
            <w:u w:val="single" w:color="auto"/>
            <w:color w:val="0000EE"/>
          </w:rPr>
          <w:t>MINE SAFETY DISCLOSURES</w:t>
        </w:r>
      </w:hyperlink>
    </w:p>
    <w:p>
      <w:pPr>
        <w:spacing w:after="0" w:line="9" w:lineRule="exact"/>
        <w:rPr>
          <w:sz w:val="20"/>
          <w:szCs w:val="20"/>
          <w:color w:val="auto"/>
        </w:rPr>
      </w:pPr>
    </w:p>
    <w:p>
      <w:pPr>
        <w:spacing w:after="0"/>
        <w:tabs>
          <w:tab w:leader="none" w:pos="720" w:val="left"/>
        </w:tabs>
        <w:rPr>
          <w:rFonts w:ascii="Arial" w:cs="Arial" w:eastAsia="Arial" w:hAnsi="Arial"/>
          <w:sz w:val="17"/>
          <w:szCs w:val="17"/>
          <w:u w:val="single" w:color="auto"/>
          <w:color w:val="0000EE"/>
        </w:rPr>
      </w:pPr>
      <w:hyperlink w:anchor="page72">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72">
        <w:r>
          <w:rPr>
            <w:rFonts w:ascii="Arial" w:cs="Arial" w:eastAsia="Arial" w:hAnsi="Arial"/>
            <w:sz w:val="17"/>
            <w:szCs w:val="17"/>
            <w:u w:val="single" w:color="auto"/>
            <w:color w:val="0000EE"/>
          </w:rPr>
          <w:t>OTHER INFORMATION</w:t>
        </w:r>
      </w:hyperlink>
    </w:p>
    <w:p>
      <w:pPr>
        <w:spacing w:after="0" w:line="9" w:lineRule="exact"/>
        <w:rPr>
          <w:sz w:val="20"/>
          <w:szCs w:val="20"/>
          <w:color w:val="auto"/>
        </w:rPr>
      </w:pPr>
    </w:p>
    <w:p>
      <w:pPr>
        <w:spacing w:after="0"/>
        <w:tabs>
          <w:tab w:leader="none" w:pos="720" w:val="left"/>
        </w:tabs>
        <w:rPr>
          <w:rFonts w:ascii="Arial" w:cs="Arial" w:eastAsia="Arial" w:hAnsi="Arial"/>
          <w:sz w:val="17"/>
          <w:szCs w:val="17"/>
          <w:u w:val="single" w:color="auto"/>
          <w:color w:val="0000EE"/>
        </w:rPr>
      </w:pPr>
      <w:hyperlink w:anchor="page72">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72">
        <w:r>
          <w:rPr>
            <w:rFonts w:ascii="Arial" w:cs="Arial" w:eastAsia="Arial" w:hAnsi="Arial"/>
            <w:sz w:val="17"/>
            <w:szCs w:val="17"/>
            <w:u w:val="single" w:color="auto"/>
            <w:color w:val="0000EE"/>
          </w:rPr>
          <w:t>EXHIBITS</w:t>
        </w:r>
      </w:hyperlink>
    </w:p>
    <w:p>
      <w:pPr>
        <w:spacing w:after="0" w:line="9" w:lineRule="exact"/>
        <w:rPr>
          <w:sz w:val="20"/>
          <w:szCs w:val="20"/>
          <w:color w:val="auto"/>
        </w:rPr>
      </w:pPr>
    </w:p>
    <w:p>
      <w:pPr>
        <w:ind w:left="7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ectPr>
          <w:pgSz w:w="11900" w:h="16838" w:orient="portrait"/>
          <w:cols w:equalWidth="0" w:num="2">
            <w:col w:w="8520" w:space="360"/>
            <w:col w:w="18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line="204" w:lineRule="auto"/>
        <w:rPr>
          <w:sz w:val="20"/>
          <w:szCs w:val="20"/>
          <w:color w:val="auto"/>
        </w:rPr>
      </w:pPr>
      <w:r>
        <w:rPr>
          <w:rFonts w:ascii="Arial" w:cs="Arial" w:eastAsia="Arial" w:hAnsi="Arial"/>
          <w:sz w:val="18"/>
          <w:szCs w:val="18"/>
          <w:b w:val="1"/>
          <w:bCs w:val="1"/>
          <w:color w:val="auto"/>
        </w:rPr>
        <w:t>September 30, 2018 and December 31, 2017</w:t>
      </w:r>
    </w:p>
    <w:p>
      <w:pPr>
        <w:jc w:val="center"/>
        <w:spacing w:after="0" w:line="225"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56"/>
        </w:trPr>
        <w:tc>
          <w:tcPr>
            <w:tcW w:w="41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September 30, 2018</w:t>
            </w:r>
          </w:p>
        </w:tc>
        <w:tc>
          <w:tcPr>
            <w:tcW w:w="12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4"/>
          </w:tcPr>
          <w:p>
            <w:pPr>
              <w:jc w:val="right"/>
              <w:ind w:right="599"/>
              <w:spacing w:after="0" w:line="142" w:lineRule="exact"/>
              <w:rPr>
                <w:sz w:val="20"/>
                <w:szCs w:val="20"/>
                <w:color w:val="auto"/>
              </w:rPr>
            </w:pPr>
            <w:r>
              <w:rPr>
                <w:rFonts w:ascii="Arial" w:cs="Arial" w:eastAsia="Arial" w:hAnsi="Arial"/>
                <w:sz w:val="14"/>
                <w:szCs w:val="14"/>
                <w:b w:val="1"/>
                <w:bCs w:val="1"/>
                <w:i w:val="1"/>
                <w:iCs w:val="1"/>
                <w:color w:val="auto"/>
              </w:rPr>
              <w:t>(dollars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Assets</w:t>
            </w: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color w:val="auto"/>
                <w:w w:val="90"/>
              </w:rPr>
              <w:t>Cash and cash equivalents (interest-bearing 2018 $52,390; 2017</w:t>
            </w:r>
          </w:p>
        </w:tc>
        <w:tc>
          <w:tcPr>
            <w:tcW w:w="2220" w:type="dxa"/>
            <w:vAlign w:val="bottom"/>
          </w:tcPr>
          <w:p>
            <w:pPr>
              <w:jc w:val="right"/>
              <w:ind w:right="1459"/>
              <w:spacing w:after="0" w:line="176" w:lineRule="exact"/>
              <w:rPr>
                <w:sz w:val="20"/>
                <w:szCs w:val="20"/>
                <w:color w:val="auto"/>
              </w:rPr>
            </w:pPr>
            <w:r>
              <w:rPr>
                <w:rFonts w:ascii="Arial" w:cs="Arial" w:eastAsia="Arial" w:hAnsi="Arial"/>
                <w:sz w:val="16"/>
                <w:szCs w:val="16"/>
                <w:color w:val="auto"/>
                <w:w w:val="91"/>
              </w:rPr>
              <w:t>$234,889)</w:t>
            </w:r>
          </w:p>
        </w:tc>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160,652</w:t>
            </w:r>
          </w:p>
        </w:tc>
        <w:tc>
          <w:tcPr>
            <w:tcW w:w="20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353,272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Securities available for sale</w:t>
            </w: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863,381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872,682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color w:val="auto"/>
              </w:rPr>
              <w:t>Securities held to maturity</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626,250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443,550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Securities equity investments</w:t>
            </w: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7,317</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5,378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color w:val="auto"/>
              </w:rPr>
              <w:t>Loans held for sale</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32,617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94,848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Portfolio loans (net of allowance for loan losses 2018 $52,743; 2017 $53,582)</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5,570,998</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5,465,918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color w:val="auto"/>
              </w:rPr>
              <w:t>Premises and equipment, net</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119,162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116,913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Goodwill</w:t>
            </w: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267,685</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269,346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color w:val="auto"/>
              </w:rPr>
              <w:t>Other intangible assets, net</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34,278</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38,727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Cash surrender value of bank owned life insurance</w:t>
            </w: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127,663</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126,737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color w:val="auto"/>
              </w:rPr>
              <w:t>Deferred tax asset, net</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16,431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17,296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 assets</w:t>
            </w:r>
          </w:p>
        </w:tc>
        <w:tc>
          <w:tcPr>
            <w:tcW w:w="2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62,951</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55,973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Borders>
              <w:bottom w:val="single" w:sz="8" w:color="CCEEFF"/>
            </w:tcBorders>
          </w:tcPr>
          <w:p>
            <w:pPr>
              <w:ind w:left="440"/>
              <w:spacing w:after="0" w:line="169" w:lineRule="exact"/>
              <w:rPr>
                <w:sz w:val="20"/>
                <w:szCs w:val="20"/>
                <w:color w:val="auto"/>
              </w:rPr>
            </w:pPr>
            <w:r>
              <w:rPr>
                <w:rFonts w:ascii="Arial" w:cs="Arial" w:eastAsia="Arial" w:hAnsi="Arial"/>
                <w:sz w:val="16"/>
                <w:szCs w:val="16"/>
                <w:color w:val="auto"/>
              </w:rPr>
              <w:t>Total assets</w:t>
            </w:r>
          </w:p>
        </w:tc>
        <w:tc>
          <w:tcPr>
            <w:tcW w:w="2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24"/>
              <w:spacing w:after="0" w:line="169"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7,889,385</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7,860,640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Liabilities and Stockholders’ Equity</w:t>
            </w: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b w:val="1"/>
                <w:bCs w:val="1"/>
                <w:color w:val="auto"/>
              </w:rPr>
              <w:t>Liabilities</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Deposits:</w:t>
            </w: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ind w:left="320"/>
              <w:spacing w:after="0" w:line="176" w:lineRule="exact"/>
              <w:rPr>
                <w:sz w:val="20"/>
                <w:szCs w:val="20"/>
                <w:color w:val="auto"/>
              </w:rPr>
            </w:pPr>
            <w:r>
              <w:rPr>
                <w:rFonts w:ascii="Arial" w:cs="Arial" w:eastAsia="Arial" w:hAnsi="Arial"/>
                <w:sz w:val="16"/>
                <w:szCs w:val="16"/>
                <w:color w:val="auto"/>
              </w:rPr>
              <w:t>Noninterest-bearing</w:t>
            </w:r>
          </w:p>
        </w:tc>
        <w:tc>
          <w:tcPr>
            <w:tcW w:w="222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1,438,054</w:t>
            </w:r>
          </w:p>
        </w:tc>
        <w:tc>
          <w:tcPr>
            <w:tcW w:w="20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1,597,421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Interest-bearing</w:t>
            </w:r>
          </w:p>
        </w:tc>
        <w:tc>
          <w:tcPr>
            <w:tcW w:w="2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4,757,515</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4,528,544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tcPr>
          <w:p>
            <w:pPr>
              <w:ind w:left="440"/>
              <w:spacing w:after="0" w:line="169" w:lineRule="exact"/>
              <w:rPr>
                <w:sz w:val="20"/>
                <w:szCs w:val="20"/>
                <w:color w:val="auto"/>
              </w:rPr>
            </w:pPr>
            <w:r>
              <w:rPr>
                <w:rFonts w:ascii="Arial" w:cs="Arial" w:eastAsia="Arial" w:hAnsi="Arial"/>
                <w:sz w:val="16"/>
                <w:szCs w:val="16"/>
                <w:color w:val="auto"/>
              </w:rPr>
              <w:t>Total deposits</w:t>
            </w:r>
          </w:p>
        </w:tc>
        <w:tc>
          <w:tcPr>
            <w:tcW w:w="2220" w:type="dxa"/>
            <w:vAlign w:val="bottom"/>
          </w:tcPr>
          <w:p>
            <w:pPr>
              <w:spacing w:after="0"/>
              <w:rPr>
                <w:sz w:val="14"/>
                <w:szCs w:val="14"/>
                <w:color w:val="auto"/>
              </w:rPr>
            </w:pPr>
          </w:p>
        </w:tc>
        <w:tc>
          <w:tcPr>
            <w:tcW w:w="280" w:type="dxa"/>
            <w:vAlign w:val="bottom"/>
          </w:tcPr>
          <w:p>
            <w:pPr>
              <w:jc w:val="right"/>
              <w:ind w:right="124"/>
              <w:spacing w:after="0" w:line="169" w:lineRule="exact"/>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6,195,569</w:t>
            </w:r>
          </w:p>
        </w:tc>
        <w:tc>
          <w:tcPr>
            <w:tcW w:w="20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6,125,965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color w:val="auto"/>
              </w:rPr>
              <w:t>Securities sold under agreements to repurchase</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255,906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304,566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Short-term borrowings</w:t>
            </w: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200,000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220,000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color w:val="auto"/>
              </w:rPr>
              <w:t>Long-term debt</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50,000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50,000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Senior notes, net of unamortized issuance costs</w:t>
            </w: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39,505</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39,404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color w:val="auto"/>
              </w:rPr>
              <w:t>Subordinated notes, net of unamortized issuance costs</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59,121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64,715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Junior subordinated debt owed to unconsolidated trusts</w:t>
            </w: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71,118</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71,008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Other liabilities</w:t>
            </w:r>
          </w:p>
        </w:tc>
        <w:tc>
          <w:tcPr>
            <w:tcW w:w="2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46,026</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49,979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rPr>
              <w:t>Total liabilities</w:t>
            </w:r>
          </w:p>
        </w:tc>
        <w:tc>
          <w:tcPr>
            <w:tcW w:w="22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4"/>
              <w:spacing w:after="0" w:line="169"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6,917,245</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6,925,637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Commitments and contingencies (see Note 13</w:t>
            </w:r>
            <w:r>
              <w:rPr>
                <w:rFonts w:ascii="Arial" w:cs="Arial" w:eastAsia="Arial" w:hAnsi="Arial"/>
                <w:sz w:val="16"/>
                <w:szCs w:val="16"/>
                <w:i w:val="1"/>
                <w:iCs w:val="1"/>
                <w:color w:val="auto"/>
              </w:rPr>
              <w:t>)</w:t>
            </w: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b w:val="1"/>
                <w:bCs w:val="1"/>
                <w:color w:val="auto"/>
              </w:rPr>
              <w:t>Stockholders’ Equity</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400" w:type="dxa"/>
            <w:vAlign w:val="bottom"/>
            <w:gridSpan w:val="2"/>
            <w:shd w:val="clear" w:color="auto" w:fill="CCEEFF"/>
          </w:tcPr>
          <w:p>
            <w:pPr>
              <w:spacing w:after="0" w:line="152" w:lineRule="exact"/>
              <w:rPr>
                <w:sz w:val="20"/>
                <w:szCs w:val="20"/>
                <w:color w:val="auto"/>
              </w:rPr>
            </w:pPr>
            <w:r>
              <w:rPr>
                <w:rFonts w:ascii="Arial" w:cs="Arial" w:eastAsia="Arial" w:hAnsi="Arial"/>
                <w:sz w:val="16"/>
                <w:szCs w:val="16"/>
                <w:color w:val="auto"/>
              </w:rPr>
              <w:t>Common stock, $.001 par value, authorized 66,666,667 shares; shares issued 2018 and</w:t>
            </w: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2017 49,185,581</w:t>
            </w:r>
          </w:p>
        </w:tc>
        <w:tc>
          <w:tcPr>
            <w:tcW w:w="2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color w:val="auto"/>
              </w:rPr>
              <w:t>Additional paid-in capital</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1,079,111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1,084,889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Accumulated deficit</w:t>
            </w:r>
          </w:p>
        </w:tc>
        <w:tc>
          <w:tcPr>
            <w:tcW w:w="2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6"/>
                <w:szCs w:val="16"/>
                <w:b w:val="1"/>
                <w:bCs w:val="1"/>
                <w:color w:val="auto"/>
              </w:rPr>
              <w:t>(87,532)</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(132,122)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color w:val="auto"/>
              </w:rPr>
              <w:t>Accumulated other comprehensive loss</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200"/>
              <w:spacing w:after="0" w:line="176" w:lineRule="exact"/>
              <w:rPr>
                <w:sz w:val="20"/>
                <w:szCs w:val="20"/>
                <w:color w:val="auto"/>
              </w:rPr>
            </w:pPr>
            <w:r>
              <w:rPr>
                <w:rFonts w:ascii="Arial" w:cs="Arial" w:eastAsia="Arial" w:hAnsi="Arial"/>
                <w:sz w:val="16"/>
                <w:szCs w:val="16"/>
                <w:b w:val="1"/>
                <w:bCs w:val="1"/>
                <w:color w:val="auto"/>
              </w:rPr>
              <w:t>(13,024)</w:t>
            </w:r>
          </w:p>
        </w:tc>
        <w:tc>
          <w:tcPr>
            <w:tcW w:w="2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(2,810)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tcBorders>
              <w:top w:val="single" w:sz="8" w:color="CCEEFF"/>
            </w:tcBorders>
            <w:shd w:val="clear" w:color="auto" w:fill="CCEEFF"/>
          </w:tcPr>
          <w:p>
            <w:pPr>
              <w:ind w:left="440"/>
              <w:spacing w:after="0" w:line="169" w:lineRule="exact"/>
              <w:rPr>
                <w:sz w:val="20"/>
                <w:szCs w:val="20"/>
                <w:color w:val="auto"/>
              </w:rPr>
            </w:pPr>
            <w:r>
              <w:rPr>
                <w:rFonts w:ascii="Arial" w:cs="Arial" w:eastAsia="Arial" w:hAnsi="Arial"/>
                <w:sz w:val="16"/>
                <w:szCs w:val="16"/>
                <w:color w:val="auto"/>
              </w:rPr>
              <w:t>Total stockholders’ equity before treasury stock</w:t>
            </w:r>
          </w:p>
        </w:tc>
        <w:tc>
          <w:tcPr>
            <w:tcW w:w="2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4"/>
              <w:spacing w:after="0" w:line="169"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978,604</w:t>
            </w:r>
          </w:p>
        </w:tc>
        <w:tc>
          <w:tcPr>
            <w:tcW w:w="2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950,006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Common stock shares held in treasury at cost, 2018 325,272; 2017 500,638</w:t>
            </w:r>
          </w:p>
        </w:tc>
        <w:tc>
          <w:tcPr>
            <w:tcW w:w="2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6"/>
                <w:szCs w:val="16"/>
                <w:b w:val="1"/>
                <w:bCs w:val="1"/>
                <w:color w:val="auto"/>
              </w:rPr>
              <w:t>(6,464)</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(15,003)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tcBorders>
              <w:bottom w:val="single" w:sz="8" w:color="CCEEFF"/>
            </w:tcBorders>
          </w:tcPr>
          <w:p>
            <w:pPr>
              <w:ind w:left="440"/>
              <w:spacing w:after="0" w:line="169" w:lineRule="exact"/>
              <w:rPr>
                <w:sz w:val="20"/>
                <w:szCs w:val="20"/>
                <w:color w:val="auto"/>
              </w:rPr>
            </w:pPr>
            <w:r>
              <w:rPr>
                <w:rFonts w:ascii="Arial" w:cs="Arial" w:eastAsia="Arial" w:hAnsi="Arial"/>
                <w:sz w:val="16"/>
                <w:szCs w:val="16"/>
                <w:color w:val="auto"/>
              </w:rPr>
              <w:t>Total stockholders’ equity</w:t>
            </w:r>
          </w:p>
        </w:tc>
        <w:tc>
          <w:tcPr>
            <w:tcW w:w="22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4"/>
              <w:spacing w:after="0" w:line="169"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972,140</w:t>
            </w:r>
          </w:p>
        </w:tc>
        <w:tc>
          <w:tcPr>
            <w:tcW w:w="2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935,003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80" w:type="dxa"/>
            <w:vAlign w:val="bottom"/>
            <w:tcBorders>
              <w:bottom w:val="single" w:sz="8" w:color="CCEEFF"/>
            </w:tcBorders>
            <w:shd w:val="clear" w:color="auto" w:fill="CCEEFF"/>
          </w:tcPr>
          <w:p>
            <w:pPr>
              <w:ind w:left="440"/>
              <w:spacing w:after="0" w:line="169" w:lineRule="exact"/>
              <w:rPr>
                <w:sz w:val="20"/>
                <w:szCs w:val="20"/>
                <w:color w:val="auto"/>
              </w:rPr>
            </w:pPr>
            <w:r>
              <w:rPr>
                <w:rFonts w:ascii="Arial" w:cs="Arial" w:eastAsia="Arial" w:hAnsi="Arial"/>
                <w:sz w:val="16"/>
                <w:szCs w:val="16"/>
                <w:color w:val="auto"/>
              </w:rPr>
              <w:t>Total liabilities and stockholders’ equity</w:t>
            </w:r>
          </w:p>
        </w:tc>
        <w:tc>
          <w:tcPr>
            <w:tcW w:w="2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4"/>
              <w:spacing w:after="0" w:line="169"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7,889,385</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7,860,640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Common shares outstanding at period end</w:t>
            </w:r>
          </w:p>
        </w:tc>
        <w:tc>
          <w:tcPr>
            <w:tcW w:w="2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48,860,309</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48,684,943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-8255</wp:posOffset>
            </wp:positionV>
            <wp:extent cx="1697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99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line="204" w:lineRule="auto"/>
        <w:rPr>
          <w:sz w:val="20"/>
          <w:szCs w:val="20"/>
          <w:color w:val="auto"/>
        </w:rPr>
      </w:pPr>
      <w:r>
        <w:rPr>
          <w:rFonts w:ascii="Arial" w:cs="Arial" w:eastAsia="Arial" w:hAnsi="Arial"/>
          <w:sz w:val="18"/>
          <w:szCs w:val="18"/>
          <w:b w:val="1"/>
          <w:bCs w:val="1"/>
          <w:color w:val="auto"/>
        </w:rPr>
        <w:t>For the Nine Months Ended September 30, 2018 and 2017</w:t>
      </w:r>
    </w:p>
    <w:p>
      <w:pPr>
        <w:jc w:val="center"/>
        <w:spacing w:after="0" w:line="225"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56"/>
        </w:trPr>
        <w:tc>
          <w:tcPr>
            <w:tcW w:w="5420" w:type="dxa"/>
            <w:vAlign w:val="bottom"/>
          </w:tcPr>
          <w:p>
            <w:pPr>
              <w:spacing w:after="0"/>
              <w:rPr>
                <w:sz w:val="13"/>
                <w:szCs w:val="13"/>
                <w:color w:val="auto"/>
              </w:rPr>
            </w:pPr>
          </w:p>
        </w:tc>
        <w:tc>
          <w:tcPr>
            <w:tcW w:w="1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499"/>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142"/>
        </w:trPr>
        <w:tc>
          <w:tcPr>
            <w:tcW w:w="5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60" w:type="dxa"/>
            <w:vAlign w:val="bottom"/>
            <w:tcBorders>
              <w:top w:val="single" w:sz="8" w:color="auto"/>
            </w:tcBorders>
            <w:gridSpan w:val="6"/>
          </w:tcPr>
          <w:p>
            <w:pPr>
              <w:ind w:left="240"/>
              <w:spacing w:after="0" w:line="142" w:lineRule="exact"/>
              <w:rPr>
                <w:sz w:val="20"/>
                <w:szCs w:val="20"/>
                <w:color w:val="auto"/>
              </w:rPr>
            </w:pPr>
            <w:r>
              <w:rPr>
                <w:rFonts w:ascii="Arial" w:cs="Arial" w:eastAsia="Arial" w:hAnsi="Arial"/>
                <w:sz w:val="14"/>
                <w:szCs w:val="14"/>
                <w:b w:val="1"/>
                <w:bCs w:val="1"/>
                <w:i w:val="1"/>
                <w:iCs w:val="1"/>
                <w:color w:val="auto"/>
                <w:w w:val="94"/>
              </w:rPr>
              <w:t>(dollars in thousands, except per share amounts)</w:t>
            </w:r>
          </w:p>
        </w:tc>
      </w:tr>
      <w:tr>
        <w:trPr>
          <w:trHeight w:val="176"/>
        </w:trPr>
        <w:tc>
          <w:tcPr>
            <w:tcW w:w="542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Interest income:</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6"/>
        </w:trPr>
        <w:tc>
          <w:tcPr>
            <w:tcW w:w="5420" w:type="dxa"/>
            <w:vAlign w:val="bottom"/>
          </w:tcPr>
          <w:p>
            <w:pPr>
              <w:ind w:left="220"/>
              <w:spacing w:after="0" w:line="176" w:lineRule="exact"/>
              <w:rPr>
                <w:sz w:val="20"/>
                <w:szCs w:val="20"/>
                <w:color w:val="auto"/>
              </w:rPr>
            </w:pPr>
            <w:r>
              <w:rPr>
                <w:rFonts w:ascii="Arial" w:cs="Arial" w:eastAsia="Arial" w:hAnsi="Arial"/>
                <w:sz w:val="16"/>
                <w:szCs w:val="16"/>
                <w:color w:val="auto"/>
              </w:rPr>
              <w:t>Interest and fees on loans</w:t>
            </w:r>
          </w:p>
        </w:tc>
        <w:tc>
          <w:tcPr>
            <w:tcW w:w="1160" w:type="dxa"/>
            <w:vAlign w:val="bottom"/>
            <w:gridSpan w:val="2"/>
          </w:tcPr>
          <w:p>
            <w:pPr>
              <w:jc w:val="right"/>
              <w:ind w:right="725"/>
              <w:spacing w:after="0" w:line="176" w:lineRule="exact"/>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89"/>
              </w:rPr>
              <w:t>186,839</w:t>
            </w:r>
          </w:p>
        </w:tc>
        <w:tc>
          <w:tcPr>
            <w:tcW w:w="560" w:type="dxa"/>
            <w:vAlign w:val="bottom"/>
            <w:gridSpan w:val="2"/>
          </w:tcPr>
          <w:p>
            <w:pPr>
              <w:jc w:val="right"/>
              <w:ind w:right="184"/>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138,595</w:t>
            </w:r>
          </w:p>
        </w:tc>
        <w:tc>
          <w:tcPr>
            <w:tcW w:w="180" w:type="dxa"/>
            <w:vAlign w:val="bottom"/>
          </w:tcPr>
          <w:p>
            <w:pPr>
              <w:spacing w:after="0"/>
              <w:rPr>
                <w:sz w:val="15"/>
                <w:szCs w:val="15"/>
                <w:color w:val="auto"/>
              </w:rPr>
            </w:pPr>
          </w:p>
        </w:tc>
      </w:tr>
      <w:tr>
        <w:trPr>
          <w:trHeight w:val="176"/>
        </w:trPr>
        <w:tc>
          <w:tcPr>
            <w:tcW w:w="5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Interest and dividends on investment securities: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6"/>
        </w:trPr>
        <w:tc>
          <w:tcPr>
            <w:tcW w:w="5420" w:type="dxa"/>
            <w:vAlign w:val="bottom"/>
          </w:tcPr>
          <w:p>
            <w:pPr>
              <w:ind w:left="320"/>
              <w:spacing w:after="0" w:line="176" w:lineRule="exact"/>
              <w:rPr>
                <w:sz w:val="20"/>
                <w:szCs w:val="20"/>
                <w:color w:val="auto"/>
              </w:rPr>
            </w:pPr>
            <w:r>
              <w:rPr>
                <w:rFonts w:ascii="Arial" w:cs="Arial" w:eastAsia="Arial" w:hAnsi="Arial"/>
                <w:sz w:val="16"/>
                <w:szCs w:val="16"/>
                <w:color w:val="auto"/>
              </w:rPr>
              <w:t>Taxable interest income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21,250</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12,339</w:t>
            </w:r>
          </w:p>
        </w:tc>
        <w:tc>
          <w:tcPr>
            <w:tcW w:w="180" w:type="dxa"/>
            <w:vAlign w:val="bottom"/>
          </w:tcPr>
          <w:p>
            <w:pPr>
              <w:spacing w:after="0"/>
              <w:rPr>
                <w:sz w:val="15"/>
                <w:szCs w:val="15"/>
                <w:color w:val="auto"/>
              </w:rPr>
            </w:pPr>
          </w:p>
        </w:tc>
      </w:tr>
      <w:tr>
        <w:trPr>
          <w:trHeight w:val="176"/>
        </w:trPr>
        <w:tc>
          <w:tcPr>
            <w:tcW w:w="542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Non-taxable interest income</w:t>
            </w:r>
          </w:p>
        </w:tc>
        <w:tc>
          <w:tcPr>
            <w:tcW w:w="2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3,630</w:t>
            </w:r>
          </w:p>
        </w:tc>
        <w:tc>
          <w:tcPr>
            <w:tcW w:w="2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2,521</w:t>
            </w:r>
          </w:p>
        </w:tc>
        <w:tc>
          <w:tcPr>
            <w:tcW w:w="180" w:type="dxa"/>
            <w:vAlign w:val="bottom"/>
            <w:shd w:val="clear" w:color="auto" w:fill="CCEEFF"/>
          </w:tcPr>
          <w:p>
            <w:pPr>
              <w:spacing w:after="0"/>
              <w:rPr>
                <w:sz w:val="15"/>
                <w:szCs w:val="15"/>
                <w:color w:val="auto"/>
              </w:rPr>
            </w:pPr>
          </w:p>
        </w:tc>
      </w:tr>
      <w:tr>
        <w:trPr>
          <w:trHeight w:val="169"/>
        </w:trPr>
        <w:tc>
          <w:tcPr>
            <w:tcW w:w="5420" w:type="dxa"/>
            <w:vAlign w:val="bottom"/>
            <w:tcBorders>
              <w:bottom w:val="single" w:sz="8" w:color="CCEEFF"/>
            </w:tcBorders>
          </w:tcPr>
          <w:p>
            <w:pPr>
              <w:ind w:left="440"/>
              <w:spacing w:after="0" w:line="169" w:lineRule="exact"/>
              <w:rPr>
                <w:sz w:val="20"/>
                <w:szCs w:val="20"/>
                <w:color w:val="auto"/>
              </w:rPr>
            </w:pPr>
            <w:r>
              <w:rPr>
                <w:rFonts w:ascii="Arial" w:cs="Arial" w:eastAsia="Arial" w:hAnsi="Arial"/>
                <w:sz w:val="16"/>
                <w:szCs w:val="16"/>
                <w:color w:val="auto"/>
              </w:rPr>
              <w:t>Total interest income</w:t>
            </w: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89"/>
              </w:rPr>
              <w:t>211,719</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153,455</w:t>
            </w:r>
          </w:p>
        </w:tc>
        <w:tc>
          <w:tcPr>
            <w:tcW w:w="180" w:type="dxa"/>
            <w:vAlign w:val="bottom"/>
            <w:tcBorders>
              <w:bottom w:val="single" w:sz="8" w:color="CCEEFF"/>
            </w:tcBorders>
          </w:tcPr>
          <w:p>
            <w:pPr>
              <w:spacing w:after="0"/>
              <w:rPr>
                <w:sz w:val="14"/>
                <w:szCs w:val="14"/>
                <w:color w:val="auto"/>
              </w:rPr>
            </w:pPr>
          </w:p>
        </w:tc>
      </w:tr>
      <w:tr>
        <w:trPr>
          <w:trHeight w:val="169"/>
        </w:trPr>
        <w:tc>
          <w:tcPr>
            <w:tcW w:w="54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Interest expense:</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6"/>
        </w:trPr>
        <w:tc>
          <w:tcPr>
            <w:tcW w:w="5420" w:type="dxa"/>
            <w:vAlign w:val="bottom"/>
          </w:tcPr>
          <w:p>
            <w:pPr>
              <w:ind w:left="220"/>
              <w:spacing w:after="0" w:line="176" w:lineRule="exact"/>
              <w:rPr>
                <w:sz w:val="20"/>
                <w:szCs w:val="20"/>
                <w:color w:val="auto"/>
              </w:rPr>
            </w:pPr>
            <w:r>
              <w:rPr>
                <w:rFonts w:ascii="Arial" w:cs="Arial" w:eastAsia="Arial" w:hAnsi="Arial"/>
                <w:sz w:val="16"/>
                <w:szCs w:val="16"/>
                <w:color w:val="auto"/>
              </w:rPr>
              <w:t>Deposits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21,837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8,058</w:t>
            </w:r>
          </w:p>
        </w:tc>
        <w:tc>
          <w:tcPr>
            <w:tcW w:w="180" w:type="dxa"/>
            <w:vAlign w:val="bottom"/>
          </w:tcPr>
          <w:p>
            <w:pPr>
              <w:spacing w:after="0"/>
              <w:rPr>
                <w:sz w:val="15"/>
                <w:szCs w:val="15"/>
                <w:color w:val="auto"/>
              </w:rPr>
            </w:pPr>
          </w:p>
        </w:tc>
      </w:tr>
      <w:tr>
        <w:trPr>
          <w:trHeight w:val="176"/>
        </w:trPr>
        <w:tc>
          <w:tcPr>
            <w:tcW w:w="5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w w:val="94"/>
              </w:rPr>
              <w:t>Federal funds purchased and securities sold under agreements to repurchase</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1,139</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618</w:t>
            </w:r>
          </w:p>
        </w:tc>
        <w:tc>
          <w:tcPr>
            <w:tcW w:w="180" w:type="dxa"/>
            <w:vAlign w:val="bottom"/>
            <w:shd w:val="clear" w:color="auto" w:fill="CCEEFF"/>
          </w:tcPr>
          <w:p>
            <w:pPr>
              <w:spacing w:after="0"/>
              <w:rPr>
                <w:sz w:val="15"/>
                <w:szCs w:val="15"/>
                <w:color w:val="auto"/>
              </w:rPr>
            </w:pPr>
          </w:p>
        </w:tc>
      </w:tr>
      <w:tr>
        <w:trPr>
          <w:trHeight w:val="176"/>
        </w:trPr>
        <w:tc>
          <w:tcPr>
            <w:tcW w:w="5420" w:type="dxa"/>
            <w:vAlign w:val="bottom"/>
          </w:tcPr>
          <w:p>
            <w:pPr>
              <w:ind w:left="220"/>
              <w:spacing w:after="0" w:line="176" w:lineRule="exact"/>
              <w:rPr>
                <w:sz w:val="20"/>
                <w:szCs w:val="20"/>
                <w:color w:val="auto"/>
              </w:rPr>
            </w:pPr>
            <w:r>
              <w:rPr>
                <w:rFonts w:ascii="Arial" w:cs="Arial" w:eastAsia="Arial" w:hAnsi="Arial"/>
                <w:sz w:val="16"/>
                <w:szCs w:val="16"/>
                <w:color w:val="auto"/>
              </w:rPr>
              <w:t>Short-term borrowings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1,257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521</w:t>
            </w:r>
          </w:p>
        </w:tc>
        <w:tc>
          <w:tcPr>
            <w:tcW w:w="180" w:type="dxa"/>
            <w:vAlign w:val="bottom"/>
          </w:tcPr>
          <w:p>
            <w:pPr>
              <w:spacing w:after="0"/>
              <w:rPr>
                <w:sz w:val="15"/>
                <w:szCs w:val="15"/>
                <w:color w:val="auto"/>
              </w:rPr>
            </w:pPr>
          </w:p>
        </w:tc>
      </w:tr>
      <w:tr>
        <w:trPr>
          <w:trHeight w:val="176"/>
        </w:trPr>
        <w:tc>
          <w:tcPr>
            <w:tcW w:w="5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622</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421</w:t>
            </w:r>
          </w:p>
        </w:tc>
        <w:tc>
          <w:tcPr>
            <w:tcW w:w="180" w:type="dxa"/>
            <w:vAlign w:val="bottom"/>
            <w:shd w:val="clear" w:color="auto" w:fill="CCEEFF"/>
          </w:tcPr>
          <w:p>
            <w:pPr>
              <w:spacing w:after="0"/>
              <w:rPr>
                <w:sz w:val="15"/>
                <w:szCs w:val="15"/>
                <w:color w:val="auto"/>
              </w:rPr>
            </w:pPr>
          </w:p>
        </w:tc>
      </w:tr>
      <w:tr>
        <w:trPr>
          <w:trHeight w:val="176"/>
        </w:trPr>
        <w:tc>
          <w:tcPr>
            <w:tcW w:w="5420" w:type="dxa"/>
            <w:vAlign w:val="bottom"/>
          </w:tcPr>
          <w:p>
            <w:pPr>
              <w:ind w:left="220"/>
              <w:spacing w:after="0" w:line="176" w:lineRule="exact"/>
              <w:rPr>
                <w:sz w:val="20"/>
                <w:szCs w:val="20"/>
                <w:color w:val="auto"/>
              </w:rPr>
            </w:pPr>
            <w:r>
              <w:rPr>
                <w:rFonts w:ascii="Arial" w:cs="Arial" w:eastAsia="Arial" w:hAnsi="Arial"/>
                <w:sz w:val="16"/>
                <w:szCs w:val="16"/>
                <w:color w:val="auto"/>
              </w:rPr>
              <w:t>Senior notes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1,199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562</w:t>
            </w:r>
          </w:p>
        </w:tc>
        <w:tc>
          <w:tcPr>
            <w:tcW w:w="180" w:type="dxa"/>
            <w:vAlign w:val="bottom"/>
          </w:tcPr>
          <w:p>
            <w:pPr>
              <w:spacing w:after="0"/>
              <w:rPr>
                <w:sz w:val="15"/>
                <w:szCs w:val="15"/>
                <w:color w:val="auto"/>
              </w:rPr>
            </w:pPr>
          </w:p>
        </w:tc>
      </w:tr>
      <w:tr>
        <w:trPr>
          <w:trHeight w:val="176"/>
        </w:trPr>
        <w:tc>
          <w:tcPr>
            <w:tcW w:w="5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Subordinated notes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2,379</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1,098</w:t>
            </w:r>
          </w:p>
        </w:tc>
        <w:tc>
          <w:tcPr>
            <w:tcW w:w="180" w:type="dxa"/>
            <w:vAlign w:val="bottom"/>
            <w:shd w:val="clear" w:color="auto" w:fill="CCEEFF"/>
          </w:tcPr>
          <w:p>
            <w:pPr>
              <w:spacing w:after="0"/>
              <w:rPr>
                <w:sz w:val="15"/>
                <w:szCs w:val="15"/>
                <w:color w:val="auto"/>
              </w:rPr>
            </w:pPr>
          </w:p>
        </w:tc>
      </w:tr>
      <w:tr>
        <w:trPr>
          <w:trHeight w:val="176"/>
        </w:trPr>
        <w:tc>
          <w:tcPr>
            <w:tcW w:w="54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Junior subordinated debt owed to unconsolidated trusts</w:t>
            </w:r>
          </w:p>
        </w:tc>
        <w:tc>
          <w:tcPr>
            <w:tcW w:w="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2,383</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1,857</w:t>
            </w:r>
          </w:p>
        </w:tc>
        <w:tc>
          <w:tcPr>
            <w:tcW w:w="180" w:type="dxa"/>
            <w:vAlign w:val="bottom"/>
            <w:tcBorders>
              <w:bottom w:val="single" w:sz="8" w:color="CCEEFF"/>
            </w:tcBorders>
          </w:tcPr>
          <w:p>
            <w:pPr>
              <w:spacing w:after="0"/>
              <w:rPr>
                <w:sz w:val="15"/>
                <w:szCs w:val="15"/>
                <w:color w:val="auto"/>
              </w:rPr>
            </w:pPr>
          </w:p>
        </w:tc>
      </w:tr>
      <w:tr>
        <w:trPr>
          <w:trHeight w:val="169"/>
        </w:trPr>
        <w:tc>
          <w:tcPr>
            <w:tcW w:w="542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rPr>
              <w:t>Total interest expense</w:t>
            </w:r>
          </w:p>
        </w:tc>
        <w:tc>
          <w:tcPr>
            <w:tcW w:w="2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30,816</w:t>
            </w:r>
          </w:p>
        </w:tc>
        <w:tc>
          <w:tcPr>
            <w:tcW w:w="2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13,135</w:t>
            </w:r>
          </w:p>
        </w:tc>
        <w:tc>
          <w:tcPr>
            <w:tcW w:w="180" w:type="dxa"/>
            <w:vAlign w:val="bottom"/>
            <w:shd w:val="clear" w:color="auto" w:fill="CCEEFF"/>
          </w:tcPr>
          <w:p>
            <w:pPr>
              <w:spacing w:after="0"/>
              <w:rPr>
                <w:sz w:val="14"/>
                <w:szCs w:val="14"/>
                <w:color w:val="auto"/>
              </w:rPr>
            </w:pPr>
          </w:p>
        </w:tc>
      </w:tr>
      <w:tr>
        <w:trPr>
          <w:trHeight w:val="169"/>
        </w:trPr>
        <w:tc>
          <w:tcPr>
            <w:tcW w:w="5420" w:type="dxa"/>
            <w:vAlign w:val="bottom"/>
          </w:tcPr>
          <w:p>
            <w:pPr>
              <w:ind w:left="440"/>
              <w:spacing w:after="0" w:line="169" w:lineRule="exact"/>
              <w:rPr>
                <w:sz w:val="20"/>
                <w:szCs w:val="20"/>
                <w:color w:val="auto"/>
              </w:rPr>
            </w:pPr>
            <w:r>
              <w:rPr>
                <w:rFonts w:ascii="Arial" w:cs="Arial" w:eastAsia="Arial" w:hAnsi="Arial"/>
                <w:sz w:val="16"/>
                <w:szCs w:val="16"/>
                <w:color w:val="auto"/>
              </w:rPr>
              <w:t>Net interest income</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180,903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140,320</w:t>
            </w:r>
          </w:p>
        </w:tc>
        <w:tc>
          <w:tcPr>
            <w:tcW w:w="180" w:type="dxa"/>
            <w:vAlign w:val="bottom"/>
          </w:tcPr>
          <w:p>
            <w:pPr>
              <w:spacing w:after="0"/>
              <w:rPr>
                <w:sz w:val="14"/>
                <w:szCs w:val="14"/>
                <w:color w:val="auto"/>
              </w:rPr>
            </w:pPr>
          </w:p>
        </w:tc>
      </w:tr>
      <w:tr>
        <w:trPr>
          <w:trHeight w:val="176"/>
        </w:trPr>
        <w:tc>
          <w:tcPr>
            <w:tcW w:w="5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Provision for loan losses</w:t>
            </w:r>
          </w:p>
        </w:tc>
        <w:tc>
          <w:tcPr>
            <w:tcW w:w="2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4,024</w:t>
            </w:r>
          </w:p>
        </w:tc>
        <w:tc>
          <w:tcPr>
            <w:tcW w:w="2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2,494</w:t>
            </w:r>
          </w:p>
        </w:tc>
        <w:tc>
          <w:tcPr>
            <w:tcW w:w="180" w:type="dxa"/>
            <w:vAlign w:val="bottom"/>
            <w:shd w:val="clear" w:color="auto" w:fill="CCEEFF"/>
          </w:tcPr>
          <w:p>
            <w:pPr>
              <w:spacing w:after="0"/>
              <w:rPr>
                <w:sz w:val="15"/>
                <w:szCs w:val="15"/>
                <w:color w:val="auto"/>
              </w:rPr>
            </w:pPr>
          </w:p>
        </w:tc>
      </w:tr>
      <w:tr>
        <w:trPr>
          <w:trHeight w:val="169"/>
        </w:trPr>
        <w:tc>
          <w:tcPr>
            <w:tcW w:w="5420" w:type="dxa"/>
            <w:vAlign w:val="bottom"/>
            <w:tcBorders>
              <w:bottom w:val="single" w:sz="8" w:color="CCEEFF"/>
            </w:tcBorders>
          </w:tcPr>
          <w:p>
            <w:pPr>
              <w:ind w:left="440"/>
              <w:spacing w:after="0" w:line="169" w:lineRule="exact"/>
              <w:rPr>
                <w:sz w:val="20"/>
                <w:szCs w:val="20"/>
                <w:color w:val="auto"/>
              </w:rPr>
            </w:pPr>
            <w:r>
              <w:rPr>
                <w:rFonts w:ascii="Arial" w:cs="Arial" w:eastAsia="Arial" w:hAnsi="Arial"/>
                <w:sz w:val="16"/>
                <w:szCs w:val="16"/>
                <w:color w:val="auto"/>
              </w:rPr>
              <w:t>Net interest income after provision for loan losses</w:t>
            </w: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89"/>
              </w:rPr>
              <w:t>176,879</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137,826</w:t>
            </w:r>
          </w:p>
        </w:tc>
        <w:tc>
          <w:tcPr>
            <w:tcW w:w="180" w:type="dxa"/>
            <w:vAlign w:val="bottom"/>
            <w:tcBorders>
              <w:bottom w:val="single" w:sz="8" w:color="CCEEFF"/>
            </w:tcBorders>
          </w:tcPr>
          <w:p>
            <w:pPr>
              <w:spacing w:after="0"/>
              <w:rPr>
                <w:sz w:val="14"/>
                <w:szCs w:val="14"/>
                <w:color w:val="auto"/>
              </w:rPr>
            </w:pPr>
          </w:p>
        </w:tc>
      </w:tr>
      <w:tr>
        <w:trPr>
          <w:trHeight w:val="169"/>
        </w:trPr>
        <w:tc>
          <w:tcPr>
            <w:tcW w:w="54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Non-interest income:</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6"/>
        </w:trPr>
        <w:tc>
          <w:tcPr>
            <w:tcW w:w="5420" w:type="dxa"/>
            <w:vAlign w:val="bottom"/>
          </w:tcPr>
          <w:p>
            <w:pPr>
              <w:ind w:left="220"/>
              <w:spacing w:after="0" w:line="176" w:lineRule="exact"/>
              <w:rPr>
                <w:sz w:val="20"/>
                <w:szCs w:val="20"/>
                <w:color w:val="auto"/>
              </w:rPr>
            </w:pPr>
            <w:r>
              <w:rPr>
                <w:rFonts w:ascii="Arial" w:cs="Arial" w:eastAsia="Arial" w:hAnsi="Arial"/>
                <w:sz w:val="16"/>
                <w:szCs w:val="16"/>
                <w:color w:val="auto"/>
              </w:rPr>
              <w:t>Trust fees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20,573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17,088</w:t>
            </w:r>
          </w:p>
        </w:tc>
        <w:tc>
          <w:tcPr>
            <w:tcW w:w="180" w:type="dxa"/>
            <w:vAlign w:val="bottom"/>
          </w:tcPr>
          <w:p>
            <w:pPr>
              <w:spacing w:after="0"/>
              <w:rPr>
                <w:sz w:val="15"/>
                <w:szCs w:val="15"/>
                <w:color w:val="auto"/>
              </w:rPr>
            </w:pPr>
          </w:p>
        </w:tc>
      </w:tr>
      <w:tr>
        <w:trPr>
          <w:trHeight w:val="176"/>
        </w:trPr>
        <w:tc>
          <w:tcPr>
            <w:tcW w:w="5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Commissions and brokers’ fees, net</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2,860</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2,239</w:t>
            </w:r>
          </w:p>
        </w:tc>
        <w:tc>
          <w:tcPr>
            <w:tcW w:w="180" w:type="dxa"/>
            <w:vAlign w:val="bottom"/>
            <w:shd w:val="clear" w:color="auto" w:fill="CCEEFF"/>
          </w:tcPr>
          <w:p>
            <w:pPr>
              <w:spacing w:after="0"/>
              <w:rPr>
                <w:sz w:val="15"/>
                <w:szCs w:val="15"/>
                <w:color w:val="auto"/>
              </w:rPr>
            </w:pPr>
          </w:p>
        </w:tc>
      </w:tr>
      <w:tr>
        <w:trPr>
          <w:trHeight w:val="176"/>
        </w:trPr>
        <w:tc>
          <w:tcPr>
            <w:tcW w:w="5420" w:type="dxa"/>
            <w:vAlign w:val="bottom"/>
          </w:tcPr>
          <w:p>
            <w:pPr>
              <w:ind w:left="220"/>
              <w:spacing w:after="0" w:line="176" w:lineRule="exact"/>
              <w:rPr>
                <w:sz w:val="20"/>
                <w:szCs w:val="20"/>
                <w:color w:val="auto"/>
              </w:rPr>
            </w:pPr>
            <w:r>
              <w:rPr>
                <w:rFonts w:ascii="Arial" w:cs="Arial" w:eastAsia="Arial" w:hAnsi="Arial"/>
                <w:sz w:val="16"/>
                <w:szCs w:val="16"/>
                <w:color w:val="auto"/>
              </w:rPr>
              <w:t>Remittance processing</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10,588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8,581</w:t>
            </w:r>
          </w:p>
        </w:tc>
        <w:tc>
          <w:tcPr>
            <w:tcW w:w="180" w:type="dxa"/>
            <w:vAlign w:val="bottom"/>
          </w:tcPr>
          <w:p>
            <w:pPr>
              <w:spacing w:after="0"/>
              <w:rPr>
                <w:sz w:val="15"/>
                <w:szCs w:val="15"/>
                <w:color w:val="auto"/>
              </w:rPr>
            </w:pPr>
          </w:p>
        </w:tc>
      </w:tr>
      <w:tr>
        <w:trPr>
          <w:trHeight w:val="176"/>
        </w:trPr>
        <w:tc>
          <w:tcPr>
            <w:tcW w:w="5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Fees for customer services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21,576</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18,658</w:t>
            </w:r>
          </w:p>
        </w:tc>
        <w:tc>
          <w:tcPr>
            <w:tcW w:w="180" w:type="dxa"/>
            <w:vAlign w:val="bottom"/>
            <w:shd w:val="clear" w:color="auto" w:fill="CCEEFF"/>
          </w:tcPr>
          <w:p>
            <w:pPr>
              <w:spacing w:after="0"/>
              <w:rPr>
                <w:sz w:val="15"/>
                <w:szCs w:val="15"/>
                <w:color w:val="auto"/>
              </w:rPr>
            </w:pPr>
          </w:p>
        </w:tc>
      </w:tr>
      <w:tr>
        <w:trPr>
          <w:trHeight w:val="176"/>
        </w:trPr>
        <w:tc>
          <w:tcPr>
            <w:tcW w:w="5420" w:type="dxa"/>
            <w:vAlign w:val="bottom"/>
          </w:tcPr>
          <w:p>
            <w:pPr>
              <w:ind w:left="220"/>
              <w:spacing w:after="0" w:line="176" w:lineRule="exact"/>
              <w:rPr>
                <w:sz w:val="20"/>
                <w:szCs w:val="20"/>
                <w:color w:val="auto"/>
              </w:rPr>
            </w:pPr>
            <w:r>
              <w:rPr>
                <w:rFonts w:ascii="Arial" w:cs="Arial" w:eastAsia="Arial" w:hAnsi="Arial"/>
                <w:sz w:val="16"/>
                <w:szCs w:val="16"/>
                <w:color w:val="auto"/>
              </w:rPr>
              <w:t>Mortgage revenue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4,488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8,430</w:t>
            </w:r>
          </w:p>
        </w:tc>
        <w:tc>
          <w:tcPr>
            <w:tcW w:w="180" w:type="dxa"/>
            <w:vAlign w:val="bottom"/>
          </w:tcPr>
          <w:p>
            <w:pPr>
              <w:spacing w:after="0"/>
              <w:rPr>
                <w:sz w:val="15"/>
                <w:szCs w:val="15"/>
                <w:color w:val="auto"/>
              </w:rPr>
            </w:pPr>
          </w:p>
        </w:tc>
      </w:tr>
      <w:tr>
        <w:trPr>
          <w:trHeight w:val="176"/>
        </w:trPr>
        <w:tc>
          <w:tcPr>
            <w:tcW w:w="5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Security gains, net</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160</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1,143</w:t>
            </w:r>
          </w:p>
        </w:tc>
        <w:tc>
          <w:tcPr>
            <w:tcW w:w="180" w:type="dxa"/>
            <w:vAlign w:val="bottom"/>
            <w:shd w:val="clear" w:color="auto" w:fill="CCEEFF"/>
          </w:tcPr>
          <w:p>
            <w:pPr>
              <w:spacing w:after="0"/>
              <w:rPr>
                <w:sz w:val="15"/>
                <w:szCs w:val="15"/>
                <w:color w:val="auto"/>
              </w:rPr>
            </w:pPr>
          </w:p>
        </w:tc>
      </w:tr>
      <w:tr>
        <w:trPr>
          <w:trHeight w:val="176"/>
        </w:trPr>
        <w:tc>
          <w:tcPr>
            <w:tcW w:w="54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Other income</w:t>
            </w:r>
          </w:p>
        </w:tc>
        <w:tc>
          <w:tcPr>
            <w:tcW w:w="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6,896</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4,774</w:t>
            </w:r>
          </w:p>
        </w:tc>
        <w:tc>
          <w:tcPr>
            <w:tcW w:w="180" w:type="dxa"/>
            <w:vAlign w:val="bottom"/>
            <w:tcBorders>
              <w:bottom w:val="single" w:sz="8" w:color="CCEEFF"/>
            </w:tcBorders>
          </w:tcPr>
          <w:p>
            <w:pPr>
              <w:spacing w:after="0"/>
              <w:rPr>
                <w:sz w:val="15"/>
                <w:szCs w:val="15"/>
                <w:color w:val="auto"/>
              </w:rPr>
            </w:pPr>
          </w:p>
        </w:tc>
      </w:tr>
      <w:tr>
        <w:trPr>
          <w:trHeight w:val="169"/>
        </w:trPr>
        <w:tc>
          <w:tcPr>
            <w:tcW w:w="542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rPr>
              <w:t>Total non-interest income</w:t>
            </w:r>
          </w:p>
        </w:tc>
        <w:tc>
          <w:tcPr>
            <w:tcW w:w="2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67,141</w:t>
            </w:r>
          </w:p>
        </w:tc>
        <w:tc>
          <w:tcPr>
            <w:tcW w:w="2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60,913</w:t>
            </w:r>
          </w:p>
        </w:tc>
        <w:tc>
          <w:tcPr>
            <w:tcW w:w="180" w:type="dxa"/>
            <w:vAlign w:val="bottom"/>
            <w:shd w:val="clear" w:color="auto" w:fill="CCEEFF"/>
          </w:tcPr>
          <w:p>
            <w:pPr>
              <w:spacing w:after="0"/>
              <w:rPr>
                <w:sz w:val="14"/>
                <w:szCs w:val="14"/>
                <w:color w:val="auto"/>
              </w:rPr>
            </w:pPr>
          </w:p>
        </w:tc>
      </w:tr>
      <w:tr>
        <w:trPr>
          <w:trHeight w:val="169"/>
        </w:trPr>
        <w:tc>
          <w:tcPr>
            <w:tcW w:w="5420" w:type="dxa"/>
            <w:vAlign w:val="bottom"/>
          </w:tcPr>
          <w:p>
            <w:pPr>
              <w:spacing w:after="0" w:line="169" w:lineRule="exact"/>
              <w:rPr>
                <w:sz w:val="20"/>
                <w:szCs w:val="20"/>
                <w:color w:val="auto"/>
              </w:rPr>
            </w:pPr>
            <w:r>
              <w:rPr>
                <w:rFonts w:ascii="Arial" w:cs="Arial" w:eastAsia="Arial" w:hAnsi="Arial"/>
                <w:sz w:val="16"/>
                <w:szCs w:val="16"/>
                <w:b w:val="1"/>
                <w:bCs w:val="1"/>
                <w:color w:val="auto"/>
              </w:rPr>
              <w:t>Non-interest expense:</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6"/>
        </w:trPr>
        <w:tc>
          <w:tcPr>
            <w:tcW w:w="5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Salaries, wages and employee benefits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80,315</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67,448</w:t>
            </w:r>
          </w:p>
        </w:tc>
        <w:tc>
          <w:tcPr>
            <w:tcW w:w="180" w:type="dxa"/>
            <w:vAlign w:val="bottom"/>
            <w:shd w:val="clear" w:color="auto" w:fill="CCEEFF"/>
          </w:tcPr>
          <w:p>
            <w:pPr>
              <w:spacing w:after="0"/>
              <w:rPr>
                <w:sz w:val="15"/>
                <w:szCs w:val="15"/>
                <w:color w:val="auto"/>
              </w:rPr>
            </w:pPr>
          </w:p>
        </w:tc>
      </w:tr>
      <w:tr>
        <w:trPr>
          <w:trHeight w:val="176"/>
        </w:trPr>
        <w:tc>
          <w:tcPr>
            <w:tcW w:w="5420" w:type="dxa"/>
            <w:vAlign w:val="bottom"/>
          </w:tcPr>
          <w:p>
            <w:pPr>
              <w:ind w:left="220"/>
              <w:spacing w:after="0" w:line="176" w:lineRule="exact"/>
              <w:rPr>
                <w:sz w:val="20"/>
                <w:szCs w:val="20"/>
                <w:color w:val="auto"/>
              </w:rPr>
            </w:pPr>
            <w:r>
              <w:rPr>
                <w:rFonts w:ascii="Arial" w:cs="Arial" w:eastAsia="Arial" w:hAnsi="Arial"/>
                <w:sz w:val="16"/>
                <w:szCs w:val="16"/>
                <w:color w:val="auto"/>
              </w:rPr>
              <w:t>Net occupancy expense of premises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11,271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10,025</w:t>
            </w:r>
          </w:p>
        </w:tc>
        <w:tc>
          <w:tcPr>
            <w:tcW w:w="180" w:type="dxa"/>
            <w:vAlign w:val="bottom"/>
          </w:tcPr>
          <w:p>
            <w:pPr>
              <w:spacing w:after="0"/>
              <w:rPr>
                <w:sz w:val="15"/>
                <w:szCs w:val="15"/>
                <w:color w:val="auto"/>
              </w:rPr>
            </w:pPr>
          </w:p>
        </w:tc>
      </w:tr>
      <w:tr>
        <w:trPr>
          <w:trHeight w:val="176"/>
        </w:trPr>
        <w:tc>
          <w:tcPr>
            <w:tcW w:w="5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Furniture and equipment expenses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5,418</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5,123</w:t>
            </w:r>
          </w:p>
        </w:tc>
        <w:tc>
          <w:tcPr>
            <w:tcW w:w="180" w:type="dxa"/>
            <w:vAlign w:val="bottom"/>
            <w:shd w:val="clear" w:color="auto" w:fill="CCEEFF"/>
          </w:tcPr>
          <w:p>
            <w:pPr>
              <w:spacing w:after="0"/>
              <w:rPr>
                <w:sz w:val="15"/>
                <w:szCs w:val="15"/>
                <w:color w:val="auto"/>
              </w:rPr>
            </w:pPr>
          </w:p>
        </w:tc>
      </w:tr>
      <w:tr>
        <w:trPr>
          <w:trHeight w:val="176"/>
        </w:trPr>
        <w:tc>
          <w:tcPr>
            <w:tcW w:w="5420" w:type="dxa"/>
            <w:vAlign w:val="bottom"/>
          </w:tcPr>
          <w:p>
            <w:pPr>
              <w:ind w:left="220"/>
              <w:spacing w:after="0" w:line="176" w:lineRule="exact"/>
              <w:rPr>
                <w:sz w:val="20"/>
                <w:szCs w:val="20"/>
                <w:color w:val="auto"/>
              </w:rPr>
            </w:pPr>
            <w:r>
              <w:rPr>
                <w:rFonts w:ascii="Arial" w:cs="Arial" w:eastAsia="Arial" w:hAnsi="Arial"/>
                <w:sz w:val="16"/>
                <w:szCs w:val="16"/>
                <w:color w:val="auto"/>
              </w:rPr>
              <w:t>Data processing</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12,391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11,348</w:t>
            </w:r>
          </w:p>
        </w:tc>
        <w:tc>
          <w:tcPr>
            <w:tcW w:w="180" w:type="dxa"/>
            <w:vAlign w:val="bottom"/>
          </w:tcPr>
          <w:p>
            <w:pPr>
              <w:spacing w:after="0"/>
              <w:rPr>
                <w:sz w:val="15"/>
                <w:szCs w:val="15"/>
                <w:color w:val="auto"/>
              </w:rPr>
            </w:pPr>
          </w:p>
        </w:tc>
      </w:tr>
      <w:tr>
        <w:trPr>
          <w:trHeight w:val="176"/>
        </w:trPr>
        <w:tc>
          <w:tcPr>
            <w:tcW w:w="5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4,450</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3,675</w:t>
            </w:r>
          </w:p>
        </w:tc>
        <w:tc>
          <w:tcPr>
            <w:tcW w:w="180" w:type="dxa"/>
            <w:vAlign w:val="bottom"/>
            <w:shd w:val="clear" w:color="auto" w:fill="CCEEFF"/>
          </w:tcPr>
          <w:p>
            <w:pPr>
              <w:spacing w:after="0"/>
              <w:rPr>
                <w:sz w:val="15"/>
                <w:szCs w:val="15"/>
                <w:color w:val="auto"/>
              </w:rPr>
            </w:pPr>
          </w:p>
        </w:tc>
      </w:tr>
      <w:tr>
        <w:trPr>
          <w:trHeight w:val="176"/>
        </w:trPr>
        <w:tc>
          <w:tcPr>
            <w:tcW w:w="54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Other expense</w:t>
            </w:r>
          </w:p>
        </w:tc>
        <w:tc>
          <w:tcPr>
            <w:tcW w:w="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30,429</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23,707</w:t>
            </w:r>
          </w:p>
        </w:tc>
        <w:tc>
          <w:tcPr>
            <w:tcW w:w="180" w:type="dxa"/>
            <w:vAlign w:val="bottom"/>
            <w:tcBorders>
              <w:bottom w:val="single" w:sz="8" w:color="CCEEFF"/>
            </w:tcBorders>
          </w:tcPr>
          <w:p>
            <w:pPr>
              <w:spacing w:after="0"/>
              <w:rPr>
                <w:sz w:val="15"/>
                <w:szCs w:val="15"/>
                <w:color w:val="auto"/>
              </w:rPr>
            </w:pPr>
          </w:p>
        </w:tc>
      </w:tr>
      <w:tr>
        <w:trPr>
          <w:trHeight w:val="169"/>
        </w:trPr>
        <w:tc>
          <w:tcPr>
            <w:tcW w:w="542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rPr>
              <w:t>Total non-interest expense</w:t>
            </w:r>
          </w:p>
        </w:tc>
        <w:tc>
          <w:tcPr>
            <w:tcW w:w="2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w w:val="89"/>
              </w:rPr>
              <w:t>144,274</w:t>
            </w:r>
          </w:p>
        </w:tc>
        <w:tc>
          <w:tcPr>
            <w:tcW w:w="2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121,326</w:t>
            </w:r>
          </w:p>
        </w:tc>
        <w:tc>
          <w:tcPr>
            <w:tcW w:w="180" w:type="dxa"/>
            <w:vAlign w:val="bottom"/>
            <w:shd w:val="clear" w:color="auto" w:fill="CCEEFF"/>
          </w:tcPr>
          <w:p>
            <w:pPr>
              <w:spacing w:after="0"/>
              <w:rPr>
                <w:sz w:val="14"/>
                <w:szCs w:val="14"/>
                <w:color w:val="auto"/>
              </w:rPr>
            </w:pPr>
          </w:p>
        </w:tc>
      </w:tr>
      <w:tr>
        <w:trPr>
          <w:trHeight w:val="169"/>
        </w:trPr>
        <w:tc>
          <w:tcPr>
            <w:tcW w:w="5420" w:type="dxa"/>
            <w:vAlign w:val="bottom"/>
          </w:tcPr>
          <w:p>
            <w:pPr>
              <w:ind w:left="440"/>
              <w:spacing w:after="0" w:line="169" w:lineRule="exact"/>
              <w:rPr>
                <w:sz w:val="20"/>
                <w:szCs w:val="20"/>
                <w:color w:val="auto"/>
              </w:rPr>
            </w:pPr>
            <w:r>
              <w:rPr>
                <w:rFonts w:ascii="Arial" w:cs="Arial" w:eastAsia="Arial" w:hAnsi="Arial"/>
                <w:sz w:val="16"/>
                <w:szCs w:val="16"/>
                <w:color w:val="auto"/>
              </w:rPr>
              <w:t>Income before income taxes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99,746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77,413</w:t>
            </w:r>
          </w:p>
        </w:tc>
        <w:tc>
          <w:tcPr>
            <w:tcW w:w="180" w:type="dxa"/>
            <w:vAlign w:val="bottom"/>
          </w:tcPr>
          <w:p>
            <w:pPr>
              <w:spacing w:after="0"/>
              <w:rPr>
                <w:sz w:val="14"/>
                <w:szCs w:val="14"/>
                <w:color w:val="auto"/>
              </w:rPr>
            </w:pPr>
          </w:p>
        </w:tc>
      </w:tr>
      <w:tr>
        <w:trPr>
          <w:trHeight w:val="176"/>
        </w:trPr>
        <w:tc>
          <w:tcPr>
            <w:tcW w:w="54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Income taxes</w:t>
            </w:r>
          </w:p>
        </w:tc>
        <w:tc>
          <w:tcPr>
            <w:tcW w:w="2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26,108</w:t>
            </w:r>
          </w:p>
        </w:tc>
        <w:tc>
          <w:tcPr>
            <w:tcW w:w="2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26,980</w:t>
            </w:r>
          </w:p>
        </w:tc>
        <w:tc>
          <w:tcPr>
            <w:tcW w:w="180" w:type="dxa"/>
            <w:vAlign w:val="bottom"/>
            <w:shd w:val="clear" w:color="auto" w:fill="CCEEFF"/>
          </w:tcPr>
          <w:p>
            <w:pPr>
              <w:spacing w:after="0"/>
              <w:rPr>
                <w:sz w:val="15"/>
                <w:szCs w:val="15"/>
                <w:color w:val="auto"/>
              </w:rPr>
            </w:pPr>
          </w:p>
        </w:tc>
      </w:tr>
      <w:tr>
        <w:trPr>
          <w:trHeight w:val="176"/>
        </w:trPr>
        <w:tc>
          <w:tcPr>
            <w:tcW w:w="5420" w:type="dxa"/>
            <w:vAlign w:val="bottom"/>
            <w:tcBorders>
              <w:bottom w:val="single" w:sz="8" w:color="CCEEFF"/>
            </w:tcBorders>
          </w:tcPr>
          <w:p>
            <w:pPr>
              <w:ind w:left="440"/>
              <w:spacing w:after="0" w:line="169" w:lineRule="exact"/>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725"/>
              <w:spacing w:after="0" w:line="169" w:lineRule="exact"/>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73,638</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50,433</w:t>
            </w:r>
          </w:p>
        </w:tc>
        <w:tc>
          <w:tcPr>
            <w:tcW w:w="180" w:type="dxa"/>
            <w:vAlign w:val="bottom"/>
            <w:tcBorders>
              <w:bottom w:val="single" w:sz="8" w:color="CCEEFF"/>
            </w:tcBorders>
          </w:tcPr>
          <w:p>
            <w:pPr>
              <w:spacing w:after="0"/>
              <w:rPr>
                <w:sz w:val="15"/>
                <w:szCs w:val="15"/>
                <w:color w:val="auto"/>
              </w:rPr>
            </w:pPr>
          </w:p>
        </w:tc>
      </w:tr>
      <w:tr>
        <w:trPr>
          <w:trHeight w:val="176"/>
        </w:trPr>
        <w:tc>
          <w:tcPr>
            <w:tcW w:w="5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3"/>
        </w:trPr>
        <w:tc>
          <w:tcPr>
            <w:tcW w:w="5420" w:type="dxa"/>
            <w:vAlign w:val="bottom"/>
          </w:tcPr>
          <w:p>
            <w:pPr>
              <w:spacing w:after="0" w:line="176" w:lineRule="exact"/>
              <w:rPr>
                <w:sz w:val="20"/>
                <w:szCs w:val="20"/>
                <w:color w:val="auto"/>
              </w:rPr>
            </w:pPr>
            <w:r>
              <w:rPr>
                <w:rFonts w:ascii="Arial" w:cs="Arial" w:eastAsia="Arial" w:hAnsi="Arial"/>
                <w:sz w:val="16"/>
                <w:szCs w:val="16"/>
                <w:b w:val="1"/>
                <w:bCs w:val="1"/>
                <w:color w:val="auto"/>
              </w:rPr>
              <w:t>Basic earnings per common share</w:t>
            </w:r>
          </w:p>
        </w:tc>
        <w:tc>
          <w:tcPr>
            <w:tcW w:w="1160" w:type="dxa"/>
            <w:vAlign w:val="bottom"/>
            <w:gridSpan w:val="2"/>
          </w:tcPr>
          <w:p>
            <w:pPr>
              <w:jc w:val="right"/>
              <w:ind w:right="725"/>
              <w:spacing w:after="0" w:line="176" w:lineRule="exact"/>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1.51</w:t>
            </w:r>
          </w:p>
        </w:tc>
        <w:tc>
          <w:tcPr>
            <w:tcW w:w="560" w:type="dxa"/>
            <w:vAlign w:val="bottom"/>
            <w:gridSpan w:val="2"/>
          </w:tcPr>
          <w:p>
            <w:pPr>
              <w:jc w:val="right"/>
              <w:ind w:right="184"/>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1.24</w:t>
            </w:r>
          </w:p>
        </w:tc>
        <w:tc>
          <w:tcPr>
            <w:tcW w:w="180" w:type="dxa"/>
            <w:vAlign w:val="bottom"/>
          </w:tcPr>
          <w:p>
            <w:pPr>
              <w:spacing w:after="0"/>
              <w:rPr>
                <w:sz w:val="15"/>
                <w:szCs w:val="15"/>
                <w:color w:val="auto"/>
              </w:rPr>
            </w:pPr>
          </w:p>
        </w:tc>
      </w:tr>
      <w:tr>
        <w:trPr>
          <w:trHeight w:val="196"/>
        </w:trPr>
        <w:tc>
          <w:tcPr>
            <w:tcW w:w="542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Diluted earnings per common share</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1.50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1.23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8"/>
        </w:trPr>
        <w:tc>
          <w:tcPr>
            <w:tcW w:w="5420" w:type="dxa"/>
            <w:vAlign w:val="bottom"/>
          </w:tcPr>
          <w:p>
            <w:pPr>
              <w:spacing w:after="0" w:line="178" w:lineRule="exact"/>
              <w:rPr>
                <w:sz w:val="20"/>
                <w:szCs w:val="20"/>
                <w:color w:val="auto"/>
              </w:rPr>
            </w:pPr>
            <w:r>
              <w:rPr>
                <w:rFonts w:ascii="Arial" w:cs="Arial" w:eastAsia="Arial" w:hAnsi="Arial"/>
                <w:sz w:val="16"/>
                <w:szCs w:val="16"/>
                <w:b w:val="1"/>
                <w:bCs w:val="1"/>
                <w:color w:val="auto"/>
              </w:rPr>
              <w:t>Dividends declared per share of common stock</w:t>
            </w:r>
          </w:p>
        </w:tc>
        <w:tc>
          <w:tcPr>
            <w:tcW w:w="280" w:type="dxa"/>
            <w:vAlign w:val="bottom"/>
          </w:tcPr>
          <w:p>
            <w:pPr>
              <w:spacing w:after="0"/>
              <w:rPr>
                <w:sz w:val="15"/>
                <w:szCs w:val="15"/>
                <w:color w:val="auto"/>
              </w:rPr>
            </w:pPr>
          </w:p>
        </w:tc>
        <w:tc>
          <w:tcPr>
            <w:tcW w:w="880" w:type="dxa"/>
            <w:vAlign w:val="bottom"/>
          </w:tcPr>
          <w:p>
            <w:pPr>
              <w:jc w:val="right"/>
              <w:ind w:right="72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0.60</w:t>
            </w:r>
          </w:p>
        </w:tc>
        <w:tc>
          <w:tcPr>
            <w:tcW w:w="220" w:type="dxa"/>
            <w:vAlign w:val="bottom"/>
          </w:tcPr>
          <w:p>
            <w:pPr>
              <w:spacing w:after="0"/>
              <w:rPr>
                <w:sz w:val="15"/>
                <w:szCs w:val="15"/>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0.54</w:t>
            </w:r>
          </w:p>
        </w:tc>
        <w:tc>
          <w:tcPr>
            <w:tcW w:w="1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-8890</wp:posOffset>
            </wp:positionV>
            <wp:extent cx="20237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line="214" w:lineRule="auto"/>
        <w:rPr>
          <w:sz w:val="20"/>
          <w:szCs w:val="20"/>
          <w:color w:val="auto"/>
        </w:rPr>
      </w:pPr>
      <w:r>
        <w:rPr>
          <w:rFonts w:ascii="Arial" w:cs="Arial" w:eastAsia="Arial" w:hAnsi="Arial"/>
          <w:sz w:val="18"/>
          <w:szCs w:val="18"/>
          <w:b w:val="1"/>
          <w:bCs w:val="1"/>
          <w:color w:val="auto"/>
        </w:rPr>
        <w:t>FIRST BUSEY CORPORATION and Subsidiaries CONSOLIDATED STATEMENTS OF INCOME For the Three Months Ended September 30, 2018 and 2017 (Unaudited)</w:t>
      </w:r>
    </w:p>
    <w:tbl>
      <w:tblPr>
        <w:tblLayout w:type="fixed"/>
        <w:tblInd w:w="0" w:type="dxa"/>
        <w:tblCellMar>
          <w:top w:w="0" w:type="dxa"/>
          <w:left w:w="0" w:type="dxa"/>
          <w:bottom w:w="0" w:type="dxa"/>
          <w:right w:w="0" w:type="dxa"/>
        </w:tblCellMar>
      </w:tblPr>
      <w:tr>
        <w:trPr>
          <w:trHeight w:val="158"/>
        </w:trPr>
        <w:tc>
          <w:tcPr>
            <w:tcW w:w="5480" w:type="dxa"/>
            <w:vAlign w:val="bottom"/>
          </w:tcPr>
          <w:p>
            <w:pPr>
              <w:spacing w:after="0"/>
              <w:rPr>
                <w:sz w:val="13"/>
                <w:szCs w:val="13"/>
                <w:color w:val="auto"/>
              </w:rPr>
            </w:pPr>
          </w:p>
        </w:tc>
        <w:tc>
          <w:tcPr>
            <w:tcW w:w="12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9"/>
              <w:spacing w:after="0" w:line="158" w:lineRule="exact"/>
              <w:rPr>
                <w:sz w:val="20"/>
                <w:szCs w:val="20"/>
                <w:color w:val="auto"/>
              </w:rPr>
            </w:pPr>
            <w:r>
              <w:rPr>
                <w:rFonts w:ascii="Arial" w:cs="Arial" w:eastAsia="Arial" w:hAnsi="Arial"/>
                <w:sz w:val="14"/>
                <w:szCs w:val="14"/>
                <w:b w:val="1"/>
                <w:bCs w:val="1"/>
                <w:color w:val="auto"/>
              </w:rPr>
              <w:t>2017</w:t>
            </w:r>
          </w:p>
        </w:tc>
      </w:tr>
      <w:tr>
        <w:trPr>
          <w:trHeight w:val="142"/>
        </w:trPr>
        <w:tc>
          <w:tcPr>
            <w:tcW w:w="5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Borders>
              <w:top w:val="single" w:sz="8" w:color="auto"/>
            </w:tcBorders>
            <w:gridSpan w:val="5"/>
          </w:tcPr>
          <w:p>
            <w:pPr>
              <w:jc w:val="right"/>
              <w:ind w:right="99"/>
              <w:spacing w:after="0" w:line="142" w:lineRule="exact"/>
              <w:rPr>
                <w:sz w:val="20"/>
                <w:szCs w:val="20"/>
                <w:color w:val="auto"/>
              </w:rPr>
            </w:pPr>
            <w:r>
              <w:rPr>
                <w:rFonts w:ascii="Arial" w:cs="Arial" w:eastAsia="Arial" w:hAnsi="Arial"/>
                <w:sz w:val="14"/>
                <w:szCs w:val="14"/>
                <w:b w:val="1"/>
                <w:bCs w:val="1"/>
                <w:i w:val="1"/>
                <w:iCs w:val="1"/>
                <w:color w:val="auto"/>
                <w:w w:val="92"/>
              </w:rPr>
              <w:t>(dollars in thousands, except per share amounts)</w:t>
            </w:r>
          </w:p>
        </w:tc>
      </w:tr>
      <w:tr>
        <w:trPr>
          <w:trHeight w:val="176"/>
        </w:trPr>
        <w:tc>
          <w:tcPr>
            <w:tcW w:w="54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Interest income:</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Interest and fees on loans</w:t>
            </w:r>
          </w:p>
        </w:tc>
        <w:tc>
          <w:tcPr>
            <w:tcW w:w="1280" w:type="dxa"/>
            <w:vAlign w:val="bottom"/>
            <w:gridSpan w:val="2"/>
          </w:tcPr>
          <w:p>
            <w:pPr>
              <w:jc w:val="right"/>
              <w:ind w:right="785"/>
              <w:spacing w:after="0" w:line="176" w:lineRule="exact"/>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8"/>
              </w:rPr>
              <w:t>63,589</w:t>
            </w:r>
          </w:p>
        </w:tc>
        <w:tc>
          <w:tcPr>
            <w:tcW w:w="580" w:type="dxa"/>
            <w:vAlign w:val="bottom"/>
            <w:gridSpan w:val="2"/>
          </w:tcPr>
          <w:p>
            <w:pPr>
              <w:jc w:val="right"/>
              <w:ind w:right="184"/>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56,762</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Interest and dividends on investment securities: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6"/>
        </w:trPr>
        <w:tc>
          <w:tcPr>
            <w:tcW w:w="5480" w:type="dxa"/>
            <w:vAlign w:val="bottom"/>
          </w:tcPr>
          <w:p>
            <w:pPr>
              <w:ind w:left="320"/>
              <w:spacing w:after="0" w:line="176" w:lineRule="exact"/>
              <w:rPr>
                <w:sz w:val="20"/>
                <w:szCs w:val="20"/>
                <w:color w:val="auto"/>
              </w:rPr>
            </w:pPr>
            <w:r>
              <w:rPr>
                <w:rFonts w:ascii="Arial" w:cs="Arial" w:eastAsia="Arial" w:hAnsi="Arial"/>
                <w:sz w:val="16"/>
                <w:szCs w:val="16"/>
                <w:color w:val="auto"/>
              </w:rPr>
              <w:t>Taxable interest income</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8,006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4,689</w:t>
            </w:r>
          </w:p>
        </w:tc>
      </w:tr>
      <w:tr>
        <w:trPr>
          <w:trHeight w:val="176"/>
        </w:trPr>
        <w:tc>
          <w:tcPr>
            <w:tcW w:w="54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Non-taxable interest income</w:t>
            </w:r>
          </w:p>
        </w:tc>
        <w:tc>
          <w:tcPr>
            <w:tcW w:w="3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1,166</w:t>
            </w:r>
          </w:p>
        </w:tc>
        <w:tc>
          <w:tcPr>
            <w:tcW w:w="2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1,068</w:t>
            </w:r>
          </w:p>
        </w:tc>
      </w:tr>
      <w:tr>
        <w:trPr>
          <w:trHeight w:val="169"/>
        </w:trPr>
        <w:tc>
          <w:tcPr>
            <w:tcW w:w="5480" w:type="dxa"/>
            <w:vAlign w:val="bottom"/>
            <w:tcBorders>
              <w:bottom w:val="single" w:sz="8" w:color="CCEEFF"/>
            </w:tcBorders>
          </w:tcPr>
          <w:p>
            <w:pPr>
              <w:ind w:left="440"/>
              <w:spacing w:after="0" w:line="169" w:lineRule="exact"/>
              <w:rPr>
                <w:sz w:val="20"/>
                <w:szCs w:val="20"/>
                <w:color w:val="auto"/>
              </w:rPr>
            </w:pPr>
            <w:r>
              <w:rPr>
                <w:rFonts w:ascii="Arial" w:cs="Arial" w:eastAsia="Arial" w:hAnsi="Arial"/>
                <w:sz w:val="16"/>
                <w:szCs w:val="16"/>
                <w:color w:val="auto"/>
              </w:rPr>
              <w:t>Total interest income</w:t>
            </w:r>
          </w:p>
        </w:tc>
        <w:tc>
          <w:tcPr>
            <w:tcW w:w="3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8"/>
              </w:rPr>
              <w:t>72,761</w:t>
            </w: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62,519</w:t>
            </w:r>
          </w:p>
        </w:tc>
      </w:tr>
      <w:tr>
        <w:trPr>
          <w:trHeight w:val="169"/>
        </w:trPr>
        <w:tc>
          <w:tcPr>
            <w:tcW w:w="54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Interest expense:</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Deposits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8,946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3,851</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w w:val="95"/>
              </w:rPr>
              <w:t>Federal funds purchased and securities sold under agreements to repurchase</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426</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291</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Short-term borrowings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324</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447</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Long-term debt</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245</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141</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Senior notes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400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400</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Subordinated notes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792</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799</w:t>
            </w:r>
          </w:p>
        </w:tc>
      </w:tr>
      <w:tr>
        <w:trPr>
          <w:trHeight w:val="176"/>
        </w:trPr>
        <w:tc>
          <w:tcPr>
            <w:tcW w:w="54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Junior subordinated debt owed to unconsolidated trusts</w:t>
            </w:r>
          </w:p>
        </w:tc>
        <w:tc>
          <w:tcPr>
            <w:tcW w:w="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854</w:t>
            </w:r>
          </w:p>
        </w:tc>
        <w:tc>
          <w:tcPr>
            <w:tcW w:w="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649</w:t>
            </w:r>
          </w:p>
        </w:tc>
      </w:tr>
      <w:tr>
        <w:trPr>
          <w:trHeight w:val="169"/>
        </w:trPr>
        <w:tc>
          <w:tcPr>
            <w:tcW w:w="548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rPr>
              <w:t>Total interest expense</w:t>
            </w:r>
          </w:p>
        </w:tc>
        <w:tc>
          <w:tcPr>
            <w:tcW w:w="34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w w:val="98"/>
              </w:rPr>
              <w:t>11,987</w:t>
            </w:r>
          </w:p>
        </w:tc>
        <w:tc>
          <w:tcPr>
            <w:tcW w:w="2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6,578</w:t>
            </w:r>
          </w:p>
        </w:tc>
      </w:tr>
      <w:tr>
        <w:trPr>
          <w:trHeight w:val="169"/>
        </w:trPr>
        <w:tc>
          <w:tcPr>
            <w:tcW w:w="5480" w:type="dxa"/>
            <w:vAlign w:val="bottom"/>
          </w:tcPr>
          <w:p>
            <w:pPr>
              <w:ind w:left="440"/>
              <w:spacing w:after="0" w:line="169" w:lineRule="exact"/>
              <w:rPr>
                <w:sz w:val="20"/>
                <w:szCs w:val="20"/>
                <w:color w:val="auto"/>
              </w:rPr>
            </w:pPr>
            <w:r>
              <w:rPr>
                <w:rFonts w:ascii="Arial" w:cs="Arial" w:eastAsia="Arial" w:hAnsi="Arial"/>
                <w:sz w:val="16"/>
                <w:szCs w:val="16"/>
                <w:color w:val="auto"/>
              </w:rPr>
              <w:t>Net interest income</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98"/>
              </w:rPr>
              <w:t>60,774</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55,941</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Provision for loan losses</w:t>
            </w:r>
          </w:p>
        </w:tc>
        <w:tc>
          <w:tcPr>
            <w:tcW w:w="3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758</w:t>
            </w:r>
          </w:p>
        </w:tc>
        <w:tc>
          <w:tcPr>
            <w:tcW w:w="2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1,494</w:t>
            </w:r>
          </w:p>
        </w:tc>
      </w:tr>
      <w:tr>
        <w:trPr>
          <w:trHeight w:val="169"/>
        </w:trPr>
        <w:tc>
          <w:tcPr>
            <w:tcW w:w="5480" w:type="dxa"/>
            <w:vAlign w:val="bottom"/>
            <w:tcBorders>
              <w:bottom w:val="single" w:sz="8" w:color="CCEEFF"/>
            </w:tcBorders>
          </w:tcPr>
          <w:p>
            <w:pPr>
              <w:ind w:left="440"/>
              <w:spacing w:after="0" w:line="169" w:lineRule="exact"/>
              <w:rPr>
                <w:sz w:val="20"/>
                <w:szCs w:val="20"/>
                <w:color w:val="auto"/>
              </w:rPr>
            </w:pPr>
            <w:r>
              <w:rPr>
                <w:rFonts w:ascii="Arial" w:cs="Arial" w:eastAsia="Arial" w:hAnsi="Arial"/>
                <w:sz w:val="16"/>
                <w:szCs w:val="16"/>
                <w:color w:val="auto"/>
              </w:rPr>
              <w:t>Net interest income after provision for loan losses</w:t>
            </w:r>
          </w:p>
        </w:tc>
        <w:tc>
          <w:tcPr>
            <w:tcW w:w="3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8"/>
              </w:rPr>
              <w:t>60,016</w:t>
            </w: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54,447</w:t>
            </w:r>
          </w:p>
        </w:tc>
      </w:tr>
      <w:tr>
        <w:trPr>
          <w:trHeight w:val="169"/>
        </w:trPr>
        <w:tc>
          <w:tcPr>
            <w:tcW w:w="54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Non-interest income:</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Trust fees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6,324</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5,071</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Commissions and brokers’ fees, net</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881</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766</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Remittance processing</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3,630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2,877</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Fees for customer services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7,340</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6,577</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Mortgage revenue</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1,272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3,526</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Security gains, net</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290</w:t>
            </w:r>
          </w:p>
        </w:tc>
      </w:tr>
      <w:tr>
        <w:trPr>
          <w:trHeight w:val="176"/>
        </w:trPr>
        <w:tc>
          <w:tcPr>
            <w:tcW w:w="54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2,406</w:t>
            </w:r>
          </w:p>
        </w:tc>
        <w:tc>
          <w:tcPr>
            <w:tcW w:w="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1,730</w:t>
            </w:r>
          </w:p>
        </w:tc>
      </w:tr>
      <w:tr>
        <w:trPr>
          <w:trHeight w:val="169"/>
        </w:trPr>
        <w:tc>
          <w:tcPr>
            <w:tcW w:w="548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rPr>
              <w:t>Total non-interest income</w:t>
            </w:r>
          </w:p>
        </w:tc>
        <w:tc>
          <w:tcPr>
            <w:tcW w:w="34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w w:val="98"/>
              </w:rPr>
              <w:t>21,853</w:t>
            </w:r>
          </w:p>
        </w:tc>
        <w:tc>
          <w:tcPr>
            <w:tcW w:w="2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20,837</w:t>
            </w:r>
          </w:p>
        </w:tc>
      </w:tr>
      <w:tr>
        <w:trPr>
          <w:trHeight w:val="169"/>
        </w:trPr>
        <w:tc>
          <w:tcPr>
            <w:tcW w:w="5480" w:type="dxa"/>
            <w:vAlign w:val="bottom"/>
          </w:tcPr>
          <w:p>
            <w:pPr>
              <w:spacing w:after="0" w:line="169" w:lineRule="exact"/>
              <w:rPr>
                <w:sz w:val="20"/>
                <w:szCs w:val="20"/>
                <w:color w:val="auto"/>
              </w:rPr>
            </w:pPr>
            <w:r>
              <w:rPr>
                <w:rFonts w:ascii="Arial" w:cs="Arial" w:eastAsia="Arial" w:hAnsi="Arial"/>
                <w:sz w:val="16"/>
                <w:szCs w:val="16"/>
                <w:b w:val="1"/>
                <w:bCs w:val="1"/>
                <w:color w:val="auto"/>
              </w:rPr>
              <w:t>Non-interest expense:</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Salaries, wages and employee benefits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w w:val="98"/>
              </w:rPr>
              <w:t>26,024</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25,497</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Net occupancy expense of premises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3,761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3,714</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Furniture and equipment expenses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1,715</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1,785</w:t>
            </w:r>
          </w:p>
        </w:tc>
      </w:tr>
      <w:tr>
        <w:trPr>
          <w:trHeight w:val="176"/>
        </w:trPr>
        <w:tc>
          <w:tcPr>
            <w:tcW w:w="5480" w:type="dxa"/>
            <w:vAlign w:val="bottom"/>
          </w:tcPr>
          <w:p>
            <w:pPr>
              <w:ind w:left="220"/>
              <w:spacing w:after="0" w:line="176" w:lineRule="exact"/>
              <w:rPr>
                <w:sz w:val="20"/>
                <w:szCs w:val="20"/>
                <w:color w:val="auto"/>
              </w:rPr>
            </w:pPr>
            <w:r>
              <w:rPr>
                <w:rFonts w:ascii="Arial" w:cs="Arial" w:eastAsia="Arial" w:hAnsi="Arial"/>
                <w:sz w:val="16"/>
                <w:szCs w:val="16"/>
                <w:color w:val="auto"/>
              </w:rPr>
              <w:t>Data processing</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4,016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5,113</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1,445</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1,286</w:t>
            </w:r>
          </w:p>
        </w:tc>
      </w:tr>
      <w:tr>
        <w:trPr>
          <w:trHeight w:val="176"/>
        </w:trPr>
        <w:tc>
          <w:tcPr>
            <w:tcW w:w="54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Other expense</w:t>
            </w:r>
          </w:p>
        </w:tc>
        <w:tc>
          <w:tcPr>
            <w:tcW w:w="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8,968</w:t>
            </w:r>
          </w:p>
        </w:tc>
        <w:tc>
          <w:tcPr>
            <w:tcW w:w="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9,544</w:t>
            </w:r>
          </w:p>
        </w:tc>
      </w:tr>
      <w:tr>
        <w:trPr>
          <w:trHeight w:val="169"/>
        </w:trPr>
        <w:tc>
          <w:tcPr>
            <w:tcW w:w="5480" w:type="dxa"/>
            <w:vAlign w:val="bottom"/>
            <w:shd w:val="clear" w:color="auto" w:fill="CCEEFF"/>
          </w:tcPr>
          <w:p>
            <w:pPr>
              <w:ind w:left="440"/>
              <w:spacing w:after="0" w:line="169" w:lineRule="exact"/>
              <w:rPr>
                <w:sz w:val="20"/>
                <w:szCs w:val="20"/>
                <w:color w:val="auto"/>
              </w:rPr>
            </w:pPr>
            <w:r>
              <w:rPr>
                <w:rFonts w:ascii="Arial" w:cs="Arial" w:eastAsia="Arial" w:hAnsi="Arial"/>
                <w:sz w:val="16"/>
                <w:szCs w:val="16"/>
                <w:color w:val="auto"/>
              </w:rPr>
              <w:t>Total non-interest expense</w:t>
            </w:r>
          </w:p>
        </w:tc>
        <w:tc>
          <w:tcPr>
            <w:tcW w:w="34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w w:val="98"/>
              </w:rPr>
              <w:t>45,929</w:t>
            </w:r>
          </w:p>
        </w:tc>
        <w:tc>
          <w:tcPr>
            <w:tcW w:w="2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46,939</w:t>
            </w:r>
          </w:p>
        </w:tc>
      </w:tr>
      <w:tr>
        <w:trPr>
          <w:trHeight w:val="169"/>
        </w:trPr>
        <w:tc>
          <w:tcPr>
            <w:tcW w:w="5480" w:type="dxa"/>
            <w:vAlign w:val="bottom"/>
          </w:tcPr>
          <w:p>
            <w:pPr>
              <w:ind w:left="440"/>
              <w:spacing w:after="0" w:line="169" w:lineRule="exact"/>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98"/>
              </w:rPr>
              <w:t>35,940</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28,345</w:t>
            </w:r>
          </w:p>
        </w:tc>
      </w:tr>
      <w:tr>
        <w:trPr>
          <w:trHeight w:val="176"/>
        </w:trPr>
        <w:tc>
          <w:tcPr>
            <w:tcW w:w="54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Income taxes</w:t>
            </w:r>
          </w:p>
        </w:tc>
        <w:tc>
          <w:tcPr>
            <w:tcW w:w="3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9,081</w:t>
            </w:r>
          </w:p>
        </w:tc>
        <w:tc>
          <w:tcPr>
            <w:tcW w:w="2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9,561</w:t>
            </w:r>
          </w:p>
        </w:tc>
      </w:tr>
      <w:tr>
        <w:trPr>
          <w:trHeight w:val="176"/>
        </w:trPr>
        <w:tc>
          <w:tcPr>
            <w:tcW w:w="5480" w:type="dxa"/>
            <w:vAlign w:val="bottom"/>
            <w:tcBorders>
              <w:bottom w:val="single" w:sz="8" w:color="CCEEFF"/>
            </w:tcBorders>
          </w:tcPr>
          <w:p>
            <w:pPr>
              <w:ind w:left="440"/>
              <w:spacing w:after="0" w:line="169" w:lineRule="exact"/>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785"/>
              <w:spacing w:after="0" w:line="169" w:lineRule="exact"/>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8"/>
              </w:rPr>
              <w:t>26,859</w:t>
            </w:r>
          </w:p>
        </w:tc>
        <w:tc>
          <w:tcPr>
            <w:tcW w:w="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18,784</w:t>
            </w:r>
          </w:p>
        </w:tc>
      </w:tr>
      <w:tr>
        <w:trPr>
          <w:trHeight w:val="176"/>
        </w:trPr>
        <w:tc>
          <w:tcPr>
            <w:tcW w:w="5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3"/>
        </w:trPr>
        <w:tc>
          <w:tcPr>
            <w:tcW w:w="5480" w:type="dxa"/>
            <w:vAlign w:val="bottom"/>
          </w:tcPr>
          <w:p>
            <w:pPr>
              <w:spacing w:after="0" w:line="176" w:lineRule="exact"/>
              <w:rPr>
                <w:sz w:val="20"/>
                <w:szCs w:val="20"/>
                <w:color w:val="auto"/>
              </w:rPr>
            </w:pPr>
            <w:r>
              <w:rPr>
                <w:rFonts w:ascii="Arial" w:cs="Arial" w:eastAsia="Arial" w:hAnsi="Arial"/>
                <w:sz w:val="16"/>
                <w:szCs w:val="16"/>
                <w:b w:val="1"/>
                <w:bCs w:val="1"/>
                <w:color w:val="auto"/>
              </w:rPr>
              <w:t>Basic earnings per common share</w:t>
            </w:r>
          </w:p>
        </w:tc>
        <w:tc>
          <w:tcPr>
            <w:tcW w:w="1280" w:type="dxa"/>
            <w:vAlign w:val="bottom"/>
            <w:gridSpan w:val="2"/>
          </w:tcPr>
          <w:p>
            <w:pPr>
              <w:jc w:val="right"/>
              <w:ind w:right="785"/>
              <w:spacing w:after="0" w:line="176" w:lineRule="exact"/>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0.55</w:t>
            </w:r>
          </w:p>
        </w:tc>
        <w:tc>
          <w:tcPr>
            <w:tcW w:w="580" w:type="dxa"/>
            <w:vAlign w:val="bottom"/>
            <w:gridSpan w:val="2"/>
          </w:tcPr>
          <w:p>
            <w:pPr>
              <w:jc w:val="right"/>
              <w:ind w:right="184"/>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0.41</w:t>
            </w:r>
          </w:p>
        </w:tc>
      </w:tr>
      <w:tr>
        <w:trPr>
          <w:trHeight w:val="196"/>
        </w:trPr>
        <w:tc>
          <w:tcPr>
            <w:tcW w:w="548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Diluted earnings per common share</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0.55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0.41</w:t>
            </w:r>
          </w:p>
        </w:tc>
      </w:tr>
      <w:tr>
        <w:trPr>
          <w:trHeight w:val="178"/>
        </w:trPr>
        <w:tc>
          <w:tcPr>
            <w:tcW w:w="5480" w:type="dxa"/>
            <w:vAlign w:val="bottom"/>
          </w:tcPr>
          <w:p>
            <w:pPr>
              <w:spacing w:after="0" w:line="178" w:lineRule="exact"/>
              <w:rPr>
                <w:sz w:val="20"/>
                <w:szCs w:val="20"/>
                <w:color w:val="auto"/>
              </w:rPr>
            </w:pPr>
            <w:r>
              <w:rPr>
                <w:rFonts w:ascii="Arial" w:cs="Arial" w:eastAsia="Arial" w:hAnsi="Arial"/>
                <w:sz w:val="16"/>
                <w:szCs w:val="16"/>
                <w:b w:val="1"/>
                <w:bCs w:val="1"/>
                <w:color w:val="auto"/>
              </w:rPr>
              <w:t>Dividends declared per share of common stock</w:t>
            </w:r>
          </w:p>
        </w:tc>
        <w:tc>
          <w:tcPr>
            <w:tcW w:w="340" w:type="dxa"/>
            <w:vAlign w:val="bottom"/>
          </w:tcPr>
          <w:p>
            <w:pPr>
              <w:spacing w:after="0"/>
              <w:rPr>
                <w:sz w:val="15"/>
                <w:szCs w:val="15"/>
                <w:color w:val="auto"/>
              </w:rPr>
            </w:pPr>
          </w:p>
        </w:tc>
        <w:tc>
          <w:tcPr>
            <w:tcW w:w="940" w:type="dxa"/>
            <w:vAlign w:val="bottom"/>
          </w:tcPr>
          <w:p>
            <w:pPr>
              <w:jc w:val="right"/>
              <w:ind w:right="78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0.20</w:t>
            </w:r>
          </w:p>
        </w:tc>
        <w:tc>
          <w:tcPr>
            <w:tcW w:w="240" w:type="dxa"/>
            <w:vAlign w:val="bottom"/>
          </w:tcPr>
          <w:p>
            <w:pPr>
              <w:spacing w:after="0"/>
              <w:rPr>
                <w:sz w:val="15"/>
                <w:szCs w:val="15"/>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-8890</wp:posOffset>
            </wp:positionV>
            <wp:extent cx="20669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6692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jc w:val="center"/>
        <w:spacing w:after="0" w:line="210" w:lineRule="auto"/>
        <w:rPr>
          <w:sz w:val="20"/>
          <w:szCs w:val="20"/>
          <w:color w:val="auto"/>
        </w:rPr>
      </w:pPr>
      <w:r>
        <w:rPr>
          <w:rFonts w:ascii="Arial" w:cs="Arial" w:eastAsia="Arial" w:hAnsi="Arial"/>
          <w:sz w:val="18"/>
          <w:szCs w:val="18"/>
          <w:b w:val="1"/>
          <w:bCs w:val="1"/>
          <w:color w:val="auto"/>
        </w:rPr>
        <w:t>CONSOLIDATED STATEMENTS OF COMPREHENSIVE INCOME For the Three and Nine Months Ended September 30, 2018 and 2017 (Unaudited)</w:t>
      </w:r>
    </w:p>
    <w:tbl>
      <w:tblPr>
        <w:tblLayout w:type="fixed"/>
        <w:tblInd w:w="0" w:type="dxa"/>
        <w:tblCellMar>
          <w:top w:w="0" w:type="dxa"/>
          <w:left w:w="0" w:type="dxa"/>
          <w:bottom w:w="0" w:type="dxa"/>
          <w:right w:w="0" w:type="dxa"/>
        </w:tblCellMar>
      </w:tblPr>
      <w:tr>
        <w:trPr>
          <w:trHeight w:val="135"/>
        </w:trPr>
        <w:tc>
          <w:tcPr>
            <w:tcW w:w="4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6"/>
          </w:tcPr>
          <w:p>
            <w:pPr>
              <w:ind w:left="80"/>
              <w:spacing w:after="0" w:line="135"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1"/>
                <w:szCs w:val="11"/>
                <w:color w:val="auto"/>
              </w:rPr>
            </w:pPr>
          </w:p>
        </w:tc>
        <w:tc>
          <w:tcPr>
            <w:tcW w:w="2160" w:type="dxa"/>
            <w:vAlign w:val="bottom"/>
            <w:gridSpan w:val="5"/>
          </w:tcPr>
          <w:p>
            <w:pPr>
              <w:jc w:val="center"/>
              <w:ind w:right="640"/>
              <w:spacing w:after="0" w:line="135"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6"/>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16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i w:val="1"/>
                <w:iCs w:val="1"/>
                <w:color w:val="auto"/>
                <w:w w:val="92"/>
              </w:rPr>
              <w:t>(dollars in thousands)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26,859</w:t>
            </w: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18,784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73,638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50,433</w:t>
            </w: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80" w:type="dxa"/>
            <w:vAlign w:val="bottom"/>
          </w:tcPr>
          <w:p>
            <w:pPr>
              <w:spacing w:after="0" w:line="182" w:lineRule="exact"/>
              <w:rPr>
                <w:sz w:val="20"/>
                <w:szCs w:val="20"/>
                <w:color w:val="auto"/>
              </w:rPr>
            </w:pPr>
            <w:r>
              <w:rPr>
                <w:rFonts w:ascii="Arial" w:cs="Arial" w:eastAsia="Arial" w:hAnsi="Arial"/>
                <w:sz w:val="18"/>
                <w:szCs w:val="18"/>
                <w:color w:val="auto"/>
              </w:rPr>
              <w:t>Other comprehensive (loss) income, before tax:</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jc w:val="right"/>
              <w:ind w:right="2330"/>
              <w:spacing w:after="0" w:line="189" w:lineRule="exact"/>
              <w:rPr>
                <w:sz w:val="20"/>
                <w:szCs w:val="20"/>
                <w:color w:val="auto"/>
              </w:rPr>
            </w:pPr>
            <w:r>
              <w:rPr>
                <w:rFonts w:ascii="Arial" w:cs="Arial" w:eastAsia="Arial" w:hAnsi="Arial"/>
                <w:sz w:val="18"/>
                <w:szCs w:val="18"/>
                <w:color w:val="auto"/>
                <w:w w:val="99"/>
              </w:rPr>
              <w:t>Securities available for sale:</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320"/>
              <w:spacing w:after="0" w:line="189" w:lineRule="exact"/>
              <w:rPr>
                <w:sz w:val="20"/>
                <w:szCs w:val="20"/>
                <w:color w:val="auto"/>
              </w:rPr>
            </w:pPr>
            <w:r>
              <w:rPr>
                <w:rFonts w:ascii="Arial" w:cs="Arial" w:eastAsia="Arial" w:hAnsi="Arial"/>
                <w:sz w:val="18"/>
                <w:szCs w:val="18"/>
                <w:color w:val="auto"/>
              </w:rPr>
              <w:t>Unrealized net (losses) gains on securities: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680" w:type="dxa"/>
            <w:vAlign w:val="bottom"/>
            <w:shd w:val="clear" w:color="auto" w:fill="CCEEFF"/>
          </w:tcPr>
          <w:p>
            <w:pPr>
              <w:ind w:left="440"/>
              <w:spacing w:after="0" w:line="161" w:lineRule="exact"/>
              <w:rPr>
                <w:sz w:val="20"/>
                <w:szCs w:val="20"/>
                <w:color w:val="auto"/>
              </w:rPr>
            </w:pPr>
            <w:r>
              <w:rPr>
                <w:rFonts w:ascii="Arial" w:cs="Arial" w:eastAsia="Arial" w:hAnsi="Arial"/>
                <w:sz w:val="18"/>
                <w:szCs w:val="18"/>
                <w:color w:val="auto"/>
              </w:rPr>
              <w:t>Unrealized net holding (losses) gains arising during</w:t>
            </w:r>
          </w:p>
        </w:tc>
        <w:tc>
          <w:tcPr>
            <w:tcW w:w="2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(13,280)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period</w:t>
            </w:r>
          </w:p>
        </w:tc>
        <w:tc>
          <w:tcPr>
            <w:tcW w:w="2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680" w:type="dxa"/>
            <w:vAlign w:val="bottom"/>
          </w:tcPr>
          <w:p>
            <w:pPr>
              <w:ind w:left="440"/>
              <w:spacing w:after="0" w:line="161" w:lineRule="exact"/>
              <w:rPr>
                <w:sz w:val="20"/>
                <w:szCs w:val="20"/>
                <w:color w:val="auto"/>
              </w:rPr>
            </w:pPr>
            <w:r>
              <w:rPr>
                <w:rFonts w:ascii="Arial" w:cs="Arial" w:eastAsia="Arial" w:hAnsi="Arial"/>
                <w:sz w:val="18"/>
                <w:szCs w:val="18"/>
                <w:color w:val="auto"/>
              </w:rPr>
              <w:t>Reclassification adjustment for gains included in</w:t>
            </w:r>
          </w:p>
        </w:tc>
        <w:tc>
          <w:tcPr>
            <w:tcW w:w="2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(160)</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(loss) income, before tax</w:t>
            </w: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(3,020)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273</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95"/>
              </w:rPr>
              <w:t>(13,440)</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721</w:t>
            </w:r>
          </w:p>
        </w:tc>
        <w:tc>
          <w:tcPr>
            <w:tcW w:w="4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680" w:type="dxa"/>
            <w:vAlign w:val="bottom"/>
          </w:tcPr>
          <w:p>
            <w:pPr>
              <w:ind w:left="320"/>
              <w:spacing w:after="0" w:line="161" w:lineRule="exact"/>
              <w:rPr>
                <w:sz w:val="20"/>
                <w:szCs w:val="20"/>
                <w:color w:val="auto"/>
              </w:rPr>
            </w:pPr>
            <w:r>
              <w:rPr>
                <w:rFonts w:ascii="Arial" w:cs="Arial" w:eastAsia="Arial" w:hAnsi="Arial"/>
                <w:sz w:val="18"/>
                <w:szCs w:val="18"/>
                <w:color w:val="auto"/>
              </w:rPr>
              <w:t>Income tax (benefit) expense related to items of other</w:t>
            </w:r>
          </w:p>
        </w:tc>
        <w:tc>
          <w:tcPr>
            <w:tcW w:w="20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(861)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(3,831)</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80" w:type="dxa"/>
            <w:vAlign w:val="bottom"/>
          </w:tcPr>
          <w:p>
            <w:pPr>
              <w:jc w:val="right"/>
              <w:ind w:right="233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80" w:type="dxa"/>
            <w:vAlign w:val="bottom"/>
            <w:tcBorders>
              <w:top w:val="single" w:sz="8" w:color="CCEEFF"/>
            </w:tcBorders>
            <w:shd w:val="clear" w:color="auto" w:fill="CCEEFF"/>
          </w:tcPr>
          <w:p>
            <w:pPr>
              <w:ind w:left="320"/>
              <w:spacing w:after="0" w:line="182" w:lineRule="exact"/>
              <w:rPr>
                <w:sz w:val="20"/>
                <w:szCs w:val="20"/>
                <w:color w:val="auto"/>
              </w:rPr>
            </w:pPr>
            <w:r>
              <w:rPr>
                <w:rFonts w:ascii="Arial" w:cs="Arial" w:eastAsia="Arial" w:hAnsi="Arial"/>
                <w:sz w:val="18"/>
                <w:szCs w:val="18"/>
                <w:color w:val="auto"/>
              </w:rPr>
              <w:t>Other comprehensive (loss) income, net of tax</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(2,159)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154</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(9,609)</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423</w:t>
            </w:r>
          </w:p>
        </w:tc>
        <w:tc>
          <w:tcPr>
            <w:tcW w:w="4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320"/>
              <w:spacing w:after="0" w:line="198" w:lineRule="exact"/>
              <w:rPr>
                <w:sz w:val="20"/>
                <w:szCs w:val="20"/>
                <w:color w:val="auto"/>
              </w:rPr>
            </w:pPr>
            <w:r>
              <w:rPr>
                <w:rFonts w:ascii="Arial" w:cs="Arial" w:eastAsia="Arial" w:hAnsi="Arial"/>
                <w:sz w:val="18"/>
                <w:szCs w:val="18"/>
                <w:color w:val="auto"/>
              </w:rPr>
              <w:t>Comprehensive income</w:t>
            </w:r>
          </w:p>
        </w:tc>
        <w:tc>
          <w:tcPr>
            <w:tcW w:w="200" w:type="dxa"/>
            <w:vAlign w:val="bottom"/>
          </w:tcPr>
          <w:p>
            <w:pPr>
              <w:jc w:val="right"/>
              <w:ind w:right="10"/>
              <w:spacing w:after="0" w:line="198" w:lineRule="exact"/>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tcPr>
          <w:p>
            <w:pPr>
              <w:jc w:val="right"/>
              <w:spacing w:after="0" w:line="198" w:lineRule="exact"/>
              <w:rPr>
                <w:sz w:val="20"/>
                <w:szCs w:val="20"/>
                <w:color w:val="auto"/>
              </w:rPr>
            </w:pPr>
            <w:r>
              <w:rPr>
                <w:rFonts w:ascii="Arial" w:cs="Arial" w:eastAsia="Arial" w:hAnsi="Arial"/>
                <w:sz w:val="18"/>
                <w:szCs w:val="18"/>
                <w:b w:val="1"/>
                <w:bCs w:val="1"/>
                <w:u w:val="single" w:color="auto"/>
                <w:color w:val="auto"/>
              </w:rPr>
              <w:t>24,700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line="198" w:lineRule="exact"/>
              <w:rPr>
                <w:sz w:val="20"/>
                <w:szCs w:val="20"/>
                <w:color w:val="auto"/>
              </w:rPr>
            </w:pPr>
            <w:r>
              <w:rPr>
                <w:rFonts w:ascii="Arial" w:cs="Arial" w:eastAsia="Arial" w:hAnsi="Arial"/>
                <w:sz w:val="18"/>
                <w:szCs w:val="18"/>
                <w:u w:val="single" w:color="auto"/>
                <w:color w:val="auto"/>
              </w:rPr>
              <w:t>18,938</w:t>
            </w:r>
          </w:p>
        </w:tc>
        <w:tc>
          <w:tcPr>
            <w:tcW w:w="18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tcPr>
          <w:p>
            <w:pPr>
              <w:jc w:val="right"/>
              <w:spacing w:after="0" w:line="198" w:lineRule="exact"/>
              <w:rPr>
                <w:sz w:val="20"/>
                <w:szCs w:val="20"/>
                <w:color w:val="auto"/>
              </w:rPr>
            </w:pPr>
            <w:r>
              <w:rPr>
                <w:rFonts w:ascii="Arial" w:cs="Arial" w:eastAsia="Arial" w:hAnsi="Arial"/>
                <w:sz w:val="18"/>
                <w:szCs w:val="18"/>
                <w:b w:val="1"/>
                <w:bCs w:val="1"/>
                <w:u w:val="single" w:color="auto"/>
                <w:color w:val="auto"/>
              </w:rPr>
              <w:t>64,029</w:t>
            </w:r>
          </w:p>
        </w:tc>
        <w:tc>
          <w:tcPr>
            <w:tcW w:w="2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Pr>
          <w:p>
            <w:pPr>
              <w:jc w:val="right"/>
              <w:spacing w:after="0" w:line="198" w:lineRule="exact"/>
              <w:rPr>
                <w:sz w:val="20"/>
                <w:szCs w:val="20"/>
                <w:color w:val="auto"/>
              </w:rPr>
            </w:pPr>
            <w:r>
              <w:rPr>
                <w:rFonts w:ascii="Arial" w:cs="Arial" w:eastAsia="Arial" w:hAnsi="Arial"/>
                <w:sz w:val="18"/>
                <w:szCs w:val="18"/>
                <w:u w:val="single" w:color="auto"/>
                <w:color w:val="auto"/>
              </w:rPr>
              <w:t>50,856</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line="204" w:lineRule="auto"/>
        <w:rPr>
          <w:sz w:val="20"/>
          <w:szCs w:val="20"/>
          <w:color w:val="auto"/>
        </w:rPr>
      </w:pPr>
      <w:r>
        <w:rPr>
          <w:rFonts w:ascii="Arial" w:cs="Arial" w:eastAsia="Arial" w:hAnsi="Arial"/>
          <w:sz w:val="18"/>
          <w:szCs w:val="18"/>
          <w:b w:val="1"/>
          <w:bCs w:val="1"/>
          <w:color w:val="auto"/>
        </w:rPr>
        <w:t>For the Nine Months Ended September 30, 2018 and 2017</w:t>
      </w:r>
    </w:p>
    <w:p>
      <w:pPr>
        <w:jc w:val="center"/>
        <w:spacing w:after="0" w:line="203"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9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9"/>
              </w:rPr>
              <w:t>(Deficit)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781,716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(163,689)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(23,788)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594,314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50,433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treasury stock for employee stock purchase plan</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tcPr>
          <w:p>
            <w:pPr>
              <w:spacing w:after="0" w:line="130" w:lineRule="exact"/>
              <w:rPr>
                <w:sz w:val="20"/>
                <w:szCs w:val="20"/>
                <w:color w:val="auto"/>
              </w:rPr>
            </w:pPr>
            <w:r>
              <w:rPr>
                <w:rFonts w:ascii="Arial" w:cs="Arial" w:eastAsia="Arial" w:hAnsi="Arial"/>
                <w:sz w:val="14"/>
                <w:szCs w:val="14"/>
                <w:color w:val="auto"/>
                <w:w w:val="94"/>
              </w:rPr>
              <w:t>Net issuance of treasury stock for restricted stock unit vesting and related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20" w:type="dxa"/>
            <w:vAlign w:val="bottom"/>
            <w:gridSpan w:val="2"/>
          </w:tcPr>
          <w:p>
            <w:pPr>
              <w:spacing w:after="0"/>
              <w:rPr>
                <w:sz w:val="20"/>
                <w:szCs w:val="20"/>
                <w:color w:val="auto"/>
              </w:rPr>
            </w:pPr>
            <w:r>
              <w:rPr>
                <w:rFonts w:ascii="Arial" w:cs="Arial" w:eastAsia="Arial" w:hAnsi="Arial"/>
                <w:sz w:val="14"/>
                <w:szCs w:val="14"/>
                <w:color w:val="auto"/>
              </w:rPr>
              <w:t>tax benefit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4,862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issuance of stock options exercised net of shares redeemed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tcPr>
          <w:p>
            <w:pPr>
              <w:spacing w:after="0" w:line="130" w:lineRule="exact"/>
              <w:rPr>
                <w:sz w:val="20"/>
                <w:szCs w:val="20"/>
                <w:color w:val="auto"/>
              </w:rPr>
            </w:pPr>
            <w:r>
              <w:rPr>
                <w:rFonts w:ascii="Arial" w:cs="Arial" w:eastAsia="Arial" w:hAnsi="Arial"/>
                <w:sz w:val="14"/>
                <w:szCs w:val="14"/>
                <w:color w:val="auto"/>
                <w:w w:val="99"/>
              </w:rPr>
              <w:t>Stock issued for acquisition of First Community, net of stock issuance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20" w:type="dxa"/>
            <w:vAlign w:val="bottom"/>
            <w:gridSpan w:val="2"/>
          </w:tcPr>
          <w:p>
            <w:pPr>
              <w:spacing w:after="0"/>
              <w:rPr>
                <w:sz w:val="20"/>
                <w:szCs w:val="20"/>
                <w:color w:val="auto"/>
              </w:rPr>
            </w:pPr>
            <w:r>
              <w:rPr>
                <w:rFonts w:ascii="Arial" w:cs="Arial" w:eastAsia="Arial" w:hAnsi="Arial"/>
                <w:sz w:val="14"/>
                <w:szCs w:val="14"/>
                <w:color w:val="auto"/>
              </w:rPr>
              <w:t>costs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211,575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211,582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common stock at $0.54 per share</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(21,944)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Stock dividend equivalents restricted stock units at $0.54 per share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dividend accrued on restricted stock awards assumed with the</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Pulaski Financial</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Corp. (“Pulaski”) acquisition at $0.54 per share</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Return of 28,648 equity trust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(860)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employee compensation</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1,935</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1,935</w:t>
            </w:r>
          </w:p>
        </w:tc>
        <w:tc>
          <w:tcPr>
            <w:tcW w:w="0" w:type="dxa"/>
            <w:vAlign w:val="bottom"/>
          </w:tcPr>
          <w:p>
            <w:pPr>
              <w:spacing w:after="0"/>
              <w:rPr>
                <w:sz w:val="1"/>
                <w:szCs w:val="1"/>
                <w:color w:val="auto"/>
              </w:rPr>
            </w:pPr>
          </w:p>
        </w:tc>
      </w:tr>
      <w:tr>
        <w:trPr>
          <w:trHeight w:val="149"/>
        </w:trPr>
        <w:tc>
          <w:tcPr>
            <w:tcW w:w="4320" w:type="dxa"/>
            <w:vAlign w:val="bottom"/>
            <w:gridSpan w:val="2"/>
          </w:tcPr>
          <w:p>
            <w:pPr>
              <w:spacing w:after="0" w:line="142" w:lineRule="exact"/>
              <w:rPr>
                <w:sz w:val="20"/>
                <w:szCs w:val="20"/>
                <w:color w:val="auto"/>
              </w:rPr>
            </w:pPr>
            <w:r>
              <w:rPr>
                <w:rFonts w:ascii="Arial" w:cs="Arial" w:eastAsia="Arial" w:hAnsi="Arial"/>
                <w:sz w:val="14"/>
                <w:szCs w:val="14"/>
                <w:color w:val="auto"/>
              </w:rPr>
              <w:t>Balance, September 30, 2017</w:t>
            </w:r>
          </w:p>
        </w:tc>
        <w:tc>
          <w:tcPr>
            <w:tcW w:w="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46</w:t>
            </w:r>
          </w:p>
        </w:tc>
        <w:tc>
          <w:tcPr>
            <w:tcW w:w="14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988,972</w:t>
            </w:r>
          </w:p>
        </w:tc>
        <w:tc>
          <w:tcPr>
            <w:tcW w:w="14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(135,552)</w:t>
            </w:r>
          </w:p>
        </w:tc>
        <w:tc>
          <w:tcPr>
            <w:tcW w:w="14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459</w:t>
            </w:r>
          </w:p>
        </w:tc>
        <w:tc>
          <w:tcPr>
            <w:tcW w:w="14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(17,857)</w:t>
            </w:r>
          </w:p>
        </w:tc>
        <w:tc>
          <w:tcPr>
            <w:tcW w:w="1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836,068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Balance, December 31, 2017</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3"/>
              </w:rPr>
              <w:t>1,084,889</w:t>
            </w:r>
          </w:p>
        </w:tc>
        <w:tc>
          <w:tcPr>
            <w:tcW w:w="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(132,122)</w:t>
            </w:r>
          </w:p>
        </w:tc>
        <w:tc>
          <w:tcPr>
            <w:tcW w:w="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(2,810)</w:t>
            </w:r>
          </w:p>
        </w:tc>
        <w:tc>
          <w:tcPr>
            <w:tcW w:w="260" w:type="dxa"/>
            <w:vAlign w:val="bottom"/>
            <w:gridSpan w:val="2"/>
          </w:tcPr>
          <w:p>
            <w:pPr>
              <w:jc w:val="right"/>
              <w:ind w:right="3"/>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(15,003)</w:t>
            </w:r>
          </w:p>
        </w:tc>
        <w:tc>
          <w:tcPr>
            <w:tcW w:w="2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935,003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73,638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73,638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Tax Cuts and Jobs Act (“TCJA”) of 2017 reclassification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treasury stock for employee stock purchase plan</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tcPr>
          <w:p>
            <w:pPr>
              <w:spacing w:after="0" w:line="130" w:lineRule="exact"/>
              <w:rPr>
                <w:sz w:val="20"/>
                <w:szCs w:val="20"/>
                <w:color w:val="auto"/>
              </w:rPr>
            </w:pPr>
            <w:r>
              <w:rPr>
                <w:rFonts w:ascii="Arial" w:cs="Arial" w:eastAsia="Arial" w:hAnsi="Arial"/>
                <w:sz w:val="14"/>
                <w:szCs w:val="14"/>
                <w:color w:val="auto"/>
                <w:w w:val="94"/>
              </w:rPr>
              <w:t>Net issuance of treasury stock for restricted stock unit vesting and related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20" w:type="dxa"/>
            <w:vAlign w:val="bottom"/>
            <w:gridSpan w:val="2"/>
          </w:tcPr>
          <w:p>
            <w:pPr>
              <w:spacing w:after="0"/>
              <w:rPr>
                <w:sz w:val="20"/>
                <w:szCs w:val="20"/>
                <w:color w:val="auto"/>
              </w:rPr>
            </w:pPr>
            <w:r>
              <w:rPr>
                <w:rFonts w:ascii="Arial" w:cs="Arial" w:eastAsia="Arial" w:hAnsi="Arial"/>
                <w:sz w:val="14"/>
                <w:szCs w:val="14"/>
                <w:color w:val="auto"/>
              </w:rPr>
              <w:t>tax benefit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(6,059)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4,924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issuance of stock options exercised net of shares redeemed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Cash dividends common stock at $0.60 per share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(29,238)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dividend equivalents restricted stock units at $0.60 per share</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2,666</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September 30, 2018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3"/>
              </w:rPr>
              <w:t>1,079,111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(87,532)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(13,024)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b w:val="1"/>
                <w:bCs w:val="1"/>
                <w:u w:val="single" w:color="auto"/>
                <w:color w:val="auto"/>
                <w:w w:val="71"/>
              </w:rPr>
              <w:t>$</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(6,464)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972,140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-8255</wp:posOffset>
            </wp:positionV>
            <wp:extent cx="4546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4660" cy="1714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-8255</wp:posOffset>
            </wp:positionV>
            <wp:extent cx="9950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9504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60972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600"/>
          </w:cols>
          <w:pgMar w:left="1160" w:top="111" w:right="11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For the Nine Months Ended September 30, 2018 and 2017</w:t>
      </w:r>
    </w:p>
    <w:p>
      <w:pPr>
        <w:jc w:val="center"/>
        <w:spacing w:after="0" w:line="222"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tcPr>
          <w:p>
            <w:pPr>
              <w:jc w:val="right"/>
              <w:ind w:right="279"/>
              <w:spacing w:after="0" w:line="169" w:lineRule="exact"/>
              <w:rPr>
                <w:sz w:val="20"/>
                <w:szCs w:val="20"/>
                <w:color w:val="auto"/>
              </w:rPr>
            </w:pPr>
            <w:r>
              <w:rPr>
                <w:rFonts w:ascii="Arial" w:cs="Arial" w:eastAsia="Arial" w:hAnsi="Arial"/>
                <w:sz w:val="16"/>
                <w:szCs w:val="16"/>
                <w:b w:val="1"/>
                <w:bCs w:val="1"/>
                <w:i w:val="1"/>
                <w:iCs w:val="1"/>
                <w:color w:val="auto"/>
                <w:w w:val="95"/>
              </w:rPr>
              <w:t>(dollars in thousands)</w:t>
            </w:r>
          </w:p>
        </w:tc>
        <w:tc>
          <w:tcPr>
            <w:tcW w:w="20" w:type="dxa"/>
            <w:vAlign w:val="bottom"/>
          </w:tcPr>
          <w:p>
            <w:pPr>
              <w:spacing w:after="0"/>
              <w:rPr>
                <w:sz w:val="14"/>
                <w:szCs w:val="14"/>
                <w:color w:val="auto"/>
              </w:rPr>
            </w:pPr>
          </w:p>
        </w:tc>
      </w:tr>
      <w:tr>
        <w:trPr>
          <w:trHeight w:val="176"/>
        </w:trPr>
        <w:tc>
          <w:tcPr>
            <w:tcW w:w="68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880" w:type="dxa"/>
            <w:vAlign w:val="bottom"/>
          </w:tcPr>
          <w:p>
            <w:pPr>
              <w:ind w:left="220"/>
              <w:spacing w:after="0" w:line="176" w:lineRule="exact"/>
              <w:rPr>
                <w:sz w:val="20"/>
                <w:szCs w:val="20"/>
                <w:color w:val="auto"/>
              </w:rPr>
            </w:pPr>
            <w:r>
              <w:rPr>
                <w:rFonts w:ascii="Arial" w:cs="Arial" w:eastAsia="Arial" w:hAnsi="Arial"/>
                <w:sz w:val="16"/>
                <w:szCs w:val="16"/>
                <w:color w:val="auto"/>
              </w:rPr>
              <w:t>Net income</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73,638</w:t>
            </w:r>
          </w:p>
        </w:tc>
        <w:tc>
          <w:tcPr>
            <w:tcW w:w="16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50,433</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Stock-based and non-cash compensation</w:t>
            </w: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2,666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1,935</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Depreciation</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7,158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6,084</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4,450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3,675</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Premises and equipment impairment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817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Provision for loan losses</w:t>
            </w: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4,024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2,494</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Provision for deferred income taxes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4,696</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(3,480)</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Amortization of security premiums and discounts, net</w:t>
            </w: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6,545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4,172</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Accretion of premiums and discounts on time deposits and trust preferred securities, net</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b w:val="1"/>
                <w:bCs w:val="1"/>
                <w:color w:val="auto"/>
              </w:rPr>
              <w:t>(82)</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(232)</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Accretion of premiums and discounts on portfolio loans, net</w:t>
            </w:r>
          </w:p>
        </w:tc>
        <w:tc>
          <w:tcPr>
            <w:tcW w:w="200" w:type="dxa"/>
            <w:vAlign w:val="bottom"/>
          </w:tcPr>
          <w:p>
            <w:pPr>
              <w:spacing w:after="0"/>
              <w:rPr>
                <w:sz w:val="15"/>
                <w:szCs w:val="15"/>
                <w:color w:val="auto"/>
              </w:rPr>
            </w:pPr>
          </w:p>
        </w:tc>
        <w:tc>
          <w:tcPr>
            <w:tcW w:w="980" w:type="dxa"/>
            <w:vAlign w:val="bottom"/>
            <w:gridSpan w:val="2"/>
          </w:tcPr>
          <w:p>
            <w:pPr>
              <w:jc w:val="right"/>
              <w:ind w:right="160"/>
              <w:spacing w:after="0" w:line="176" w:lineRule="exact"/>
              <w:rPr>
                <w:sz w:val="20"/>
                <w:szCs w:val="20"/>
                <w:color w:val="auto"/>
              </w:rPr>
            </w:pPr>
            <w:r>
              <w:rPr>
                <w:rFonts w:ascii="Arial" w:cs="Arial" w:eastAsia="Arial" w:hAnsi="Arial"/>
                <w:sz w:val="16"/>
                <w:szCs w:val="16"/>
                <w:b w:val="1"/>
                <w:bCs w:val="1"/>
                <w:color w:val="auto"/>
              </w:rPr>
              <w:t>(8,615)</w:t>
            </w: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(6,329)</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Security gains, net</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b w:val="1"/>
                <w:bCs w:val="1"/>
                <w:color w:val="auto"/>
              </w:rPr>
              <w:t>(160)</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(1,143)</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Change in equity securities, net</w:t>
            </w:r>
          </w:p>
        </w:tc>
        <w:tc>
          <w:tcPr>
            <w:tcW w:w="200" w:type="dxa"/>
            <w:vAlign w:val="bottom"/>
          </w:tcPr>
          <w:p>
            <w:pPr>
              <w:spacing w:after="0"/>
              <w:rPr>
                <w:sz w:val="15"/>
                <w:szCs w:val="15"/>
                <w:color w:val="auto"/>
              </w:rPr>
            </w:pPr>
          </w:p>
        </w:tc>
        <w:tc>
          <w:tcPr>
            <w:tcW w:w="980" w:type="dxa"/>
            <w:vAlign w:val="bottom"/>
            <w:gridSpan w:val="2"/>
          </w:tcPr>
          <w:p>
            <w:pPr>
              <w:jc w:val="right"/>
              <w:ind w:right="160"/>
              <w:spacing w:after="0" w:line="176" w:lineRule="exact"/>
              <w:rPr>
                <w:sz w:val="20"/>
                <w:szCs w:val="20"/>
                <w:color w:val="auto"/>
              </w:rPr>
            </w:pPr>
            <w:r>
              <w:rPr>
                <w:rFonts w:ascii="Arial" w:cs="Arial" w:eastAsia="Arial" w:hAnsi="Arial"/>
                <w:sz w:val="16"/>
                <w:szCs w:val="16"/>
                <w:b w:val="1"/>
                <w:bCs w:val="1"/>
                <w:color w:val="auto"/>
              </w:rPr>
              <w:t>(2,699)</w:t>
            </w: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Gain on sales of mortgage loans, net of origination costs</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b w:val="1"/>
                <w:bCs w:val="1"/>
                <w:color w:val="auto"/>
              </w:rPr>
              <w:t>(7,805)</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(36,911)</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Mortgage loans originated for sale</w:t>
            </w:r>
          </w:p>
        </w:tc>
        <w:tc>
          <w:tcPr>
            <w:tcW w:w="200" w:type="dxa"/>
            <w:vAlign w:val="bottom"/>
          </w:tcPr>
          <w:p>
            <w:pPr>
              <w:spacing w:after="0"/>
              <w:rPr>
                <w:sz w:val="15"/>
                <w:szCs w:val="15"/>
                <w:color w:val="auto"/>
              </w:rPr>
            </w:pPr>
          </w:p>
        </w:tc>
        <w:tc>
          <w:tcPr>
            <w:tcW w:w="980" w:type="dxa"/>
            <w:vAlign w:val="bottom"/>
            <w:gridSpan w:val="2"/>
          </w:tcPr>
          <w:p>
            <w:pPr>
              <w:jc w:val="right"/>
              <w:ind w:right="160"/>
              <w:spacing w:after="0" w:line="176" w:lineRule="exact"/>
              <w:rPr>
                <w:sz w:val="20"/>
                <w:szCs w:val="20"/>
                <w:color w:val="auto"/>
              </w:rPr>
            </w:pPr>
            <w:r>
              <w:rPr>
                <w:rFonts w:ascii="Arial" w:cs="Arial" w:eastAsia="Arial" w:hAnsi="Arial"/>
                <w:sz w:val="16"/>
                <w:szCs w:val="16"/>
                <w:b w:val="1"/>
                <w:bCs w:val="1"/>
                <w:color w:val="auto"/>
              </w:rPr>
              <w:t>(336,169)</w:t>
            </w: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(1,166,083)</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Proceeds from sales of mortgage loans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406,205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1,314,779</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Net losses (gains) on disposition of premises and equipment</w:t>
            </w: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186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(57)</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Increase in cash surrender value of bank owned life insurance</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b w:val="1"/>
                <w:bCs w:val="1"/>
                <w:color w:val="auto"/>
              </w:rPr>
              <w:t>(926)</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(1,604)</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Change in assets and liabilities: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440"/>
              <w:spacing w:after="0" w:line="176" w:lineRule="exact"/>
              <w:rPr>
                <w:sz w:val="20"/>
                <w:szCs w:val="20"/>
                <w:color w:val="auto"/>
              </w:rPr>
            </w:pPr>
            <w:r>
              <w:rPr>
                <w:rFonts w:ascii="Arial" w:cs="Arial" w:eastAsia="Arial" w:hAnsi="Arial"/>
                <w:sz w:val="16"/>
                <w:szCs w:val="16"/>
                <w:color w:val="auto"/>
              </w:rPr>
              <w:t>(Increase) decrease in other assets</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b w:val="1"/>
                <w:bCs w:val="1"/>
                <w:color w:val="auto"/>
              </w:rPr>
              <w:t>(3,627)</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14,049</w:t>
            </w:r>
          </w:p>
        </w:tc>
        <w:tc>
          <w:tcPr>
            <w:tcW w:w="20" w:type="dxa"/>
            <w:vAlign w:val="bottom"/>
          </w:tcPr>
          <w:p>
            <w:pPr>
              <w:spacing w:after="0"/>
              <w:rPr>
                <w:sz w:val="15"/>
                <w:szCs w:val="15"/>
                <w:color w:val="auto"/>
              </w:rPr>
            </w:pPr>
          </w:p>
        </w:tc>
      </w:tr>
      <w:tr>
        <w:trPr>
          <w:trHeight w:val="176"/>
        </w:trPr>
        <w:tc>
          <w:tcPr>
            <w:tcW w:w="6880" w:type="dxa"/>
            <w:vAlign w:val="bottom"/>
          </w:tcPr>
          <w:p>
            <w:pPr>
              <w:ind w:left="440"/>
              <w:spacing w:after="0" w:line="176" w:lineRule="exact"/>
              <w:rPr>
                <w:sz w:val="20"/>
                <w:szCs w:val="20"/>
                <w:color w:val="auto"/>
              </w:rPr>
            </w:pPr>
            <w:r>
              <w:rPr>
                <w:rFonts w:ascii="Arial" w:cs="Arial" w:eastAsia="Arial" w:hAnsi="Arial"/>
                <w:sz w:val="16"/>
                <w:szCs w:val="16"/>
                <w:color w:val="auto"/>
              </w:rPr>
              <w:t>Decrease in other liabilities</w:t>
            </w:r>
          </w:p>
        </w:tc>
        <w:tc>
          <w:tcPr>
            <w:tcW w:w="200" w:type="dxa"/>
            <w:vAlign w:val="bottom"/>
          </w:tcPr>
          <w:p>
            <w:pPr>
              <w:spacing w:after="0"/>
              <w:rPr>
                <w:sz w:val="15"/>
                <w:szCs w:val="15"/>
                <w:color w:val="auto"/>
              </w:rPr>
            </w:pPr>
          </w:p>
        </w:tc>
        <w:tc>
          <w:tcPr>
            <w:tcW w:w="980" w:type="dxa"/>
            <w:vAlign w:val="bottom"/>
            <w:gridSpan w:val="2"/>
          </w:tcPr>
          <w:p>
            <w:pPr>
              <w:jc w:val="right"/>
              <w:ind w:right="160"/>
              <w:spacing w:after="0" w:line="176" w:lineRule="exact"/>
              <w:rPr>
                <w:sz w:val="20"/>
                <w:szCs w:val="20"/>
                <w:color w:val="auto"/>
              </w:rPr>
            </w:pPr>
            <w:r>
              <w:rPr>
                <w:rFonts w:ascii="Arial" w:cs="Arial" w:eastAsia="Arial" w:hAnsi="Arial"/>
                <w:sz w:val="16"/>
                <w:szCs w:val="16"/>
                <w:b w:val="1"/>
                <w:bCs w:val="1"/>
                <w:color w:val="auto"/>
              </w:rPr>
              <w:t>(7,215)</w:t>
            </w: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(5,513)</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440"/>
              <w:spacing w:after="0" w:line="176" w:lineRule="exact"/>
              <w:rPr>
                <w:sz w:val="20"/>
                <w:szCs w:val="20"/>
                <w:color w:val="auto"/>
              </w:rPr>
            </w:pPr>
            <w:r>
              <w:rPr>
                <w:rFonts w:ascii="Arial" w:cs="Arial" w:eastAsia="Arial" w:hAnsi="Arial"/>
                <w:sz w:val="16"/>
                <w:szCs w:val="16"/>
                <w:color w:val="auto"/>
              </w:rPr>
              <w:t>Increase in interest payable</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1,849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1,650</w:t>
            </w:r>
          </w:p>
        </w:tc>
        <w:tc>
          <w:tcPr>
            <w:tcW w:w="20" w:type="dxa"/>
            <w:vAlign w:val="bottom"/>
          </w:tcPr>
          <w:p>
            <w:pPr>
              <w:spacing w:after="0"/>
              <w:rPr>
                <w:sz w:val="15"/>
                <w:szCs w:val="15"/>
                <w:color w:val="auto"/>
              </w:rPr>
            </w:pPr>
          </w:p>
        </w:tc>
      </w:tr>
      <w:tr>
        <w:trPr>
          <w:trHeight w:val="176"/>
        </w:trPr>
        <w:tc>
          <w:tcPr>
            <w:tcW w:w="6880" w:type="dxa"/>
            <w:vAlign w:val="bottom"/>
            <w:tcBorders>
              <w:bottom w:val="single" w:sz="8" w:color="CCEEFF"/>
            </w:tcBorders>
          </w:tcPr>
          <w:p>
            <w:pPr>
              <w:ind w:left="440"/>
              <w:spacing w:after="0" w:line="176" w:lineRule="exact"/>
              <w:rPr>
                <w:sz w:val="20"/>
                <w:szCs w:val="20"/>
                <w:color w:val="auto"/>
              </w:rPr>
            </w:pPr>
            <w:r>
              <w:rPr>
                <w:rFonts w:ascii="Arial" w:cs="Arial" w:eastAsia="Arial" w:hAnsi="Arial"/>
                <w:sz w:val="16"/>
                <w:szCs w:val="16"/>
                <w:color w:val="auto"/>
              </w:rPr>
              <w:t>Decrease in income taxes receivable</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2,200</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1,435</w:t>
            </w:r>
          </w:p>
        </w:tc>
        <w:tc>
          <w:tcPr>
            <w:tcW w:w="20" w:type="dxa"/>
            <w:vAlign w:val="bottom"/>
          </w:tcPr>
          <w:p>
            <w:pPr>
              <w:spacing w:after="0"/>
              <w:rPr>
                <w:sz w:val="15"/>
                <w:szCs w:val="15"/>
                <w:color w:val="auto"/>
              </w:rPr>
            </w:pPr>
          </w:p>
        </w:tc>
      </w:tr>
      <w:tr>
        <w:trPr>
          <w:trHeight w:val="169"/>
        </w:trPr>
        <w:tc>
          <w:tcPr>
            <w:tcW w:w="6880" w:type="dxa"/>
            <w:vAlign w:val="bottom"/>
            <w:shd w:val="clear" w:color="auto" w:fill="CCEEFF"/>
          </w:tcPr>
          <w:p>
            <w:pPr>
              <w:ind w:left="660"/>
              <w:spacing w:after="0" w:line="169" w:lineRule="exact"/>
              <w:rPr>
                <w:sz w:val="20"/>
                <w:szCs w:val="20"/>
                <w:color w:val="auto"/>
              </w:rPr>
            </w:pPr>
            <w:r>
              <w:rPr>
                <w:rFonts w:ascii="Arial" w:cs="Arial" w:eastAsia="Arial" w:hAnsi="Arial"/>
                <w:sz w:val="16"/>
                <w:szCs w:val="16"/>
                <w:b w:val="1"/>
                <w:bCs w:val="1"/>
                <w:color w:val="auto"/>
              </w:rPr>
              <w:t>Net cash provided by operating activities</w:t>
            </w:r>
          </w:p>
        </w:tc>
        <w:tc>
          <w:tcPr>
            <w:tcW w:w="200" w:type="dxa"/>
            <w:vAlign w:val="bottom"/>
            <w:tcBorders>
              <w:bottom w:val="single" w:sz="8" w:color="auto"/>
            </w:tcBorders>
            <w:shd w:val="clear" w:color="auto" w:fill="CCEEFF"/>
          </w:tcPr>
          <w:p>
            <w:pPr>
              <w:jc w:val="right"/>
              <w:ind w:right="44"/>
              <w:spacing w:after="0" w:line="169" w:lineRule="exact"/>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147,136</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179,354</w:t>
            </w:r>
          </w:p>
        </w:tc>
        <w:tc>
          <w:tcPr>
            <w:tcW w:w="20" w:type="dxa"/>
            <w:vAlign w:val="bottom"/>
          </w:tcPr>
          <w:p>
            <w:pPr>
              <w:spacing w:after="0"/>
              <w:rPr>
                <w:sz w:val="14"/>
                <w:szCs w:val="14"/>
                <w:color w:val="auto"/>
              </w:rPr>
            </w:pPr>
          </w:p>
        </w:tc>
      </w:tr>
      <w:tr>
        <w:trPr>
          <w:trHeight w:val="169"/>
        </w:trPr>
        <w:tc>
          <w:tcPr>
            <w:tcW w:w="6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68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Proceeds from sales of securities classified available for sale</w:t>
            </w:r>
          </w:p>
        </w:tc>
        <w:tc>
          <w:tcPr>
            <w:tcW w:w="200" w:type="dxa"/>
            <w:vAlign w:val="bottom"/>
          </w:tcPr>
          <w:p>
            <w:pPr>
              <w:spacing w:after="0"/>
              <w:rPr>
                <w:sz w:val="15"/>
                <w:szCs w:val="15"/>
                <w:color w:val="auto"/>
              </w:rPr>
            </w:pPr>
          </w:p>
        </w:tc>
        <w:tc>
          <w:tcPr>
            <w:tcW w:w="980" w:type="dxa"/>
            <w:vAlign w:val="bottom"/>
            <w:gridSpan w:val="2"/>
          </w:tcPr>
          <w:p>
            <w:pPr>
              <w:jc w:val="right"/>
              <w:ind w:right="220"/>
              <w:spacing w:after="0" w:line="176"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134,515</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Proceeds from sales of securities classified equity</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920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Proceeds from maturities of securities classified available for sale</w:t>
            </w: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115,522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154,435</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Proceeds from sales of securities classified held to maturity</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31,815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Proceeds from maturities of securities classified held to maturity</w:t>
            </w:r>
          </w:p>
        </w:tc>
        <w:tc>
          <w:tcPr>
            <w:tcW w:w="200" w:type="dxa"/>
            <w:vAlign w:val="bottom"/>
          </w:tcPr>
          <w:p>
            <w:pPr>
              <w:spacing w:after="0"/>
              <w:rPr>
                <w:sz w:val="15"/>
                <w:szCs w:val="15"/>
                <w:color w:val="auto"/>
              </w:rPr>
            </w:pPr>
          </w:p>
        </w:tc>
        <w:tc>
          <w:tcPr>
            <w:tcW w:w="980" w:type="dxa"/>
            <w:vAlign w:val="bottom"/>
            <w:gridSpan w:val="2"/>
          </w:tcPr>
          <w:p>
            <w:pPr>
              <w:jc w:val="right"/>
              <w:ind w:right="220"/>
              <w:spacing w:after="0" w:line="176"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6,358</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Purchases of securities classified available for sale</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b w:val="1"/>
                <w:bCs w:val="1"/>
                <w:color w:val="auto"/>
              </w:rPr>
              <w:t>(122,954)</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(128,425)</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Purchases of securities classified held to maturity</w:t>
            </w:r>
          </w:p>
        </w:tc>
        <w:tc>
          <w:tcPr>
            <w:tcW w:w="200" w:type="dxa"/>
            <w:vAlign w:val="bottom"/>
          </w:tcPr>
          <w:p>
            <w:pPr>
              <w:spacing w:after="0"/>
              <w:rPr>
                <w:sz w:val="15"/>
                <w:szCs w:val="15"/>
                <w:color w:val="auto"/>
              </w:rPr>
            </w:pPr>
          </w:p>
        </w:tc>
        <w:tc>
          <w:tcPr>
            <w:tcW w:w="980" w:type="dxa"/>
            <w:vAlign w:val="bottom"/>
            <w:gridSpan w:val="2"/>
          </w:tcPr>
          <w:p>
            <w:pPr>
              <w:jc w:val="right"/>
              <w:ind w:right="160"/>
              <w:spacing w:after="0" w:line="176" w:lineRule="exact"/>
              <w:rPr>
                <w:sz w:val="20"/>
                <w:szCs w:val="20"/>
                <w:color w:val="auto"/>
              </w:rPr>
            </w:pPr>
            <w:r>
              <w:rPr>
                <w:rFonts w:ascii="Arial" w:cs="Arial" w:eastAsia="Arial" w:hAnsi="Arial"/>
                <w:sz w:val="16"/>
                <w:szCs w:val="16"/>
                <w:b w:val="1"/>
                <w:bCs w:val="1"/>
                <w:color w:val="auto"/>
              </w:rPr>
              <w:t>(217,767)</w:t>
            </w: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(185,201)</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Net increase in loans</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b w:val="1"/>
                <w:bCs w:val="1"/>
                <w:color w:val="auto"/>
              </w:rPr>
              <w:t>(104,195)</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(98,040)</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Proceeds from disposition of premises and equipment</w:t>
            </w: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622</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Proceeds from sale of other real estate owned ("OREO") properties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4,275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4,069</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Purchases of premises and equipment</w:t>
            </w:r>
          </w:p>
        </w:tc>
        <w:tc>
          <w:tcPr>
            <w:tcW w:w="200" w:type="dxa"/>
            <w:vAlign w:val="bottom"/>
          </w:tcPr>
          <w:p>
            <w:pPr>
              <w:spacing w:after="0"/>
              <w:rPr>
                <w:sz w:val="15"/>
                <w:szCs w:val="15"/>
                <w:color w:val="auto"/>
              </w:rPr>
            </w:pPr>
          </w:p>
        </w:tc>
        <w:tc>
          <w:tcPr>
            <w:tcW w:w="980" w:type="dxa"/>
            <w:vAlign w:val="bottom"/>
            <w:gridSpan w:val="2"/>
          </w:tcPr>
          <w:p>
            <w:pPr>
              <w:jc w:val="right"/>
              <w:ind w:right="160"/>
              <w:spacing w:after="0" w:line="176" w:lineRule="exact"/>
              <w:rPr>
                <w:sz w:val="20"/>
                <w:szCs w:val="20"/>
                <w:color w:val="auto"/>
              </w:rPr>
            </w:pPr>
            <w:r>
              <w:rPr>
                <w:rFonts w:ascii="Arial" w:cs="Arial" w:eastAsia="Arial" w:hAnsi="Arial"/>
                <w:sz w:val="16"/>
                <w:szCs w:val="16"/>
                <w:b w:val="1"/>
                <w:bCs w:val="1"/>
                <w:color w:val="auto"/>
              </w:rPr>
              <w:t>(10,436)</w:t>
            </w: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(11,336)</w:t>
            </w:r>
          </w:p>
        </w:tc>
        <w:tc>
          <w:tcPr>
            <w:tcW w:w="20" w:type="dxa"/>
            <w:vAlign w:val="bottom"/>
          </w:tcPr>
          <w:p>
            <w:pPr>
              <w:spacing w:after="0"/>
              <w:rPr>
                <w:sz w:val="15"/>
                <w:szCs w:val="15"/>
                <w:color w:val="auto"/>
              </w:rPr>
            </w:pPr>
          </w:p>
        </w:tc>
      </w:tr>
      <w:tr>
        <w:trPr>
          <w:trHeight w:val="176"/>
        </w:trPr>
        <w:tc>
          <w:tcPr>
            <w:tcW w:w="68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Proceeds (purchases) from the redemption of Federal Home Loan Bank ("FHLB") stock, net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(2,611)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4,322</w:t>
            </w:r>
          </w:p>
        </w:tc>
        <w:tc>
          <w:tcPr>
            <w:tcW w:w="20" w:type="dxa"/>
            <w:vAlign w:val="bottom"/>
          </w:tcPr>
          <w:p>
            <w:pPr>
              <w:spacing w:after="0"/>
              <w:rPr>
                <w:sz w:val="15"/>
                <w:szCs w:val="15"/>
                <w:color w:val="auto"/>
              </w:rPr>
            </w:pPr>
          </w:p>
        </w:tc>
      </w:tr>
      <w:tr>
        <w:trPr>
          <w:trHeight w:val="176"/>
        </w:trPr>
        <w:tc>
          <w:tcPr>
            <w:tcW w:w="6880" w:type="dxa"/>
            <w:vAlign w:val="bottom"/>
          </w:tcPr>
          <w:p>
            <w:pPr>
              <w:ind w:left="320"/>
              <w:spacing w:after="0" w:line="176" w:lineRule="exact"/>
              <w:rPr>
                <w:sz w:val="20"/>
                <w:szCs w:val="20"/>
                <w:color w:val="auto"/>
              </w:rPr>
            </w:pPr>
            <w:r>
              <w:rPr>
                <w:rFonts w:ascii="Arial" w:cs="Arial" w:eastAsia="Arial" w:hAnsi="Arial"/>
                <w:sz w:val="16"/>
                <w:szCs w:val="16"/>
                <w:color w:val="auto"/>
              </w:rPr>
              <w:t>Net cash received in acquisitions</w:t>
            </w:r>
          </w:p>
        </w:tc>
        <w:tc>
          <w:tcPr>
            <w:tcW w:w="200" w:type="dxa"/>
            <w:vAlign w:val="bottom"/>
          </w:tcPr>
          <w:p>
            <w:pPr>
              <w:spacing w:after="0"/>
              <w:rPr>
                <w:sz w:val="15"/>
                <w:szCs w:val="15"/>
                <w:color w:val="auto"/>
              </w:rPr>
            </w:pPr>
          </w:p>
        </w:tc>
        <w:tc>
          <w:tcPr>
            <w:tcW w:w="980" w:type="dxa"/>
            <w:vAlign w:val="bottom"/>
            <w:gridSpan w:val="2"/>
          </w:tcPr>
          <w:p>
            <w:pPr>
              <w:jc w:val="right"/>
              <w:ind w:right="220"/>
              <w:spacing w:after="0" w:line="176"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29,947</w:t>
            </w:r>
          </w:p>
        </w:tc>
        <w:tc>
          <w:tcPr>
            <w:tcW w:w="20" w:type="dxa"/>
            <w:vAlign w:val="bottom"/>
          </w:tcPr>
          <w:p>
            <w:pPr>
              <w:spacing w:after="0"/>
              <w:rPr>
                <w:sz w:val="15"/>
                <w:szCs w:val="15"/>
                <w:color w:val="auto"/>
              </w:rPr>
            </w:pPr>
          </w:p>
        </w:tc>
      </w:tr>
      <w:tr>
        <w:trPr>
          <w:trHeight w:val="169"/>
        </w:trPr>
        <w:tc>
          <w:tcPr>
            <w:tcW w:w="6880" w:type="dxa"/>
            <w:vAlign w:val="bottom"/>
            <w:tcBorders>
              <w:top w:val="single" w:sz="8" w:color="CCEEFF"/>
            </w:tcBorders>
            <w:shd w:val="clear" w:color="auto" w:fill="CCEEFF"/>
          </w:tcPr>
          <w:p>
            <w:pPr>
              <w:ind w:left="660"/>
              <w:spacing w:after="0" w:line="169" w:lineRule="exact"/>
              <w:rPr>
                <w:sz w:val="20"/>
                <w:szCs w:val="20"/>
                <w:color w:val="auto"/>
              </w:rPr>
            </w:pPr>
            <w:r>
              <w:rPr>
                <w:rFonts w:ascii="Arial" w:cs="Arial" w:eastAsia="Arial" w:hAnsi="Arial"/>
                <w:sz w:val="16"/>
                <w:szCs w:val="16"/>
                <w:b w:val="1"/>
                <w:bCs w:val="1"/>
                <w:color w:val="auto"/>
              </w:rPr>
              <w:t>Net cash used in investing activities</w:t>
            </w:r>
          </w:p>
        </w:tc>
        <w:tc>
          <w:tcPr>
            <w:tcW w:w="200" w:type="dxa"/>
            <w:vAlign w:val="bottom"/>
            <w:tcBorders>
              <w:top w:val="single" w:sz="8" w:color="auto"/>
              <w:bottom w:val="single" w:sz="8" w:color="auto"/>
            </w:tcBorders>
            <w:shd w:val="clear" w:color="auto" w:fill="CCEEFF"/>
          </w:tcPr>
          <w:p>
            <w:pPr>
              <w:jc w:val="right"/>
              <w:ind w:right="44"/>
              <w:spacing w:after="0" w:line="169" w:lineRule="exact"/>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(305,405)</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(88,734)</w:t>
            </w:r>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left="1440" w:right="1920"/>
        <w:spacing w:after="0" w:line="214" w:lineRule="auto"/>
        <w:rPr>
          <w:sz w:val="20"/>
          <w:szCs w:val="20"/>
          <w:color w:val="auto"/>
        </w:rPr>
      </w:pPr>
      <w:r>
        <w:rPr>
          <w:rFonts w:ascii="Arial" w:cs="Arial" w:eastAsia="Arial" w:hAnsi="Arial"/>
          <w:sz w:val="18"/>
          <w:szCs w:val="18"/>
          <w:b w:val="1"/>
          <w:bCs w:val="1"/>
          <w:color w:val="auto"/>
        </w:rPr>
        <w:t>FIRST BUSEY CORPORATION and Subsidiaries CONSOLIDATED STATEMENTS OF CASH FLOWS (Continued) For the Nine Months Ended September 30, 2018 and 2017 (Unaudited)</w:t>
      </w: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right"/>
              <w:ind w:right="159"/>
              <w:spacing w:after="0" w:line="169" w:lineRule="exact"/>
              <w:rPr>
                <w:sz w:val="20"/>
                <w:szCs w:val="20"/>
                <w:color w:val="auto"/>
              </w:rPr>
            </w:pPr>
            <w:r>
              <w:rPr>
                <w:rFonts w:ascii="Arial" w:cs="Arial" w:eastAsia="Arial" w:hAnsi="Arial"/>
                <w:sz w:val="16"/>
                <w:szCs w:val="16"/>
                <w:b w:val="1"/>
                <w:bCs w:val="1"/>
                <w:i w:val="1"/>
                <w:iCs w:val="1"/>
                <w:color w:val="auto"/>
                <w:w w:val="93"/>
              </w:rPr>
              <w:t>(dollars 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line="176" w:lineRule="exact"/>
              <w:rPr>
                <w:sz w:val="20"/>
                <w:szCs w:val="20"/>
                <w:color w:val="auto"/>
              </w:rPr>
            </w:pPr>
            <w:r>
              <w:rPr>
                <w:rFonts w:ascii="Arial" w:cs="Arial" w:eastAsia="Arial" w:hAnsi="Arial"/>
                <w:sz w:val="16"/>
                <w:szCs w:val="16"/>
                <w:color w:val="auto"/>
              </w:rPr>
              <w:t>Net increase (decrease) in certificates of deposit</w:t>
            </w:r>
          </w:p>
        </w:tc>
        <w:tc>
          <w:tcPr>
            <w:tcW w:w="540" w:type="dxa"/>
            <w:vAlign w:val="bottom"/>
            <w:gridSpan w:val="2"/>
          </w:tcPr>
          <w:p>
            <w:pPr>
              <w:jc w:val="right"/>
              <w:ind w:right="60"/>
              <w:spacing w:after="0" w:line="176" w:lineRule="exact"/>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216,313</w:t>
            </w:r>
          </w:p>
        </w:tc>
        <w:tc>
          <w:tcPr>
            <w:tcW w:w="22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(92,596)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Net increase in demand deposits, money market and savings accounts</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6"/>
                <w:szCs w:val="16"/>
                <w:b w:val="1"/>
                <w:bCs w:val="1"/>
                <w:color w:val="auto"/>
                <w:w w:val="99"/>
              </w:rPr>
              <w:t>(146,517)</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(42,414)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700" w:type="dxa"/>
            <w:vAlign w:val="bottom"/>
          </w:tcPr>
          <w:p>
            <w:pPr>
              <w:ind w:left="220"/>
              <w:spacing w:after="0" w:line="152" w:lineRule="exact"/>
              <w:rPr>
                <w:sz w:val="20"/>
                <w:szCs w:val="20"/>
                <w:color w:val="auto"/>
              </w:rPr>
            </w:pPr>
            <w:r>
              <w:rPr>
                <w:rFonts w:ascii="Arial" w:cs="Arial" w:eastAsia="Arial" w:hAnsi="Arial"/>
                <w:sz w:val="16"/>
                <w:szCs w:val="16"/>
                <w:color w:val="auto"/>
                <w:w w:val="98"/>
              </w:rPr>
              <w:t>Net increase (decrease) in federal funds purchased and securities sold under agreements to</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(48,660)</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700" w:type="dxa"/>
            <w:vAlign w:val="bottom"/>
          </w:tcPr>
          <w:p>
            <w:pPr>
              <w:ind w:left="300"/>
              <w:spacing w:after="0"/>
              <w:rPr>
                <w:sz w:val="20"/>
                <w:szCs w:val="20"/>
                <w:color w:val="auto"/>
              </w:rPr>
            </w:pPr>
            <w:r>
              <w:rPr>
                <w:rFonts w:ascii="Arial" w:cs="Arial" w:eastAsia="Arial" w:hAnsi="Arial"/>
                <w:sz w:val="16"/>
                <w:szCs w:val="16"/>
                <w:color w:val="auto"/>
              </w:rPr>
              <w:t>repurchase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160"/>
              <w:spacing w:after="0" w:line="176" w:lineRule="exact"/>
              <w:rPr>
                <w:sz w:val="20"/>
                <w:szCs w:val="20"/>
                <w:color w:val="auto"/>
              </w:rPr>
            </w:pPr>
            <w:r>
              <w:rPr>
                <w:rFonts w:ascii="Arial" w:cs="Arial" w:eastAsia="Arial" w:hAnsi="Arial"/>
                <w:sz w:val="16"/>
                <w:szCs w:val="16"/>
                <w:color w:val="auto"/>
              </w:rPr>
              <w:t>Proceeds from short-term borrowings, net</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53,150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line="176" w:lineRule="exact"/>
              <w:rPr>
                <w:sz w:val="20"/>
                <w:szCs w:val="20"/>
                <w:color w:val="auto"/>
              </w:rPr>
            </w:pPr>
            <w:r>
              <w:rPr>
                <w:rFonts w:ascii="Arial" w:cs="Arial" w:eastAsia="Arial" w:hAnsi="Arial"/>
                <w:sz w:val="16"/>
                <w:szCs w:val="16"/>
                <w:color w:val="auto"/>
              </w:rPr>
              <w:t>Repayment of long-term advances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6"/>
                <w:szCs w:val="16"/>
                <w:b w:val="1"/>
                <w:bCs w:val="1"/>
                <w:color w:val="auto"/>
              </w:rPr>
              <w:t>(5,500)</w:t>
            </w: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(39,800)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Net proceeds from issuance of senior debt</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39,326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line="176" w:lineRule="exact"/>
              <w:rPr>
                <w:sz w:val="20"/>
                <w:szCs w:val="20"/>
                <w:color w:val="auto"/>
              </w:rPr>
            </w:pPr>
            <w:r>
              <w:rPr>
                <w:rFonts w:ascii="Arial" w:cs="Arial" w:eastAsia="Arial" w:hAnsi="Arial"/>
                <w:sz w:val="16"/>
                <w:szCs w:val="16"/>
                <w:color w:val="auto"/>
              </w:rPr>
              <w:t>Net proceeds from issuance of subordinated debt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60"/>
              <w:spacing w:after="0" w:line="176"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58,986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Cash dividends paid</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6"/>
                <w:szCs w:val="16"/>
                <w:b w:val="1"/>
                <w:bCs w:val="1"/>
                <w:color w:val="auto"/>
              </w:rPr>
              <w:t>(29,238)</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(21,971)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line="176" w:lineRule="exact"/>
              <w:rPr>
                <w:sz w:val="20"/>
                <w:szCs w:val="20"/>
                <w:color w:val="auto"/>
              </w:rPr>
            </w:pPr>
            <w:r>
              <w:rPr>
                <w:rFonts w:ascii="Arial" w:cs="Arial" w:eastAsia="Arial" w:hAnsi="Arial"/>
                <w:sz w:val="16"/>
                <w:szCs w:val="16"/>
                <w:color w:val="auto"/>
              </w:rPr>
              <w:t>Proceeds from FHLB long term advances, net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6"/>
                <w:szCs w:val="16"/>
                <w:b w:val="1"/>
                <w:bCs w:val="1"/>
                <w:color w:val="auto"/>
              </w:rPr>
              <w:t>(20,000)</w:t>
            </w: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700" w:type="dxa"/>
            <w:vAlign w:val="bottom"/>
            <w:shd w:val="clear" w:color="auto" w:fill="CCEEFF"/>
          </w:tcPr>
          <w:p>
            <w:pPr>
              <w:ind w:left="220"/>
              <w:spacing w:after="0" w:line="152" w:lineRule="exact"/>
              <w:rPr>
                <w:sz w:val="20"/>
                <w:szCs w:val="20"/>
                <w:color w:val="auto"/>
              </w:rPr>
            </w:pPr>
            <w:r>
              <w:rPr>
                <w:rFonts w:ascii="Arial" w:cs="Arial" w:eastAsia="Arial" w:hAnsi="Arial"/>
                <w:sz w:val="16"/>
                <w:szCs w:val="16"/>
                <w:color w:val="auto"/>
                <w:w w:val="97"/>
              </w:rPr>
              <w:t>Value of shares surrendered upon vesting to satisfy tax withholding obligations of stock-based</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(1,136)</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compensation</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line="176" w:lineRule="exact"/>
              <w:rPr>
                <w:sz w:val="20"/>
                <w:szCs w:val="20"/>
                <w:color w:val="auto"/>
              </w:rPr>
            </w:pPr>
            <w:r>
              <w:rPr>
                <w:rFonts w:ascii="Arial" w:cs="Arial" w:eastAsia="Arial" w:hAnsi="Arial"/>
                <w:sz w:val="16"/>
                <w:szCs w:val="16"/>
                <w:color w:val="auto"/>
              </w:rPr>
              <w:t>Proceeds from stock options exercised</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387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Common stock issuance costs</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0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b w:val="1"/>
                <w:bCs w:val="1"/>
                <w:color w:val="auto"/>
              </w:rPr>
              <w:t>Net cash (used in) financing activities</w:t>
            </w:r>
          </w:p>
        </w:tc>
        <w:tc>
          <w:tcPr>
            <w:tcW w:w="4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(34,351)</w:t>
            </w:r>
          </w:p>
        </w:tc>
        <w:tc>
          <w:tcPr>
            <w:tcW w:w="2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(42,945)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line="176" w:lineRule="exact"/>
              <w:rPr>
                <w:sz w:val="20"/>
                <w:szCs w:val="20"/>
                <w:color w:val="auto"/>
              </w:rPr>
            </w:pPr>
            <w:r>
              <w:rPr>
                <w:rFonts w:ascii="Arial" w:cs="Arial" w:eastAsia="Arial" w:hAnsi="Arial"/>
                <w:sz w:val="16"/>
                <w:szCs w:val="16"/>
                <w:b w:val="1"/>
                <w:bCs w:val="1"/>
                <w:color w:val="auto"/>
              </w:rPr>
              <w:t>Net increase (decrease) in cash and cash equivalents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6"/>
                <w:szCs w:val="16"/>
                <w:b w:val="1"/>
                <w:bCs w:val="1"/>
                <w:color w:val="auto"/>
                <w:w w:val="99"/>
              </w:rPr>
              <w:t>(192,620)</w:t>
            </w: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47,675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and cash equivalents, beginning of period</w:t>
            </w:r>
          </w:p>
        </w:tc>
        <w:tc>
          <w:tcPr>
            <w:tcW w:w="4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353,272</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166,706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0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and cash equivalents, ending of period</w:t>
            </w:r>
          </w:p>
        </w:tc>
        <w:tc>
          <w:tcPr>
            <w:tcW w:w="5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160,652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214,381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Payments for:</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line="176" w:lineRule="exact"/>
              <w:rPr>
                <w:sz w:val="20"/>
                <w:szCs w:val="20"/>
                <w:color w:val="auto"/>
              </w:rPr>
            </w:pPr>
            <w:r>
              <w:rPr>
                <w:rFonts w:ascii="Arial" w:cs="Arial" w:eastAsia="Arial" w:hAnsi="Arial"/>
                <w:sz w:val="16"/>
                <w:szCs w:val="16"/>
                <w:color w:val="auto"/>
              </w:rPr>
              <w:t>Interest</w:t>
            </w:r>
          </w:p>
        </w:tc>
        <w:tc>
          <w:tcPr>
            <w:tcW w:w="540" w:type="dxa"/>
            <w:vAlign w:val="bottom"/>
            <w:gridSpan w:val="2"/>
          </w:tcPr>
          <w:p>
            <w:pPr>
              <w:jc w:val="right"/>
              <w:ind w:right="60"/>
              <w:spacing w:after="0" w:line="176" w:lineRule="exact"/>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26,665</w:t>
            </w:r>
          </w:p>
        </w:tc>
        <w:tc>
          <w:tcPr>
            <w:tcW w:w="22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11,485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Income taxes</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b w:val="1"/>
                <w:bCs w:val="1"/>
                <w:color w:val="auto"/>
              </w:rPr>
              <w:t>20,127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19,369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Non-cash Investing and Financing Activities:</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700" w:type="dxa"/>
            <w:vAlign w:val="bottom"/>
          </w:tcPr>
          <w:p>
            <w:pPr>
              <w:ind w:left="220"/>
              <w:spacing w:after="0" w:line="164" w:lineRule="exact"/>
              <w:rPr>
                <w:sz w:val="20"/>
                <w:szCs w:val="20"/>
                <w:color w:val="auto"/>
              </w:rPr>
            </w:pPr>
            <w:r>
              <w:rPr>
                <w:rFonts w:ascii="Arial" w:cs="Arial" w:eastAsia="Arial" w:hAnsi="Arial"/>
                <w:sz w:val="16"/>
                <w:szCs w:val="16"/>
                <w:color w:val="auto"/>
              </w:rPr>
              <w:t>Other real estate acquired in settlement of loans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3,706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6"/>
                <w:szCs w:val="16"/>
                <w:color w:val="auto"/>
              </w:rPr>
              <w:t>477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Financial Statement Presentation</w:t>
      </w:r>
    </w:p>
    <w:p>
      <w:pPr>
        <w:spacing w:after="0" w:line="14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When preparing these unaudited Consolidated Financial Statements of First Busey Corporation and its subsidiaries (“First Busey,” “Company,” “we,” or “our”), a Nevada corporation, we have assumed that you have read the audited Consolidated Financial Statements included in our 2017 Form 10-K. These interim unaudited Consolidated Financial Statements serve to update our 2017 Form 10-K and may not include all information and notes necessary to constitute a complete set of Financial Statements.</w:t>
      </w:r>
    </w:p>
    <w:p>
      <w:pPr>
        <w:spacing w:after="0" w:line="122"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We prepared these unaudited Consolidated Financial Statements in accordance with accounting principles generally accepted in the United States of America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22"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23"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We have also considered the impact of subsequent events on these unaudited Consolidated Financial Statements. On October 12, 2018 a return of capital and associated surplus to the Company from Busey Bank was executed as discussed in “Note 14: Capital” with no impact to capital for the unaudited Consolidated Financial Statements. In addition, on November 1, 2018, Busey Trust Company was merged with and into Busey Bank, with no impact to the unaudited Consolidated Financial Statements. Other than these events, there were no significant subsequent events for the quarter ended September 30, 2018 through the issuance date of these unaudited Consolidated Financial Statements that warranted adjustment to or disclosure in the unaudited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44" w:lineRule="exact"/>
        <w:rPr>
          <w:sz w:val="20"/>
          <w:szCs w:val="20"/>
          <w:color w:val="auto"/>
        </w:rPr>
      </w:pPr>
    </w:p>
    <w:p>
      <w:pPr>
        <w:ind w:right="320"/>
        <w:spacing w:after="0" w:line="226" w:lineRule="auto"/>
        <w:rPr>
          <w:sz w:val="20"/>
          <w:szCs w:val="20"/>
          <w:color w:val="auto"/>
        </w:rPr>
      </w:pPr>
      <w:r>
        <w:rPr>
          <w:rFonts w:ascii="Arial" w:cs="Arial" w:eastAsia="Arial" w:hAnsi="Arial"/>
          <w:sz w:val="17"/>
          <w:szCs w:val="17"/>
          <w:color w:val="auto"/>
        </w:rPr>
        <w:t>In preparing the accompanying unaudited Consolidated Financial Statements,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that are particularly susceptible to significant change in the near term relate to the fair value of available for sale investment securities, the fair value of assets acquired and liabilities assumed in business combinations and the determination of the allowance for loan losses.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144"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i w:val="1"/>
          <w:iCs w:val="1"/>
          <w:color w:val="auto"/>
        </w:rPr>
        <w:t xml:space="preserve">Accounting Standards Update (“ASU”) 2014-09, “Revenue from Contracts with Customers (Topic 606).” </w:t>
      </w:r>
      <w:r>
        <w:rPr>
          <w:rFonts w:ascii="Arial" w:cs="Arial" w:eastAsia="Arial" w:hAnsi="Arial"/>
          <w:sz w:val="16"/>
          <w:szCs w:val="16"/>
          <w:color w:val="auto"/>
        </w:rPr>
        <w:t>ASU 2014-09</w:t>
      </w:r>
      <w:r>
        <w:rPr>
          <w:rFonts w:ascii="Arial" w:cs="Arial" w:eastAsia="Arial" w:hAnsi="Arial"/>
          <w:sz w:val="16"/>
          <w:szCs w:val="16"/>
          <w:i w:val="1"/>
          <w:iCs w:val="1"/>
          <w:color w:val="auto"/>
        </w:rPr>
        <w:t xml:space="preserve"> </w:t>
      </w:r>
      <w:r>
        <w:rPr>
          <w:rFonts w:ascii="Arial" w:cs="Arial" w:eastAsia="Arial" w:hAnsi="Arial"/>
          <w:sz w:val="16"/>
          <w:szCs w:val="16"/>
          <w:color w:val="auto"/>
        </w:rPr>
        <w:t>outlines a single model for companies to use in accounting for revenue arising from contracts with customers and supersedes most prior revenue recognition guidance, including industry-specific guidance. ASU 2014-09 requires that companies recognize revenue based on the value of transferred goods or services as they occur in the contract and establishes additional disclosures. The Company’s revenue is comprised of net interest income, which is explicitly excluded from the scope of ASU 2014-09, and non-interest income. The Company has evaluated its non-interest income and the nature of its contracts with customers and determined that further disaggregation of revenue beyond what is presented in the accompanying unaudited Consolidated Financial Statements was not necessary. The Company satisfies its performance obligations on its contracts with customers as services are rendered so there is limited judgment involved in applying Topic 606 that affects the determination of the timing and amount of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Descriptions of the Company’s primary revenue generating activities that are within Topic 606, and are presented in the accompanying unaudited Consolidated Statements of Income as components of non-interest income, include trust fees, commission and brokers’ fees, net, remittance processing, and fees for customer services. Trust fees and commission and brokers’ fees, net, represents monthly fees due from wealth management customers as consideration for managing the customers' assets. Wealth management and trust services include custody of assets, investment management, fees for trust services and other fiduciary activities. Also included are fees received from a third party broker-dealer as part of a revenue sharing agreement for fees earned from customers that the Company refers to the third party. Revenue is recognized when the performance obligation is completed, which is generally monthly. Remittance processing represents transaction-based fees for pay processing solutions such as online bill payments, lockbox and walk-in payments. Revenue is recognized when the performance obligation is completed, which is generally monthly. Fees for customer services represents general service fees for monthly account maintenance and activity or transaction-based fees and consists of transaction-based revenue, time-based revenue, or item-based revenue. Revenue is recognized when the performance obligation is completed which is generally monthly for account maintenance services or when a transaction has been completed. Payment for such performance obligations are generally received at the time the performance obligations are satisfied. The adoption of this guidance on January 1, 2018 did not change the method in which non-interest income is recognized therefore a cumulative effect adjustment to retained earnings was not necessary.</w:t>
      </w:r>
    </w:p>
    <w:p>
      <w:pPr>
        <w:spacing w:after="0" w:line="127"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i w:val="1"/>
          <w:iCs w:val="1"/>
          <w:color w:val="auto"/>
        </w:rPr>
        <w:t xml:space="preserve">ASU 2016-01, "Financial Instruments - Overall (Subtopic 825-10): Recognition and Measurement of Financial Assets and Financial Liabilities." </w:t>
      </w:r>
      <w:r>
        <w:rPr>
          <w:rFonts w:ascii="Arial" w:cs="Arial" w:eastAsia="Arial" w:hAnsi="Arial"/>
          <w:sz w:val="17"/>
          <w:szCs w:val="17"/>
          <w:color w:val="auto"/>
        </w:rPr>
        <w:t>ASU 2016-01 requires: equity investments, with certain exceptions, to be measured at fair value with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fair value recognized in net income; to use the exit price notion when measuring the fair value of financial instruments for disclosure purposes; separate presentation of financial assets and financial liabilities by measurement category and form of financial assets; eliminating the requirement to disclose the method and significant assumptions used to estimate the fair value for financial instruments measured at amortized cost on the Balance Sheet; and requires an entity to present separately in other comprehensive income (loss) the portion of the total change in fair value of a liability resulting from the change in the instrument-specific credit risk when the fair value option has been elected for the liability. ASU 2016-01 was effective on January 1, 2018 and the adoption of this guidance resulted in separate classification of equity securities previously included in available for sale securities on the Consolidated Financial Statements. There was no cumulative effect adjustment recorded with the adoption of this guidance.</w:t>
      </w:r>
    </w:p>
    <w:p>
      <w:pPr>
        <w:spacing w:after="0" w:line="127" w:lineRule="exact"/>
        <w:rPr>
          <w:sz w:val="20"/>
          <w:szCs w:val="20"/>
          <w:color w:val="auto"/>
        </w:rPr>
      </w:pPr>
    </w:p>
    <w:p>
      <w:pPr>
        <w:spacing w:after="0" w:line="244" w:lineRule="auto"/>
        <w:rPr>
          <w:sz w:val="20"/>
          <w:szCs w:val="20"/>
          <w:color w:val="auto"/>
        </w:rPr>
      </w:pPr>
      <w:r>
        <w:rPr>
          <w:rFonts w:ascii="Arial" w:cs="Arial" w:eastAsia="Arial" w:hAnsi="Arial"/>
          <w:sz w:val="16"/>
          <w:szCs w:val="16"/>
          <w:i w:val="1"/>
          <w:iCs w:val="1"/>
          <w:color w:val="auto"/>
        </w:rPr>
        <w:t xml:space="preserve">ASU 2018-02, "Income Statement-Reporting Comprehensive Income (Topic 220): Reclassification of Certain Tax Effects from Accumulated Other Comprehensive Income." </w:t>
      </w:r>
      <w:r>
        <w:rPr>
          <w:rFonts w:ascii="Arial" w:cs="Arial" w:eastAsia="Arial" w:hAnsi="Arial"/>
          <w:sz w:val="16"/>
          <w:szCs w:val="16"/>
          <w:color w:val="auto"/>
        </w:rPr>
        <w:t>ASU 2018-02 allows companies to make a one-time reclassification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other comprehensive income (loss) to retained earnings for the effects of remeasuring deferred tax liabilities and assets originally recorded in other comprehensive income as a result of the change in the federal tax rate by the TCJA. The Company adopted this guidance in the first quarter of 2018 with no impact on total stockholders' equity or net income.</w:t>
      </w:r>
    </w:p>
    <w:p>
      <w:pPr>
        <w:spacing w:after="0" w:line="118" w:lineRule="exact"/>
        <w:rPr>
          <w:sz w:val="20"/>
          <w:szCs w:val="20"/>
          <w:color w:val="auto"/>
        </w:rPr>
      </w:pPr>
    </w:p>
    <w:p>
      <w:pPr>
        <w:spacing w:after="0" w:line="236" w:lineRule="auto"/>
        <w:rPr>
          <w:sz w:val="20"/>
          <w:szCs w:val="20"/>
          <w:color w:val="auto"/>
        </w:rPr>
      </w:pPr>
      <w:r>
        <w:rPr>
          <w:rFonts w:ascii="Arial" w:cs="Arial" w:eastAsia="Arial" w:hAnsi="Arial"/>
          <w:sz w:val="16"/>
          <w:szCs w:val="16"/>
          <w:i w:val="1"/>
          <w:iCs w:val="1"/>
          <w:color w:val="auto"/>
        </w:rPr>
        <w:t xml:space="preserve">ASU 2016-02, "Leases (Topic 842)." </w:t>
      </w:r>
      <w:r>
        <w:rPr>
          <w:rFonts w:ascii="Arial" w:cs="Arial" w:eastAsia="Arial" w:hAnsi="Arial"/>
          <w:sz w:val="16"/>
          <w:szCs w:val="16"/>
          <w:color w:val="auto"/>
        </w:rPr>
        <w:t>ASU 2016-02 intends to increase transparency and comparability among organizations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recognizing all lease transactions (with terms in excess of 12 months) on the Consolidated Balance Sheet as a lease liability and a right-of-use asset. The guidance also requires qualitative and quantitative disclosures of the amount, timing and uncertainty of cash flows arising from leases. This guidance is effective for annual reporting periods beginning after December 15, 2018, including interim periods within those fiscal years. In July 2018, </w:t>
      </w:r>
      <w:r>
        <w:rPr>
          <w:rFonts w:ascii="Arial" w:cs="Arial" w:eastAsia="Arial" w:hAnsi="Arial"/>
          <w:sz w:val="16"/>
          <w:szCs w:val="16"/>
          <w:i w:val="1"/>
          <w:iCs w:val="1"/>
          <w:color w:val="auto"/>
        </w:rPr>
        <w:t>ASU 2018-11, "Leases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Targeted Improvements" </w:t>
      </w:r>
      <w:r>
        <w:rPr>
          <w:rFonts w:ascii="Arial" w:cs="Arial" w:eastAsia="Arial" w:hAnsi="Arial"/>
          <w:sz w:val="16"/>
          <w:szCs w:val="16"/>
          <w:color w:val="auto"/>
        </w:rPr>
        <w:t>was issued to allow companies to choose to recognize the cumulative effect of applying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to leased assets and liabilities as an adjustment to the opening balance of retained earnings rather than recasting prior year results upon adoption of the standard. The Company is in the process of calculating the transition impact of the guidance on its Consolidated Financial Statements and related disclosures. Where the Company is a lessee, the Company expects an increase in assets and liabilities to record the right of use asset and the lease liability.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9"/>
        <w:spacing w:after="0" w:line="212" w:lineRule="auto"/>
        <w:rPr>
          <w:sz w:val="20"/>
          <w:szCs w:val="20"/>
          <w:color w:val="auto"/>
        </w:rPr>
      </w:pPr>
      <w:r>
        <w:rPr>
          <w:rFonts w:ascii="Arial" w:cs="Arial" w:eastAsia="Arial" w:hAnsi="Arial"/>
          <w:sz w:val="18"/>
          <w:szCs w:val="18"/>
          <w:i w:val="1"/>
          <w:iCs w:val="1"/>
          <w:color w:val="auto"/>
        </w:rPr>
        <w:t xml:space="preserve">ASU 2016-13, "Financial Instruments - Credit Losses (Topic 326): Measurement of Credit Losses on Financial Instruments." </w:t>
      </w:r>
      <w:r>
        <w:rPr>
          <w:rFonts w:ascii="Arial" w:cs="Arial" w:eastAsia="Arial" w:hAnsi="Arial"/>
          <w:sz w:val="18"/>
          <w:szCs w:val="18"/>
          <w:color w:val="auto"/>
        </w:rPr>
        <w:t>ASU 2016-13 implements a change from the current impaired loss model to an expected credit loss model over the life of an instrument, including loans and securities held to maturity. The expected credit loss model is expected to result in earlier recognition of losses. ASU 2016-13 is effective for fiscal years beginning after December 15, 2019 including interim periods with those years. The Company has developed and is executing a project plan to implement this guidance. As part of that project plan, the Company will evaluate the impact this guidance will have on its Consolidated Financial Statements and related disclosures.</w:t>
      </w:r>
    </w:p>
    <w:p>
      <w:pPr>
        <w:spacing w:after="0" w:line="125" w:lineRule="exact"/>
        <w:rPr>
          <w:sz w:val="20"/>
          <w:szCs w:val="20"/>
          <w:color w:val="auto"/>
        </w:rPr>
      </w:pPr>
    </w:p>
    <w:p>
      <w:pPr>
        <w:ind w:right="19"/>
        <w:spacing w:after="0" w:line="223" w:lineRule="auto"/>
        <w:rPr>
          <w:sz w:val="20"/>
          <w:szCs w:val="20"/>
          <w:color w:val="auto"/>
        </w:rPr>
      </w:pPr>
      <w:r>
        <w:rPr>
          <w:rFonts w:ascii="Arial" w:cs="Arial" w:eastAsia="Arial" w:hAnsi="Arial"/>
          <w:sz w:val="17"/>
          <w:szCs w:val="17"/>
          <w:i w:val="1"/>
          <w:iCs w:val="1"/>
          <w:color w:val="auto"/>
        </w:rPr>
        <w:t xml:space="preserve">ASU 2017-04, "Intangibles - Goodwill and Other (Topic 350): Simplifying the Test for Goodwill Impairment." </w:t>
      </w:r>
      <w:r>
        <w:rPr>
          <w:rFonts w:ascii="Arial" w:cs="Arial" w:eastAsia="Arial" w:hAnsi="Arial"/>
          <w:sz w:val="17"/>
          <w:szCs w:val="17"/>
          <w:color w:val="auto"/>
        </w:rPr>
        <w:t>ASU 2017-04</w:t>
      </w:r>
      <w:r>
        <w:rPr>
          <w:rFonts w:ascii="Arial" w:cs="Arial" w:eastAsia="Arial" w:hAnsi="Arial"/>
          <w:sz w:val="17"/>
          <w:szCs w:val="17"/>
          <w:i w:val="1"/>
          <w:iCs w:val="1"/>
          <w:color w:val="auto"/>
        </w:rPr>
        <w:t xml:space="preserve"> </w:t>
      </w:r>
      <w:r>
        <w:rPr>
          <w:rFonts w:ascii="Arial" w:cs="Arial" w:eastAsia="Arial" w:hAnsi="Arial"/>
          <w:sz w:val="17"/>
          <w:szCs w:val="17"/>
          <w:color w:val="auto"/>
        </w:rPr>
        <w:t>is intended to simplify goodwill impairment testing by eliminating the second step of the analysis which required an entity to determine the fair value of its assets and liabilities as of the impairment test date. Instead, ASU 2017-04 requires entities to compare the fair value of a reporting unit with its carrying amount and recognize an impairment charge for any amount by which the carrying amount exceeds the reporting unit's fair value, to the extent that the loss recognized does not exceed the amount of goodwill allocated to that reporting unit. This guidance is effective for annual and interim periods beginning after December 15, 2019, with early adoption permitted. The Company does not expect this guidance to have a material impact on its Consolidated Financial Statements.</w:t>
      </w:r>
    </w:p>
    <w:p>
      <w:pPr>
        <w:spacing w:after="0" w:line="127" w:lineRule="exact"/>
        <w:rPr>
          <w:sz w:val="20"/>
          <w:szCs w:val="20"/>
          <w:color w:val="auto"/>
        </w:rPr>
      </w:pPr>
    </w:p>
    <w:p>
      <w:pPr>
        <w:ind w:right="99"/>
        <w:spacing w:after="0" w:line="212" w:lineRule="auto"/>
        <w:rPr>
          <w:sz w:val="20"/>
          <w:szCs w:val="20"/>
          <w:color w:val="auto"/>
        </w:rPr>
      </w:pPr>
      <w:r>
        <w:rPr>
          <w:rFonts w:ascii="Arial" w:cs="Arial" w:eastAsia="Arial" w:hAnsi="Arial"/>
          <w:sz w:val="18"/>
          <w:szCs w:val="18"/>
          <w:i w:val="1"/>
          <w:iCs w:val="1"/>
          <w:color w:val="auto"/>
        </w:rPr>
        <w:t xml:space="preserve">ASU 2017-08, "Receivables - Nonrefundable Fees and Other Costs (Subtopic 310-20), Premium Amortization on Purchased Callable Debt Securities." </w:t>
      </w:r>
      <w:r>
        <w:rPr>
          <w:rFonts w:ascii="Arial" w:cs="Arial" w:eastAsia="Arial" w:hAnsi="Arial"/>
          <w:sz w:val="18"/>
          <w:szCs w:val="18"/>
          <w:color w:val="auto"/>
        </w:rPr>
        <w:t>ASU 2017-08 shortens the amortization period for certain callable debt securities held at a</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requiring the premium to be amortized to the earliest call date. ASU 2017-08 does not require an accounting change for securities held at a discount; the discount continues to be amortized to maturity. This guidance is effective for annual reporting periods beginning after December 15, 2018, including interim periods within those fiscal years, with early adoption permitted. The Company does not expect this guidance to have a material impact on its Consolidated Financial Statements.</w:t>
      </w:r>
    </w:p>
    <w:p>
      <w:pPr>
        <w:spacing w:after="0" w:line="125" w:lineRule="exact"/>
        <w:rPr>
          <w:sz w:val="20"/>
          <w:szCs w:val="20"/>
          <w:color w:val="auto"/>
        </w:rPr>
      </w:pPr>
    </w:p>
    <w:p>
      <w:pPr>
        <w:ind w:right="39"/>
        <w:spacing w:after="0" w:line="223" w:lineRule="auto"/>
        <w:rPr>
          <w:sz w:val="20"/>
          <w:szCs w:val="20"/>
          <w:color w:val="auto"/>
        </w:rPr>
      </w:pPr>
      <w:r>
        <w:rPr>
          <w:rFonts w:ascii="Arial" w:cs="Arial" w:eastAsia="Arial" w:hAnsi="Arial"/>
          <w:sz w:val="17"/>
          <w:szCs w:val="17"/>
          <w:i w:val="1"/>
          <w:iCs w:val="1"/>
          <w:color w:val="auto"/>
        </w:rPr>
        <w:t xml:space="preserve">ASU 2017-12, "Derivatives and Hedging (Topic 815): Targeted Improvements to Accounting for Hedging Activities." </w:t>
      </w:r>
      <w:r>
        <w:rPr>
          <w:rFonts w:ascii="Arial" w:cs="Arial" w:eastAsia="Arial" w:hAnsi="Arial"/>
          <w:sz w:val="17"/>
          <w:szCs w:val="17"/>
          <w:color w:val="auto"/>
        </w:rPr>
        <w:t>ASU</w:t>
      </w:r>
      <w:r>
        <w:rPr>
          <w:rFonts w:ascii="Arial" w:cs="Arial" w:eastAsia="Arial" w:hAnsi="Arial"/>
          <w:sz w:val="17"/>
          <w:szCs w:val="17"/>
          <w:i w:val="1"/>
          <w:iCs w:val="1"/>
          <w:color w:val="auto"/>
        </w:rPr>
        <w:t xml:space="preserve"> </w:t>
      </w:r>
      <w:r>
        <w:rPr>
          <w:rFonts w:ascii="Arial" w:cs="Arial" w:eastAsia="Arial" w:hAnsi="Arial"/>
          <w:sz w:val="17"/>
          <w:szCs w:val="17"/>
          <w:color w:val="auto"/>
        </w:rPr>
        <w:t>2017-12 amends Topic 815 to reduce the cost and complexity of applying hedge accounting and expands the types of relationships that qualify for hedge accounting. The guidance eliminates the requirement to separately measure and report hedge ineffectiveness, requires all items that affect earnings to be presented in the same income statement line as the hedged item, provides for applying hedge accounting to additional hedging strategies, provides for new approaches to measuring the hedged item in fair value hedges of interest rate risk, and eases the requirements for effective testing and hedge documentation. This guidance is effective for annual reporting periods beginning after December 15, 2018, including interim periods within those fiscal years, with early adoption permitted. The Company does not expect this guidance to have a material impact on its Consolidated Financial Statements.</w:t>
      </w:r>
    </w:p>
    <w:p>
      <w:pPr>
        <w:spacing w:after="0" w:line="121" w:lineRule="exact"/>
        <w:rPr>
          <w:sz w:val="20"/>
          <w:szCs w:val="20"/>
          <w:color w:val="auto"/>
        </w:rPr>
      </w:pPr>
    </w:p>
    <w:p>
      <w:pPr>
        <w:ind w:right="19"/>
        <w:spacing w:after="0" w:line="229" w:lineRule="auto"/>
        <w:rPr>
          <w:sz w:val="20"/>
          <w:szCs w:val="20"/>
          <w:color w:val="auto"/>
        </w:rPr>
      </w:pPr>
      <w:r>
        <w:rPr>
          <w:rFonts w:ascii="Arial" w:cs="Arial" w:eastAsia="Arial" w:hAnsi="Arial"/>
          <w:sz w:val="17"/>
          <w:szCs w:val="17"/>
          <w:i w:val="1"/>
          <w:iCs w:val="1"/>
          <w:color w:val="auto"/>
        </w:rPr>
        <w:t xml:space="preserve">ASU 2018-07, "Compensation-Stock Compensation (Topic 718): Improvements to Nonemployee Share-Based Payment Accounting." </w:t>
      </w:r>
      <w:r>
        <w:rPr>
          <w:rFonts w:ascii="Arial" w:cs="Arial" w:eastAsia="Arial" w:hAnsi="Arial"/>
          <w:sz w:val="17"/>
          <w:szCs w:val="17"/>
          <w:color w:val="auto"/>
        </w:rPr>
        <w:t>ASU 2018-07 expands the scope of Topic 718 to include share-based payment transactions for acquiring goods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services from nonemployees. This guidance is effective for annual reporting periods beginning after December 15, 2018, including interim periods within those fiscal years, with early adoption permitted. The Company does not expect this guidance to have a material impact on its Consolidated Financial Statements.</w:t>
      </w:r>
    </w:p>
    <w:p>
      <w:pPr>
        <w:spacing w:after="0" w:line="121" w:lineRule="exact"/>
        <w:rPr>
          <w:sz w:val="20"/>
          <w:szCs w:val="20"/>
          <w:color w:val="auto"/>
        </w:rPr>
      </w:pPr>
    </w:p>
    <w:p>
      <w:pPr>
        <w:ind w:right="39"/>
        <w:spacing w:after="0" w:line="244" w:lineRule="auto"/>
        <w:rPr>
          <w:sz w:val="20"/>
          <w:szCs w:val="20"/>
          <w:color w:val="auto"/>
        </w:rPr>
      </w:pPr>
      <w:r>
        <w:rPr>
          <w:rFonts w:ascii="Arial" w:cs="Arial" w:eastAsia="Arial" w:hAnsi="Arial"/>
          <w:sz w:val="16"/>
          <w:szCs w:val="16"/>
          <w:i w:val="1"/>
          <w:iCs w:val="1"/>
          <w:color w:val="auto"/>
        </w:rPr>
        <w:t xml:space="preserve">ASU 2018-13, "Fair Value Measurement (Topic 820): Disclosure Framework-Changes to the Disclosure Requirements for Fair Value Measurement." </w:t>
      </w:r>
      <w:r>
        <w:rPr>
          <w:rFonts w:ascii="Arial" w:cs="Arial" w:eastAsia="Arial" w:hAnsi="Arial"/>
          <w:sz w:val="16"/>
          <w:szCs w:val="16"/>
          <w:color w:val="auto"/>
        </w:rPr>
        <w:t>ASU 2018-13 removes, modifies, and adds certain disclosure requirements on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This guidance is effective for annual reporting periods beginning after December 15, 2019, including interim periods within those fiscal years, with early adoption permitted. The guidance has no impact on the Company’s Consolidated Financial Statements and is not expected to have a material impact on the Company’s required disclosures.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Community Financial Partners, Inc.</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On July 2, 2017, the Company completed its acquisition of First Community Financial Partners, Inc. (“First Community”), which was headquartered in Joliet, Illinois and its wholly owned bank subsidiary, First Community Financial Bank. Founded in 2004, First Community operated nine banking centers in Will, DuPage and Grundy Counties, which encompass portions of the southwestern suburbs of Chicago. The operating results of First Community are included with the Company’s results of operations since the date of acquisition. First Busey operated First Community Financial Bank as a separate subsidiary from July 3, 2017 until November 3, 2017, when it was merged with and into Busey Bank. At that time, First Community Financial Bank’s banking centers became banking centers of Busey Bank.</w:t>
      </w:r>
    </w:p>
    <w:p>
      <w:pPr>
        <w:spacing w:after="0" w:line="122" w:lineRule="exact"/>
        <w:rPr>
          <w:sz w:val="20"/>
          <w:szCs w:val="20"/>
          <w:color w:val="auto"/>
        </w:rPr>
      </w:pPr>
    </w:p>
    <w:p>
      <w:pPr>
        <w:ind w:right="140"/>
        <w:spacing w:after="0" w:line="223" w:lineRule="auto"/>
        <w:rPr>
          <w:sz w:val="20"/>
          <w:szCs w:val="20"/>
          <w:color w:val="auto"/>
        </w:rPr>
      </w:pPr>
      <w:r>
        <w:rPr>
          <w:rFonts w:ascii="Arial" w:cs="Arial" w:eastAsia="Arial" w:hAnsi="Arial"/>
          <w:sz w:val="17"/>
          <w:szCs w:val="17"/>
          <w:color w:val="auto"/>
        </w:rPr>
        <w:t>Under the terms of the merger agreement with First Community, at the effective time of the acquisition, each share of First Community common stock issued and outstanding was converted into the right to receive 0.396 shares of the Company’s common stock, cash in lieu of fractional shares and $1.35 cash consideration per share. The market value of the 7.2 million shares of First Busey common stock issued at the effective time of the acquisition was approximately $211.1 million based on First Busey’s closing stock price of $29.32 on June 30, 2017. In addition, certain options to purchase shares of First Community common stock that were outstanding at the acquisition date were converted into options to purchase shares of First Busey common stock, adjusted for the 0.44 option exchange ratio, and the fair value was included in the purchase price. Further, the purchase price included cash payouts relating to unconverted stock options and restricted stock units outstanding as of the acquisition date.</w:t>
      </w:r>
    </w:p>
    <w:p>
      <w:pPr>
        <w:spacing w:after="0" w:line="121"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were recorded at their estimated fair values on the date of acquisition. The total consideration paid, which was used to determine the amount of goodwill resulting from the transaction, also included the fair value of outstanding First Community stock options that were converted into options to purchase common shares of First Busey and cash paid out relating to stock options and restricted stock units not converted. As the total consideration paid for First Community exceeded the net assets acquired, goodwill of $116.0 million was recorded as a result of the</w:t>
      </w:r>
    </w:p>
    <w:p>
      <w:pPr>
        <w:spacing w:after="0" w:line="2"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acquisition. Goodwill recorded in the transaction, which reflected the synergies expected from the acquisition and the greater revenue opportunities from the Company’s broader service capabilities in the Chicagoland area, is not tax deductible, and was assigned to the Banking operating segment.</w:t>
      </w:r>
    </w:p>
    <w:p>
      <w:pPr>
        <w:spacing w:after="0" w:line="122"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First Busey did not incur any expenses related to the acquisition of First Community for the three months ended September 30, 2018. First Busey incurred $0.1 million in pre-tax expenses related to the acquisition of First Community for the nine months ended September 30, 2018, primarily for professional and legal fees. First Busey incurred $2.9 million and $3.7 million in pre-tax expenses related to the acquisition of First Community for the three and nine months ended September 30, 2017, respectively, primarily for professional and legal fees, data processing conversion expenses and restructuring expenses, all of which are reported as a component of non-interest expense in the accompanying unaudited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 xml:space="preserve">The following table presents the fair value of First Community assets acquired and liabilities assumed as of July 2, 2017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292"/>
              <w:spacing w:after="0"/>
              <w:rPr>
                <w:sz w:val="20"/>
                <w:szCs w:val="20"/>
                <w:color w:val="auto"/>
              </w:rPr>
            </w:pPr>
            <w:r>
              <w:rPr>
                <w:rFonts w:ascii="Arial" w:cs="Arial" w:eastAsia="Arial" w:hAnsi="Arial"/>
                <w:sz w:val="14"/>
                <w:szCs w:val="14"/>
                <w:b w:val="1"/>
                <w:bCs w:val="1"/>
                <w:color w:val="auto"/>
              </w:rPr>
              <w:t>As Recorded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First Busey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 acquired:</w:t>
            </w: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Cash and cash equivalents</w:t>
            </w: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60,686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Securities</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165,843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Loans held for sale</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Portfolio loans</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1,096,583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Premises and equipment</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18,094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OREO</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Other intangible assets</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13,979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Other assets</w:t>
            </w:r>
          </w:p>
        </w:tc>
        <w:tc>
          <w:tcPr>
            <w:tcW w:w="9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41,755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Borders>
              <w:bottom w:val="single" w:sz="8" w:color="CCEEFF"/>
            </w:tcBorders>
          </w:tcPr>
          <w:p>
            <w:pPr>
              <w:ind w:left="200"/>
              <w:spacing w:after="0" w:line="182" w:lineRule="exact"/>
              <w:rPr>
                <w:sz w:val="20"/>
                <w:szCs w:val="20"/>
                <w:color w:val="auto"/>
              </w:rPr>
            </w:pPr>
            <w:r>
              <w:rPr>
                <w:rFonts w:ascii="Arial" w:cs="Arial" w:eastAsia="Arial" w:hAnsi="Arial"/>
                <w:sz w:val="18"/>
                <w:szCs w:val="18"/>
                <w:color w:val="auto"/>
              </w:rPr>
              <w:t>Total assets acquired</w:t>
            </w:r>
          </w:p>
        </w:tc>
        <w:tc>
          <w:tcPr>
            <w:tcW w:w="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1,398,567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tcPr>
          <w:p>
            <w:pPr>
              <w:spacing w:after="0" w:line="189" w:lineRule="exact"/>
              <w:rPr>
                <w:sz w:val="20"/>
                <w:szCs w:val="20"/>
                <w:color w:val="auto"/>
              </w:rPr>
            </w:pPr>
            <w:r>
              <w:rPr>
                <w:rFonts w:ascii="Arial" w:cs="Arial" w:eastAsia="Arial" w:hAnsi="Arial"/>
                <w:sz w:val="18"/>
                <w:szCs w:val="18"/>
                <w:color w:val="auto"/>
              </w:rPr>
              <w:t>Liabilities assumed:</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Deposits</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1,134,355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Other borrowings</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125,751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Other liabilities</w:t>
            </w:r>
          </w:p>
        </w:tc>
        <w:tc>
          <w:tcPr>
            <w:tcW w:w="9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Borders>
              <w:bottom w:val="single" w:sz="8" w:color="CCEEFF"/>
            </w:tcBorders>
          </w:tcPr>
          <w:p>
            <w:pPr>
              <w:ind w:left="200"/>
              <w:spacing w:after="0" w:line="182" w:lineRule="exact"/>
              <w:rPr>
                <w:sz w:val="20"/>
                <w:szCs w:val="20"/>
                <w:color w:val="auto"/>
              </w:rPr>
            </w:pPr>
            <w:r>
              <w:rPr>
                <w:rFonts w:ascii="Arial" w:cs="Arial" w:eastAsia="Arial" w:hAnsi="Arial"/>
                <w:sz w:val="18"/>
                <w:szCs w:val="18"/>
                <w:color w:val="auto"/>
              </w:rPr>
              <w:t>Total liabilities assumed</w:t>
            </w:r>
          </w:p>
        </w:tc>
        <w:tc>
          <w:tcPr>
            <w:tcW w:w="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1,271,968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40" w:type="dxa"/>
            <w:vAlign w:val="bottom"/>
          </w:tcPr>
          <w:p>
            <w:pPr>
              <w:spacing w:after="0" w:line="189" w:lineRule="exact"/>
              <w:rPr>
                <w:sz w:val="20"/>
                <w:szCs w:val="20"/>
                <w:color w:val="auto"/>
              </w:rPr>
            </w:pPr>
            <w:r>
              <w:rPr>
                <w:rFonts w:ascii="Arial" w:cs="Arial" w:eastAsia="Arial" w:hAnsi="Arial"/>
                <w:sz w:val="18"/>
                <w:szCs w:val="18"/>
                <w:color w:val="auto"/>
              </w:rPr>
              <w:t>Net assets acquired</w:t>
            </w: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126,599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tcPr>
          <w:p>
            <w:pPr>
              <w:spacing w:after="0" w:line="189" w:lineRule="exact"/>
              <w:rPr>
                <w:sz w:val="20"/>
                <w:szCs w:val="20"/>
                <w:color w:val="auto"/>
              </w:rPr>
            </w:pPr>
            <w:r>
              <w:rPr>
                <w:rFonts w:ascii="Arial" w:cs="Arial" w:eastAsia="Arial" w:hAnsi="Arial"/>
                <w:sz w:val="18"/>
                <w:szCs w:val="18"/>
                <w:color w:val="auto"/>
              </w:rPr>
              <w:t>Consideration paid:</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Cash</w:t>
            </w: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24,557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Cash payout of options and restricted stock units</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Common stock</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211,120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8"/>
                <w:szCs w:val="18"/>
                <w:color w:val="auto"/>
              </w:rPr>
              <w:t>Fair value of stock options assumed</w:t>
            </w:r>
          </w:p>
        </w:tc>
        <w:tc>
          <w:tcPr>
            <w:tcW w:w="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40" w:type="dxa"/>
            <w:vAlign w:val="bottom"/>
            <w:tcBorders>
              <w:bottom w:val="single" w:sz="8" w:color="CCEEFF"/>
            </w:tcBorders>
            <w:shd w:val="clear" w:color="auto" w:fill="CCEEFF"/>
          </w:tcPr>
          <w:p>
            <w:pPr>
              <w:ind w:left="200"/>
              <w:spacing w:after="0" w:line="182" w:lineRule="exact"/>
              <w:rPr>
                <w:sz w:val="20"/>
                <w:szCs w:val="20"/>
                <w:color w:val="auto"/>
              </w:rPr>
            </w:pPr>
            <w:r>
              <w:rPr>
                <w:rFonts w:ascii="Arial" w:cs="Arial" w:eastAsia="Arial" w:hAnsi="Arial"/>
                <w:sz w:val="18"/>
                <w:szCs w:val="18"/>
                <w:color w:val="auto"/>
              </w:rPr>
              <w:t>Total consideration paid</w:t>
            </w:r>
          </w:p>
        </w:tc>
        <w:tc>
          <w:tcPr>
            <w:tcW w:w="9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242,581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Goodwill</w:t>
            </w: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115,982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The loans acquired in this transaction were recorded at fair value with no carryover of any existing allowance for loan losses. Loans that were not deemed to be credit-impaired at the acquisition date were accounted for under Financial Accounting Standards Board (“FASB”) Accounting Standards Codification ("ASC") 310-20, Receivables-Nonrefundable Fees and Other Costs, and were subsequently considered as part of the Company’s determination of the adequacy of the allowance for loan losses. Purchased credit-impaired (“PCI”) loans were accounted for under ASC 310-30, Receivables – Loans and Debt Securities Acquired with Deteriorated Credit Quality. As of the acquisition date, the aggregate principal outstanding and aggregate fair value of the acquired performing loans, including loans held for sale, totaled $1.1 billion. The difference between the aggregate principal balance outstanding and aggregate fair value of $14.4 million is expected to be accreted over the estimated four year remaining life of the respective loans in a manner that approximates the level yield method. As of the acquisition date, the aggregate principal balance outstanding of PCI loans totaled $17.9 million and the aggregate fair value of PCI loans totaled $12.5 million, which became such loans’ new carrying value. At September 30, 2018, PCI loans related to this transaction with a carrying value of $2.7 million were outstanding, with the decrease relating to collections and a loan sale.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For PCI loans,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The accretable yield, as of the acquisition date, of $0.6 million on PCI loans was expected to be recognized over the estimated four year remaining life of the respective loans in a manner that approximates the level yield method; however, $0.2 million of the accretable yield was accelerated in 2017 as a result of collections of PCI loan balances so the full balance will be recognized by December 2018.</w:t>
      </w:r>
    </w:p>
    <w:p>
      <w:pPr>
        <w:spacing w:after="0" w:line="120"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 xml:space="preserve">The following table provides the unaudited pro forma information for the results of operations for the nine months ended September 30, 2017, as if the acquisition had occurred January 1, 2017. The pro forma results combine the historical results of First Community into the Company's unaudited Consolidated Statements of Income, including the impact of purchase accounting adjustments for loan discount accretion, intangible assets amortization and deposit accretion, net of taxes. The pro forma results have been prepared for comparative purposes only and are not necessarily indicative of the results that would have been obtained had the acquisition actually occurred on January 1, 2017. No assumptions have been applied to the pro forma results of operations regarding possible revenue enhancements, expense efficiencies or asset dispositions. Only the merger related expenses that have been recognized are included in net income in the table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 xml:space="preserve"> </w:t>
      </w:r>
      <w:r>
        <w:rPr>
          <w:rFonts w:ascii="Arial" w:cs="Arial" w:eastAsia="Arial" w:hAnsi="Arial"/>
          <w:sz w:val="17"/>
          <w:szCs w:val="17"/>
          <w:i w:val="1"/>
          <w:iCs w:val="1"/>
          <w:color w:val="auto"/>
        </w:rPr>
        <w:t>except per share amount)</w:t>
      </w:r>
      <w:r>
        <w:rPr>
          <w:rFonts w:ascii="Arial" w:cs="Arial" w:eastAsia="Arial" w:hAnsi="Arial"/>
          <w:sz w:val="17"/>
          <w:szCs w:val="17"/>
          <w:color w:val="auto"/>
        </w:rPr>
        <w: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right"/>
              <w:ind w:right="479"/>
              <w:spacing w:after="0"/>
              <w:rPr>
                <w:sz w:val="20"/>
                <w:szCs w:val="20"/>
                <w:color w:val="auto"/>
              </w:rPr>
            </w:pPr>
            <w:r>
              <w:rPr>
                <w:rFonts w:ascii="Arial" w:cs="Arial" w:eastAsia="Arial" w:hAnsi="Arial"/>
                <w:sz w:val="14"/>
                <w:szCs w:val="14"/>
                <w:b w:val="1"/>
                <w:bCs w:val="1"/>
                <w:color w:val="auto"/>
              </w:rPr>
              <w:t>Pro Forma</w:t>
            </w:r>
          </w:p>
        </w:tc>
      </w:tr>
      <w:tr>
        <w:trPr>
          <w:trHeight w:val="149"/>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auto"/>
              </w:rPr>
              <w:t>Nine Months Ended</w:t>
            </w:r>
          </w:p>
        </w:tc>
      </w:tr>
      <w:tr>
        <w:trPr>
          <w:trHeight w:val="171"/>
        </w:trPr>
        <w:tc>
          <w:tcPr>
            <w:tcW w:w="5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September 30, 2017</w:t>
            </w:r>
          </w:p>
        </w:tc>
      </w:tr>
      <w:tr>
        <w:trPr>
          <w:trHeight w:val="183"/>
        </w:trPr>
        <w:tc>
          <w:tcPr>
            <w:tcW w:w="5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revenues (net interest income plus non-interest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231,301</w:t>
            </w: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6"/>
                <w:szCs w:val="16"/>
                <w:color w:val="auto"/>
              </w:rPr>
            </w:pPr>
          </w:p>
        </w:tc>
        <w:tc>
          <w:tcPr>
            <w:tcW w:w="1740" w:type="dxa"/>
            <w:vAlign w:val="bottom"/>
          </w:tcPr>
          <w:p>
            <w:pPr>
              <w:jc w:val="right"/>
              <w:spacing w:after="0" w:line="189" w:lineRule="exact"/>
              <w:rPr>
                <w:sz w:val="20"/>
                <w:szCs w:val="20"/>
                <w:color w:val="auto"/>
              </w:rPr>
            </w:pPr>
            <w:r>
              <w:rPr>
                <w:rFonts w:ascii="Arial" w:cs="Arial" w:eastAsia="Arial" w:hAnsi="Arial"/>
                <w:sz w:val="18"/>
                <w:szCs w:val="18"/>
                <w:color w:val="auto"/>
              </w:rPr>
              <w:t>56,348</w:t>
            </w: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Diluted earnings per common share</w:t>
            </w: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Mid Illinois Bancorp, Inc.</w:t>
      </w:r>
    </w:p>
    <w:p>
      <w:pPr>
        <w:spacing w:after="0" w:line="144"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On October 1, 2017, the Company completed its acquisition of Mid Illinois Bancorp, Inc. (“Mid Illinois”) and its wholly owned bank subsidiary South Side Trust &amp; Savings Bank of Peoria (“South Side Bank”), under which each share of Mid Illinois common stock issued and outstanding as of the effective time was converted into, at the election of the stockholder the right to receive, either (i) $227.94 in cash, (ii) 7.5149 shares of the Company’s common stock, or (iii) mixed consideration of $68.38 in cash and 5.2604 shares of the Company’s common stock, subject to certain adjustments and proration. In the aggregate, total consideration consisted of 70% stock and 30% cash. Mid Illinois stockholders electing the cash consideration option were subject to proration under the terms of the merger agreement with Mid Illinois and ultimately received a mixture of cash and stock consideration. First Busey operated South Side Bank as a separate bank subsidiary from October 2, 2017 until March 16, 2018, when it was merged with and into Busey Bank. At that time, South Side Bank’s banking centers became banking centers of Busey Bank.</w:t>
      </w:r>
    </w:p>
    <w:p>
      <w:pPr>
        <w:spacing w:after="0" w:line="123"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were recorded at their estimated fair values on the date of acquisition. An adjustment to the fair value was recorded in the first quarter of 2018 as additional information became available. As the total consideration paid for Mid Illinois exceeded the net assets acquired, goodwill of $48.9 million was recorded as a result of the acquisition. Goodwill recorded in the transaction, which reflected the synergies expected from the acquisition and expansion within the greater Peoria area, is not tax deductible, and was assigned to the Banking operating segment.</w:t>
      </w:r>
    </w:p>
    <w:p>
      <w:pPr>
        <w:spacing w:after="0" w:line="120" w:lineRule="exact"/>
        <w:rPr>
          <w:sz w:val="20"/>
          <w:szCs w:val="20"/>
          <w:color w:val="auto"/>
        </w:rPr>
      </w:pPr>
    </w:p>
    <w:p>
      <w:pPr>
        <w:ind w:right="60"/>
        <w:spacing w:after="0" w:line="211" w:lineRule="auto"/>
        <w:rPr>
          <w:sz w:val="20"/>
          <w:szCs w:val="20"/>
          <w:color w:val="auto"/>
        </w:rPr>
      </w:pPr>
      <w:r>
        <w:rPr>
          <w:rFonts w:ascii="Arial" w:cs="Arial" w:eastAsia="Arial" w:hAnsi="Arial"/>
          <w:sz w:val="18"/>
          <w:szCs w:val="18"/>
          <w:color w:val="auto"/>
        </w:rPr>
        <w:t>First Busey did not incur any expenses related to the acquisition of Mid Illinois for the three months ended September 30, 2018. First Busey incurred $3.1 million of pre-tax expenses related to the acquisition of Mid Illinois for the nine months ended September 30, 2018, primarily for salaries, wages and employee benefits expense, professional and legal fees and data conversion expenses, all of which are reported as a component of non-interest expense in the accompanying unaudited Consolidated Financial Statements. First Busey incurred $0.2 million and $0.4 million in pre-tax expenses related to the acquisition of Mid Illinois for the three and nine months ended September 30, 2017, respectively, primarily for legal fees, all of which are reported as a component of non-interest expense in the accompanying unaudited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 xml:space="preserve">The following table presents the fair value of Mid Illinois assets acquired and liabilities assumed as of October 1, 2017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ind w:right="572"/>
              <w:spacing w:after="0"/>
              <w:rPr>
                <w:sz w:val="20"/>
                <w:szCs w:val="20"/>
                <w:color w:val="auto"/>
              </w:rPr>
            </w:pPr>
            <w:r>
              <w:rPr>
                <w:rFonts w:ascii="Arial" w:cs="Arial" w:eastAsia="Arial" w:hAnsi="Arial"/>
                <w:sz w:val="14"/>
                <w:szCs w:val="14"/>
                <w:b w:val="1"/>
                <w:bCs w:val="1"/>
                <w:color w:val="auto"/>
              </w:rPr>
              <w:t>As Recorded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First Busey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 acquired:</w:t>
            </w:r>
          </w:p>
        </w:tc>
        <w:tc>
          <w:tcPr>
            <w:tcW w:w="3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tcPr>
          <w:p>
            <w:pPr>
              <w:ind w:left="80"/>
              <w:spacing w:after="0" w:line="189" w:lineRule="exact"/>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spacing w:after="0" w:line="189" w:lineRule="exact"/>
              <w:rPr>
                <w:sz w:val="20"/>
                <w:szCs w:val="20"/>
                <w:color w:val="auto"/>
              </w:rPr>
            </w:pPr>
            <w:r>
              <w:rPr>
                <w:rFonts w:ascii="Arial" w:cs="Arial" w:eastAsia="Arial" w:hAnsi="Arial"/>
                <w:sz w:val="18"/>
                <w:szCs w:val="18"/>
                <w:color w:val="auto"/>
              </w:rPr>
              <w:t>39,443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Securities</w:t>
            </w: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208,003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tcPr>
          <w:p>
            <w:pPr>
              <w:ind w:left="80"/>
              <w:spacing w:after="0" w:line="189" w:lineRule="exact"/>
              <w:rPr>
                <w:sz w:val="20"/>
                <w:szCs w:val="20"/>
                <w:color w:val="auto"/>
              </w:rPr>
            </w:pPr>
            <w:r>
              <w:rPr>
                <w:rFonts w:ascii="Arial" w:cs="Arial" w:eastAsia="Arial" w:hAnsi="Arial"/>
                <w:sz w:val="18"/>
                <w:szCs w:val="18"/>
                <w:color w:val="auto"/>
              </w:rPr>
              <w:t>Loans held for sale</w:t>
            </w:r>
          </w:p>
        </w:tc>
        <w:tc>
          <w:tcPr>
            <w:tcW w:w="380" w:type="dxa"/>
            <w:vAlign w:val="bottom"/>
          </w:tcPr>
          <w:p>
            <w:pPr>
              <w:spacing w:after="0"/>
              <w:rPr>
                <w:sz w:val="16"/>
                <w:szCs w:val="16"/>
                <w:color w:val="auto"/>
              </w:rPr>
            </w:pPr>
          </w:p>
        </w:tc>
        <w:tc>
          <w:tcPr>
            <w:tcW w:w="1920" w:type="dxa"/>
            <w:vAlign w:val="bottom"/>
          </w:tcPr>
          <w:p>
            <w:pPr>
              <w:jc w:val="right"/>
              <w:spacing w:after="0" w:line="189" w:lineRule="exact"/>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Portfolio loans</w:t>
            </w: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356,651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tcPr>
          <w:p>
            <w:pPr>
              <w:ind w:left="80"/>
              <w:spacing w:after="0" w:line="189" w:lineRule="exact"/>
              <w:rPr>
                <w:sz w:val="20"/>
                <w:szCs w:val="20"/>
                <w:color w:val="auto"/>
              </w:rPr>
            </w:pPr>
            <w:r>
              <w:rPr>
                <w:rFonts w:ascii="Arial" w:cs="Arial" w:eastAsia="Arial" w:hAnsi="Arial"/>
                <w:sz w:val="18"/>
                <w:szCs w:val="18"/>
                <w:color w:val="auto"/>
              </w:rPr>
              <w:t>Premises and equipment</w:t>
            </w:r>
          </w:p>
        </w:tc>
        <w:tc>
          <w:tcPr>
            <w:tcW w:w="380" w:type="dxa"/>
            <w:vAlign w:val="bottom"/>
          </w:tcPr>
          <w:p>
            <w:pPr>
              <w:spacing w:after="0"/>
              <w:rPr>
                <w:sz w:val="16"/>
                <w:szCs w:val="16"/>
                <w:color w:val="auto"/>
              </w:rPr>
            </w:pPr>
          </w:p>
        </w:tc>
        <w:tc>
          <w:tcPr>
            <w:tcW w:w="1920" w:type="dxa"/>
            <w:vAlign w:val="bottom"/>
          </w:tcPr>
          <w:p>
            <w:pPr>
              <w:jc w:val="right"/>
              <w:spacing w:after="0" w:line="189" w:lineRule="exact"/>
              <w:rPr>
                <w:sz w:val="20"/>
                <w:szCs w:val="20"/>
                <w:color w:val="auto"/>
              </w:rPr>
            </w:pPr>
            <w:r>
              <w:rPr>
                <w:rFonts w:ascii="Arial" w:cs="Arial" w:eastAsia="Arial" w:hAnsi="Arial"/>
                <w:sz w:val="18"/>
                <w:szCs w:val="18"/>
                <w:color w:val="auto"/>
              </w:rPr>
              <w:t>16,551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Other intangible assets</w:t>
            </w: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11,531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29,564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2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auto"/>
              </w:rPr>
              <w:t>Total assets acquired</w:t>
            </w:r>
          </w:p>
        </w:tc>
        <w:tc>
          <w:tcPr>
            <w:tcW w:w="38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666,774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Liabilities assumed:</w:t>
            </w: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tcPr>
          <w:p>
            <w:pPr>
              <w:ind w:left="80"/>
              <w:spacing w:after="0" w:line="189" w:lineRule="exact"/>
              <w:rPr>
                <w:sz w:val="20"/>
                <w:szCs w:val="20"/>
                <w:color w:val="auto"/>
              </w:rPr>
            </w:pPr>
            <w:r>
              <w:rPr>
                <w:rFonts w:ascii="Arial" w:cs="Arial" w:eastAsia="Arial" w:hAnsi="Arial"/>
                <w:sz w:val="18"/>
                <w:szCs w:val="18"/>
                <w:color w:val="auto"/>
              </w:rPr>
              <w:t>Deposits</w:t>
            </w:r>
          </w:p>
        </w:tc>
        <w:tc>
          <w:tcPr>
            <w:tcW w:w="380" w:type="dxa"/>
            <w:vAlign w:val="bottom"/>
          </w:tcPr>
          <w:p>
            <w:pPr>
              <w:spacing w:after="0"/>
              <w:rPr>
                <w:sz w:val="16"/>
                <w:szCs w:val="16"/>
                <w:color w:val="auto"/>
              </w:rPr>
            </w:pPr>
          </w:p>
        </w:tc>
        <w:tc>
          <w:tcPr>
            <w:tcW w:w="1920" w:type="dxa"/>
            <w:vAlign w:val="bottom"/>
          </w:tcPr>
          <w:p>
            <w:pPr>
              <w:jc w:val="right"/>
              <w:spacing w:after="0" w:line="189" w:lineRule="exact"/>
              <w:rPr>
                <w:sz w:val="20"/>
                <w:szCs w:val="20"/>
                <w:color w:val="auto"/>
              </w:rPr>
            </w:pPr>
            <w:r>
              <w:rPr>
                <w:rFonts w:ascii="Arial" w:cs="Arial" w:eastAsia="Arial" w:hAnsi="Arial"/>
                <w:sz w:val="18"/>
                <w:szCs w:val="18"/>
                <w:color w:val="auto"/>
              </w:rPr>
              <w:t>505,917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Other borrowings</w:t>
            </w: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61,040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2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auto"/>
              </w:rPr>
              <w:t>Total liabilities assumed</w:t>
            </w:r>
          </w:p>
        </w:tc>
        <w:tc>
          <w:tcPr>
            <w:tcW w:w="38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577,454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2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Net assets acquired</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89,320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Consideration paid:</w:t>
            </w: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tcPr>
          <w:p>
            <w:pPr>
              <w:ind w:left="80"/>
              <w:spacing w:after="0" w:line="189" w:lineRule="exact"/>
              <w:rPr>
                <w:sz w:val="20"/>
                <w:szCs w:val="20"/>
                <w:color w:val="auto"/>
              </w:rPr>
            </w:pPr>
            <w:r>
              <w:rPr>
                <w:rFonts w:ascii="Arial" w:cs="Arial" w:eastAsia="Arial" w:hAnsi="Arial"/>
                <w:sz w:val="18"/>
                <w:szCs w:val="18"/>
                <w:color w:val="auto"/>
              </w:rPr>
              <w:t>Cash</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spacing w:after="0" w:line="189" w:lineRule="exact"/>
              <w:rPr>
                <w:sz w:val="20"/>
                <w:szCs w:val="20"/>
                <w:color w:val="auto"/>
              </w:rPr>
            </w:pPr>
            <w:r>
              <w:rPr>
                <w:rFonts w:ascii="Arial" w:cs="Arial" w:eastAsia="Arial" w:hAnsi="Arial"/>
                <w:sz w:val="18"/>
                <w:szCs w:val="18"/>
                <w:color w:val="auto"/>
              </w:rPr>
              <w:t>40,507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Common stock</w:t>
            </w:r>
          </w:p>
        </w:tc>
        <w:tc>
          <w:tcPr>
            <w:tcW w:w="380" w:type="dxa"/>
            <w:vAlign w:val="bottom"/>
            <w:tcBorders>
              <w:bottom w:val="single" w:sz="8" w:color="auto"/>
            </w:tcBorders>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97,702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20" w:type="dxa"/>
            <w:vAlign w:val="bottom"/>
            <w:tcBorders>
              <w:bottom w:val="single" w:sz="8" w:color="CCEEFF"/>
            </w:tcBorders>
          </w:tcPr>
          <w:p>
            <w:pPr>
              <w:ind w:left="200"/>
              <w:spacing w:after="0" w:line="182" w:lineRule="exact"/>
              <w:rPr>
                <w:sz w:val="20"/>
                <w:szCs w:val="20"/>
                <w:color w:val="auto"/>
              </w:rPr>
            </w:pPr>
            <w:r>
              <w:rPr>
                <w:rFonts w:ascii="Arial" w:cs="Arial" w:eastAsia="Arial" w:hAnsi="Arial"/>
                <w:sz w:val="18"/>
                <w:szCs w:val="18"/>
                <w:color w:val="auto"/>
              </w:rPr>
              <w:t>Total consideration paid</w:t>
            </w: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138,209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2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48,889</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The loans acquired in this transaction were recorded at fair value with no carryover of any existing allowance for loan losses. Loans that were not deemed to be credit-impaired at the acquisition date were accounted for under FASB ASC 310-20, Receivables-Nonrefundable Fees and Other Costs, and were subsequently considered as part of the Company’s determination of the adequacy of the allowance for loan losses. PCI loans were accounted for under ASC 310-30, Receivables – Loans and Debt Securities Acquired with Deteriorated Credit Quality. As of the acquisition date, the aggregate principal outstanding was $362.4 million and aggregate fair value of the acquired performing loans was $357.0 million, including loans held for sale. The difference between the aggregate principal balance outstanding and aggregate fair value of $5.4 million is expected to be accreted over the estimated four year remaining life of the respective loans in a manner that approximates the level yield method. As of the acquisition date, the aggregate principal balance outstanding of PCI loans totaled $7.6 million and the aggregate fair value of PCI loans totaled $4.7 million, which became such loans’ new carrying value. At September 30, 2018, PCI loans related to this transaction with a carrying value of $0.1 million were outstanding, with the decrease primarily relating to loan sales. For PCI loans,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The accretable yield, as of the acquisition date, of $0.1 million on PCI loans was expected to be recognized over the estimated four year remaining life of the respective loans in a manner that approximates the level yield method; however, this was accelerated in 2018 due to loan sales of PCI loans.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The Company had $4.5 million of banking center real estate in the Peoria market at September 30, 2018 that was no longer in use and was classified as bank properties held for sale, which was recorded at the lower of amortized cost or estimated fair value less estimated cost to sell. The Company recognized an impairment charge of $0.8 million in the second quarter of 2018 related to these properties, resulting in a net amount of bank properties held for sale of $3.7 million at September 30, 2018 which is included in premises and equipment, net.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Banc Ed Corp.</w:t>
      </w:r>
    </w:p>
    <w:p>
      <w:pPr>
        <w:spacing w:after="0" w:line="144"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On August 21, 2018, the Company entered into an Agreement and Plan of Merger (the “Merger Agreement”) with The Banc Ed Corp., a Delaware corporation (“Banc Ed”), pursuant to which Banc Ed will merge into First Busey, with First Busey as the surviving corporation (the “Merger”). It is anticipated that TheBANK of Edwardsville, Banc Ed’s wholly-owned bank subsidiary (“TheBANK”), will be merged with and into First Busey’s bank subsidiary, Busey Bank, at a date following the completion of the holding company merger. At the time of the bank merger, TheBANK’s banking offices will become branches of Busey Bank. The Merger is anticipated to be completed in the fourth quarter of 2018 or early in the first quarter of 2019, and is subject to the satisfaction of customary closing conditions in the Merger Agreement and the approval of the appropriate regulatory authorities and of the stockholders of Banc Ed. As of September 30, 2018, Banc Ed had total consolidated assets of $1.8 billion, total loans of $914.5 million and total deposits of $1.6 billion.</w:t>
      </w:r>
    </w:p>
    <w:p>
      <w:pPr>
        <w:spacing w:after="0" w:line="127"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TheBANK was founded in 1868 and is a privately held commercial bank headquartered in Edwardsville, Illinois. The partnership will enhance First Busey’s existing deposit, commercial banking and wealth management presence in the greater St. Louis Missouri-Illinois Metropolitan Statistical Area. Under the terms of the Merger Agreement, Banc Ed stockholders will have the right to receive 8.2067 shares of common stock of First Busey and $111.53 in cash for each share of common stock of Banc Ed, with total consideration to consist of approximately 70% stock and 30% cash. Please reference the Company’s Form 8-K, filed on August 22, 2018 for additional information regarding our pending acquisition of Banc Ed.</w:t>
      </w:r>
    </w:p>
    <w:p>
      <w:pPr>
        <w:spacing w:after="0" w:line="12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This transaction will be accounted for using the acquisition method of accounting and, accordingly, assets acquired, liabilities assumed, and consideration exchanged will be recorded at estimated fair values on the date of acquisition. Fair values are subject to refinement for up to one year after the closing date.</w:t>
      </w:r>
    </w:p>
    <w:p>
      <w:pPr>
        <w:spacing w:after="0" w:line="123"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First Busey incurred $0.2 million in pre-tax expenses related to the planned acquisition of Banc Ed for the three and nine months ended September 30, 2018, primarily for legal fees, all of which are reported as a component of non-interest expense in the accompanying unaudited Consolidated Financial Statements. The operating results of Banc Ed and TheBANK are not included in the accompanying unaudited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Securities</w:t>
      </w:r>
    </w:p>
    <w:p>
      <w:pPr>
        <w:spacing w:after="0" w:line="148"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34"/>
        </w:trPr>
        <w:tc>
          <w:tcPr>
            <w:tcW w:w="5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1"/>
                <w:szCs w:val="11"/>
                <w:color w:val="auto"/>
              </w:rPr>
            </w:pPr>
          </w:p>
        </w:tc>
        <w:tc>
          <w:tcPr>
            <w:tcW w:w="680" w:type="dxa"/>
            <w:vAlign w:val="bottom"/>
            <w:gridSpan w:val="3"/>
          </w:tcPr>
          <w:p>
            <w:pPr>
              <w:jc w:val="right"/>
              <w:ind w:right="240"/>
              <w:spacing w:after="0" w:line="134"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ind w:left="20"/>
              <w:spacing w:after="0" w:line="134"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1"/>
                <w:szCs w:val="11"/>
                <w:color w:val="auto"/>
              </w:rPr>
            </w:pPr>
          </w:p>
        </w:tc>
        <w:tc>
          <w:tcPr>
            <w:tcW w:w="66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92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66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53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Available for sale</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U.S. Treasury securities</w:t>
            </w:r>
          </w:p>
        </w:tc>
        <w:tc>
          <w:tcPr>
            <w:tcW w:w="28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w w:val="90"/>
              </w:rPr>
              <w:t>61,066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w w:val="94"/>
              </w:rPr>
              <w:t>(1,212)</w:t>
            </w:r>
          </w:p>
        </w:tc>
        <w:tc>
          <w:tcPr>
            <w:tcW w:w="16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59,854</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Obligations of U.S. government corporations and agencies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91,767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w w:val="94"/>
              </w:rPr>
              <w:t>(2,106)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89,666</w:t>
            </w: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980" w:type="dxa"/>
            <w:vAlign w:val="bottom"/>
            <w:gridSpan w:val="5"/>
          </w:tcPr>
          <w:p>
            <w:pPr>
              <w:jc w:val="right"/>
              <w:spacing w:after="0" w:line="189" w:lineRule="exact"/>
              <w:rPr>
                <w:sz w:val="20"/>
                <w:szCs w:val="20"/>
                <w:color w:val="auto"/>
              </w:rPr>
            </w:pPr>
            <w:r>
              <w:rPr>
                <w:rFonts w:ascii="Arial" w:cs="Arial" w:eastAsia="Arial" w:hAnsi="Arial"/>
                <w:sz w:val="18"/>
                <w:szCs w:val="18"/>
                <w:color w:val="auto"/>
              </w:rPr>
              <w:t>245,459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line="189" w:lineRule="exact"/>
              <w:rPr>
                <w:sz w:val="20"/>
                <w:szCs w:val="20"/>
                <w:color w:val="auto"/>
              </w:rPr>
            </w:pPr>
            <w:r>
              <w:rPr>
                <w:rFonts w:ascii="Arial" w:cs="Arial" w:eastAsia="Arial" w:hAnsi="Arial"/>
                <w:sz w:val="18"/>
                <w:szCs w:val="18"/>
                <w:color w:val="auto"/>
              </w:rPr>
              <w:t>315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w w:val="94"/>
              </w:rPr>
              <w:t>(3,849)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w w:val="92"/>
              </w:rPr>
              <w:t>241,925</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Residential mortgage-backed securities</w:t>
            </w:r>
          </w:p>
        </w:tc>
        <w:tc>
          <w:tcPr>
            <w:tcW w:w="98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8"/>
                <w:szCs w:val="18"/>
                <w:color w:val="auto"/>
              </w:rPr>
              <w:t>342,421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6"/>
                <w:szCs w:val="16"/>
                <w:color w:val="auto"/>
              </w:rPr>
            </w:pPr>
          </w:p>
        </w:tc>
        <w:tc>
          <w:tcPr>
            <w:tcW w:w="86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(11,046)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331,582</w:t>
            </w: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Corporate debt securities</w:t>
            </w:r>
          </w:p>
        </w:tc>
        <w:tc>
          <w:tcPr>
            <w:tcW w:w="980" w:type="dxa"/>
            <w:vAlign w:val="bottom"/>
            <w:gridSpan w:val="5"/>
          </w:tcPr>
          <w:p>
            <w:pPr>
              <w:jc w:val="right"/>
              <w:spacing w:after="0" w:line="189" w:lineRule="exact"/>
              <w:rPr>
                <w:sz w:val="20"/>
                <w:szCs w:val="20"/>
                <w:color w:val="auto"/>
              </w:rPr>
            </w:pPr>
            <w:r>
              <w:rPr>
                <w:rFonts w:ascii="Arial" w:cs="Arial" w:eastAsia="Arial" w:hAnsi="Arial"/>
                <w:sz w:val="18"/>
                <w:szCs w:val="18"/>
                <w:color w:val="auto"/>
              </w:rPr>
              <w:t>140,884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line="189" w:lineRule="exact"/>
              <w:rPr>
                <w:sz w:val="20"/>
                <w:szCs w:val="20"/>
                <w:color w:val="auto"/>
              </w:rPr>
            </w:pPr>
            <w:r>
              <w:rPr>
                <w:rFonts w:ascii="Arial" w:cs="Arial" w:eastAsia="Arial" w:hAnsi="Arial"/>
                <w:sz w:val="18"/>
                <w:szCs w:val="18"/>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(549)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w w:val="92"/>
              </w:rPr>
              <w:t>140,354</w:t>
            </w:r>
          </w:p>
        </w:tc>
        <w:tc>
          <w:tcPr>
            <w:tcW w:w="0" w:type="dxa"/>
            <w:vAlign w:val="bottom"/>
          </w:tcPr>
          <w:p>
            <w:pPr>
              <w:spacing w:after="0"/>
              <w:rPr>
                <w:sz w:val="1"/>
                <w:szCs w:val="1"/>
                <w:color w:val="auto"/>
              </w:rPr>
            </w:pPr>
          </w:p>
        </w:tc>
      </w:tr>
      <w:tr>
        <w:trPr>
          <w:trHeight w:val="190"/>
        </w:trPr>
        <w:tc>
          <w:tcPr>
            <w:tcW w:w="53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$ 881,597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 (18,762)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863,381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Held to maturity</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28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w w:val="90"/>
              </w:rPr>
              <w:t>36,689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89"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6"/>
                <w:szCs w:val="16"/>
                <w:color w:val="auto"/>
              </w:rPr>
            </w:pPr>
          </w:p>
        </w:tc>
        <w:tc>
          <w:tcPr>
            <w:tcW w:w="28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(301)</w:t>
            </w:r>
          </w:p>
        </w:tc>
        <w:tc>
          <w:tcPr>
            <w:tcW w:w="16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36,401</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Commercial mortgage-backed securities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60,172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w w:val="94"/>
              </w:rPr>
              <w:t>(1,705)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58,467</w:t>
            </w: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Residential mortgage-backed securities</w:t>
            </w:r>
          </w:p>
        </w:tc>
        <w:tc>
          <w:tcPr>
            <w:tcW w:w="980" w:type="dxa"/>
            <w:vAlign w:val="bottom"/>
            <w:gridSpan w:val="5"/>
          </w:tcPr>
          <w:p>
            <w:pPr>
              <w:jc w:val="right"/>
              <w:spacing w:after="0" w:line="189" w:lineRule="exact"/>
              <w:rPr>
                <w:sz w:val="20"/>
                <w:szCs w:val="20"/>
                <w:color w:val="auto"/>
              </w:rPr>
            </w:pPr>
            <w:r>
              <w:rPr>
                <w:rFonts w:ascii="Arial" w:cs="Arial" w:eastAsia="Arial" w:hAnsi="Arial"/>
                <w:sz w:val="18"/>
                <w:szCs w:val="18"/>
                <w:color w:val="auto"/>
              </w:rPr>
              <w:t>529,389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auto"/>
              </w:rPr>
              <w:t>(12,955)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w w:val="92"/>
              </w:rPr>
              <w:t>516,434</w:t>
            </w:r>
          </w:p>
        </w:tc>
        <w:tc>
          <w:tcPr>
            <w:tcW w:w="0" w:type="dxa"/>
            <w:vAlign w:val="bottom"/>
          </w:tcPr>
          <w:p>
            <w:pPr>
              <w:spacing w:after="0"/>
              <w:rPr>
                <w:sz w:val="1"/>
                <w:szCs w:val="1"/>
                <w:color w:val="auto"/>
              </w:rPr>
            </w:pPr>
          </w:p>
        </w:tc>
      </w:tr>
      <w:tr>
        <w:trPr>
          <w:trHeight w:val="190"/>
        </w:trPr>
        <w:tc>
          <w:tcPr>
            <w:tcW w:w="53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$ 626,250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 (14,961)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611,302</w:t>
            </w:r>
          </w:p>
        </w:tc>
        <w:tc>
          <w:tcPr>
            <w:tcW w:w="0" w:type="dxa"/>
            <w:vAlign w:val="bottom"/>
          </w:tcPr>
          <w:p>
            <w:pPr>
              <w:spacing w:after="0"/>
              <w:rPr>
                <w:sz w:val="1"/>
                <w:szCs w:val="1"/>
                <w:color w:val="auto"/>
              </w:rPr>
            </w:pPr>
          </w:p>
        </w:tc>
      </w:tr>
      <w:tr>
        <w:trPr>
          <w:trHeight w:val="490"/>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24"/>
                <w:szCs w:val="24"/>
                <w:color w:val="auto"/>
              </w:rPr>
            </w:pPr>
          </w:p>
        </w:tc>
        <w:tc>
          <w:tcPr>
            <w:tcW w:w="66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66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53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Available for sale</w:t>
            </w: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U.S. Treasury securities</w:t>
            </w:r>
          </w:p>
        </w:tc>
        <w:tc>
          <w:tcPr>
            <w:tcW w:w="40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60,829</w:t>
            </w:r>
          </w:p>
        </w:tc>
        <w:tc>
          <w:tcPr>
            <w:tcW w:w="80" w:type="dxa"/>
            <w:vAlign w:val="bottom"/>
          </w:tcPr>
          <w:p>
            <w:pPr>
              <w:spacing w:after="0"/>
              <w:rPr>
                <w:sz w:val="16"/>
                <w:szCs w:val="16"/>
                <w:color w:val="auto"/>
              </w:rPr>
            </w:pPr>
          </w:p>
        </w:tc>
        <w:tc>
          <w:tcPr>
            <w:tcW w:w="22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7</w:t>
            </w:r>
          </w:p>
        </w:tc>
        <w:tc>
          <w:tcPr>
            <w:tcW w:w="28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(488)</w:t>
            </w: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60,348</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Obligations of U.S. government corporations and agencies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2"/>
              </w:rPr>
              <w:t>104,807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w w:val="98"/>
              </w:rPr>
              <w:t>(1,143)</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103,665</w:t>
            </w: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2"/>
              </w:rPr>
              <w:t>280,216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1,160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w w:val="98"/>
              </w:rPr>
              <w:t>(1,177)</w:t>
            </w:r>
          </w:p>
        </w:tc>
        <w:tc>
          <w:tcPr>
            <w:tcW w:w="1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w w:val="92"/>
              </w:rPr>
              <w:t>280,199</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Residential mortgage-backed securities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2"/>
              </w:rPr>
              <w:t>400,661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w w:val="98"/>
              </w:rPr>
              <w:t>(3,837)</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397,436</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Corporate debt securities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30,946</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31,034</w:t>
            </w:r>
          </w:p>
        </w:tc>
        <w:tc>
          <w:tcPr>
            <w:tcW w:w="0" w:type="dxa"/>
            <w:vAlign w:val="bottom"/>
          </w:tcPr>
          <w:p>
            <w:pPr>
              <w:spacing w:after="0"/>
              <w:rPr>
                <w:sz w:val="1"/>
                <w:szCs w:val="1"/>
                <w:color w:val="auto"/>
              </w:rPr>
            </w:pPr>
          </w:p>
        </w:tc>
      </w:tr>
      <w:tr>
        <w:trPr>
          <w:trHeight w:val="190"/>
        </w:trPr>
        <w:tc>
          <w:tcPr>
            <w:tcW w:w="53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spacing w:after="0"/>
              <w:rPr>
                <w:sz w:val="16"/>
                <w:szCs w:val="16"/>
                <w:color w:val="auto"/>
              </w:rPr>
            </w:pPr>
          </w:p>
        </w:tc>
        <w:tc>
          <w:tcPr>
            <w:tcW w:w="800" w:type="dxa"/>
            <w:vAlign w:val="bottom"/>
            <w:tcBorders>
              <w:bottom w:val="single" w:sz="8" w:color="auto"/>
            </w:tcBorders>
            <w:gridSpan w:val="3"/>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w w:val="89"/>
              </w:rPr>
              <w:t>$ 877,459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1,912</w:t>
            </w:r>
          </w:p>
        </w:tc>
        <w:tc>
          <w:tcPr>
            <w:tcW w:w="180" w:type="dxa"/>
            <w:vAlign w:val="bottom"/>
            <w:tcBorders>
              <w:bottom w:val="single" w:sz="8" w:color="CCEEFF"/>
            </w:tcBorders>
            <w:gridSpan w:val="2"/>
            <w:shd w:val="clear" w:color="auto" w:fill="CCEEFF"/>
          </w:tcPr>
          <w:p>
            <w:pPr>
              <w:spacing w:after="0"/>
              <w:rPr>
                <w:sz w:val="16"/>
                <w:szCs w:val="16"/>
                <w:color w:val="auto"/>
              </w:rPr>
            </w:pPr>
          </w:p>
        </w:tc>
        <w:tc>
          <w:tcPr>
            <w:tcW w:w="680" w:type="dxa"/>
            <w:vAlign w:val="bottom"/>
            <w:tcBorders>
              <w:bottom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w w:val="91"/>
              </w:rPr>
              <w:t>$ (6,689)</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872,682</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Held to maturity</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40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41,300</w:t>
            </w:r>
          </w:p>
        </w:tc>
        <w:tc>
          <w:tcPr>
            <w:tcW w:w="80" w:type="dxa"/>
            <w:vAlign w:val="bottom"/>
          </w:tcPr>
          <w:p>
            <w:pPr>
              <w:spacing w:after="0"/>
              <w:rPr>
                <w:sz w:val="16"/>
                <w:szCs w:val="16"/>
                <w:color w:val="auto"/>
              </w:rPr>
            </w:pPr>
          </w:p>
        </w:tc>
        <w:tc>
          <w:tcPr>
            <w:tcW w:w="22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228</w:t>
            </w:r>
          </w:p>
        </w:tc>
        <w:tc>
          <w:tcPr>
            <w:tcW w:w="28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(64)</w:t>
            </w:r>
          </w:p>
        </w:tc>
        <w:tc>
          <w:tcPr>
            <w:tcW w:w="16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41,464</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Commercial mortgage-backed securities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60,474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60,218</w:t>
            </w: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Residential mortgage-backed securities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2"/>
              </w:rPr>
              <w:t>341,776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w w:val="98"/>
              </w:rPr>
              <w:t>(2,431)</w:t>
            </w:r>
          </w:p>
        </w:tc>
        <w:tc>
          <w:tcPr>
            <w:tcW w:w="1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w w:val="92"/>
              </w:rPr>
              <w:t>339,370</w:t>
            </w:r>
          </w:p>
        </w:tc>
        <w:tc>
          <w:tcPr>
            <w:tcW w:w="0" w:type="dxa"/>
            <w:vAlign w:val="bottom"/>
          </w:tcPr>
          <w:p>
            <w:pPr>
              <w:spacing w:after="0"/>
              <w:rPr>
                <w:sz w:val="1"/>
                <w:szCs w:val="1"/>
                <w:color w:val="auto"/>
              </w:rPr>
            </w:pPr>
          </w:p>
        </w:tc>
      </w:tr>
      <w:tr>
        <w:trPr>
          <w:trHeight w:val="190"/>
        </w:trPr>
        <w:tc>
          <w:tcPr>
            <w:tcW w:w="53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0" w:type="dxa"/>
            <w:vAlign w:val="bottom"/>
            <w:tcBorders>
              <w:top w:val="single" w:sz="8" w:color="auto"/>
              <w:bottom w:val="single" w:sz="8" w:color="auto"/>
            </w:tcBorders>
            <w:gridSpan w:val="3"/>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w w:val="89"/>
              </w:rPr>
              <w:t>$ 443,550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294</w:t>
            </w:r>
          </w:p>
        </w:tc>
        <w:tc>
          <w:tcPr>
            <w:tcW w:w="1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w w:val="91"/>
              </w:rPr>
              <w:t>$ (2,792)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441,052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Securities classified as available for sale are those debt securities that the Company intends to hold for an indefinite period of time, but not necessarily to maturity. Any decision to sell a security classified as available for sale would be based on factors including significant movements in interest rates, changes in the maturity mix of the Company’s assets and liabilities, liquidity needs, regulatory capital considerations or other similar factors. They are carried at fair value with unrealized gains and losses, net of taxes, reported in other comprehensive income. Securities classified as held to maturity are those debt securities that the Company intends to hold to maturity. Accordingly, they are carried at cost, adjusted for amortization of premiums and accretion of discounts.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9"/>
        <w:spacing w:after="0" w:line="212" w:lineRule="auto"/>
        <w:rPr>
          <w:sz w:val="20"/>
          <w:szCs w:val="20"/>
          <w:color w:val="auto"/>
        </w:rPr>
      </w:pPr>
      <w:r>
        <w:rPr>
          <w:rFonts w:ascii="Arial" w:cs="Arial" w:eastAsia="Arial" w:hAnsi="Arial"/>
          <w:sz w:val="18"/>
          <w:szCs w:val="18"/>
          <w:color w:val="auto"/>
        </w:rPr>
        <w:t>The Company held equity securities, consisting of money market mutual funds, with fair values of $7.3 million at September 30, 2018. The Company held equity securities, consisting of common stock and money market mutual funds, with fair values of $0.8 million and $4.6 million, respectively, at December 31, 2017. The Company recorded $0.1 million of unrealized losses in non-interest income in the accompanying unaudited Consolidated Financial Statements during the nine months ended September 30, 2018, related to the change in fair value of the common stock. The common stock was sold in the second quarter of 2018 and realized security gains recorded during the nine months ended September 30, 2018 were $0.2 million.</w:t>
      </w:r>
    </w:p>
    <w:p>
      <w:pPr>
        <w:spacing w:after="0" w:line="125" w:lineRule="exact"/>
        <w:rPr>
          <w:sz w:val="20"/>
          <w:szCs w:val="20"/>
          <w:color w:val="auto"/>
        </w:rPr>
      </w:pPr>
    </w:p>
    <w:p>
      <w:pPr>
        <w:jc w:val="both"/>
        <w:ind w:right="139"/>
        <w:spacing w:after="0" w:line="213" w:lineRule="auto"/>
        <w:rPr>
          <w:sz w:val="20"/>
          <w:szCs w:val="20"/>
          <w:color w:val="auto"/>
        </w:rPr>
      </w:pPr>
      <w:r>
        <w:rPr>
          <w:rFonts w:ascii="Arial" w:cs="Arial" w:eastAsia="Arial" w:hAnsi="Arial"/>
          <w:sz w:val="18"/>
          <w:szCs w:val="18"/>
          <w:color w:val="auto"/>
        </w:rPr>
        <w:t xml:space="preserve">The amortized cost and fair value of debt securities as of September 30, 2018, by contractual maturity or pre-refunded date, are shown below. Mortgages underlying mortgage-backed securities may be called or prepaid; therefore, actual maturities could differ from the contractual maturities. All mortgage-backed securities were issued by U.S. government agencies and corporations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740" w:type="dxa"/>
        <w:tblCellMar>
          <w:top w:w="0" w:type="dxa"/>
          <w:left w:w="0" w:type="dxa"/>
          <w:bottom w:w="0" w:type="dxa"/>
          <w:right w:w="0" w:type="dxa"/>
        </w:tblCellMar>
      </w:tblPr>
      <w:tr>
        <w:trPr>
          <w:trHeight w:val="157"/>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5"/>
          </w:tcPr>
          <w:p>
            <w:pPr>
              <w:ind w:left="440"/>
              <w:spacing w:after="0" w:line="157" w:lineRule="exact"/>
              <w:rPr>
                <w:sz w:val="20"/>
                <w:szCs w:val="20"/>
                <w:color w:val="auto"/>
              </w:rPr>
            </w:pPr>
            <w:r>
              <w:rPr>
                <w:rFonts w:ascii="Arial" w:cs="Arial" w:eastAsia="Arial" w:hAnsi="Arial"/>
                <w:sz w:val="14"/>
                <w:szCs w:val="14"/>
                <w:b w:val="1"/>
                <w:bCs w:val="1"/>
                <w:color w:val="auto"/>
              </w:rPr>
              <w:t>Available for sale</w:t>
            </w:r>
          </w:p>
        </w:tc>
        <w:tc>
          <w:tcPr>
            <w:tcW w:w="120" w:type="dxa"/>
            <w:vAlign w:val="bottom"/>
          </w:tcPr>
          <w:p>
            <w:pPr>
              <w:spacing w:after="0"/>
              <w:rPr>
                <w:sz w:val="13"/>
                <w:szCs w:val="13"/>
                <w:color w:val="auto"/>
              </w:rPr>
            </w:pPr>
          </w:p>
        </w:tc>
        <w:tc>
          <w:tcPr>
            <w:tcW w:w="1980" w:type="dxa"/>
            <w:vAlign w:val="bottom"/>
            <w:gridSpan w:val="4"/>
          </w:tcPr>
          <w:p>
            <w:pPr>
              <w:jc w:val="right"/>
              <w:ind w:right="456"/>
              <w:spacing w:after="0" w:line="157" w:lineRule="exact"/>
              <w:rPr>
                <w:sz w:val="20"/>
                <w:szCs w:val="20"/>
                <w:color w:val="auto"/>
              </w:rPr>
            </w:pPr>
            <w:r>
              <w:rPr>
                <w:rFonts w:ascii="Arial" w:cs="Arial" w:eastAsia="Arial" w:hAnsi="Arial"/>
                <w:sz w:val="14"/>
                <w:szCs w:val="14"/>
                <w:b w:val="1"/>
                <w:bCs w:val="1"/>
                <w:color w:val="auto"/>
              </w:rPr>
              <w:t>Held to maturity</w:t>
            </w:r>
          </w:p>
        </w:tc>
      </w:tr>
      <w:tr>
        <w:trPr>
          <w:trHeight w:val="119"/>
        </w:trPr>
        <w:tc>
          <w:tcPr>
            <w:tcW w:w="3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Amortized</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Amortized</w:t>
            </w: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56"/>
              <w:spacing w:after="0" w:line="119" w:lineRule="exact"/>
              <w:rPr>
                <w:sz w:val="20"/>
                <w:szCs w:val="20"/>
                <w:color w:val="auto"/>
              </w:rPr>
            </w:pPr>
            <w:r>
              <w:rPr>
                <w:rFonts w:ascii="Arial" w:cs="Arial" w:eastAsia="Arial" w:hAnsi="Arial"/>
                <w:sz w:val="13"/>
                <w:szCs w:val="13"/>
                <w:b w:val="1"/>
                <w:bCs w:val="1"/>
                <w:color w:val="auto"/>
              </w:rPr>
              <w:t>Fair</w:t>
            </w:r>
          </w:p>
        </w:tc>
      </w:tr>
      <w:tr>
        <w:trPr>
          <w:trHeight w:val="17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Value</w:t>
            </w:r>
          </w:p>
        </w:tc>
      </w:tr>
      <w:tr>
        <w:trPr>
          <w:trHeight w:val="183"/>
        </w:trPr>
        <w:tc>
          <w:tcPr>
            <w:tcW w:w="3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Due in one year or less</w:t>
            </w: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86,344</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86,041</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9,858</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9,837</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335,204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330,511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56,077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54,998</w:t>
            </w:r>
          </w:p>
        </w:tc>
      </w:tr>
      <w:tr>
        <w:trPr>
          <w:trHeight w:val="189"/>
        </w:trPr>
        <w:tc>
          <w:tcPr>
            <w:tcW w:w="3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Due after five years through ten years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152,272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149,199</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29,754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28,867</w:t>
            </w:r>
          </w:p>
        </w:tc>
      </w:tr>
      <w:tr>
        <w:trPr>
          <w:trHeight w:val="189"/>
        </w:trPr>
        <w:tc>
          <w:tcPr>
            <w:tcW w:w="30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Due after ten years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307,777</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297,630</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530,561</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517,600</w:t>
            </w:r>
          </w:p>
        </w:tc>
      </w:tr>
      <w:tr>
        <w:trPr>
          <w:trHeight w:val="190"/>
        </w:trPr>
        <w:tc>
          <w:tcPr>
            <w:tcW w:w="30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881,597</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863,381</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626,250</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611,302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Realized gains and losses related to sales of available for sale securities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tbl>
      <w:tblPr>
        <w:tblLayout w:type="fixed"/>
        <w:tblInd w:w="0" w:type="dxa"/>
        <w:tblCellMar>
          <w:top w:w="0" w:type="dxa"/>
          <w:left w:w="0" w:type="dxa"/>
          <w:bottom w:w="0" w:type="dxa"/>
          <w:right w:w="0" w:type="dxa"/>
        </w:tblCellMar>
      </w:tblPr>
      <w:tr>
        <w:trPr>
          <w:trHeight w:val="159"/>
        </w:trPr>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40" w:type="dxa"/>
            <w:vAlign w:val="bottom"/>
            <w:gridSpan w:val="4"/>
          </w:tcPr>
          <w:p>
            <w:pPr>
              <w:jc w:val="right"/>
              <w:spacing w:after="0" w:line="159" w:lineRule="exact"/>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5"/>
          </w:tcPr>
          <w:p>
            <w:pPr>
              <w:jc w:val="center"/>
              <w:ind w:right="340"/>
              <w:spacing w:after="0" w:line="159" w:lineRule="exact"/>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4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r>
      <w:tr>
        <w:trPr>
          <w:trHeight w:val="183"/>
        </w:trPr>
        <w:tc>
          <w:tcPr>
            <w:tcW w:w="900" w:type="dxa"/>
            <w:vAlign w:val="bottom"/>
          </w:tcPr>
          <w:p>
            <w:pPr>
              <w:spacing w:after="0"/>
              <w:rPr>
                <w:sz w:val="15"/>
                <w:szCs w:val="15"/>
                <w:color w:val="auto"/>
              </w:rPr>
            </w:pPr>
          </w:p>
        </w:tc>
        <w:tc>
          <w:tcPr>
            <w:tcW w:w="30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security gains</w:t>
            </w:r>
          </w:p>
        </w:tc>
        <w:tc>
          <w:tcPr>
            <w:tcW w:w="600" w:type="dxa"/>
            <w:vAlign w:val="bottom"/>
            <w:tcBorders>
              <w:top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40"/>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290</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1,259</w:t>
            </w:r>
          </w:p>
        </w:tc>
        <w:tc>
          <w:tcPr>
            <w:tcW w:w="140" w:type="dxa"/>
            <w:vAlign w:val="bottom"/>
            <w:tcBorders>
              <w:top w:val="single" w:sz="8" w:color="CCEEFF"/>
            </w:tcBorders>
            <w:shd w:val="clear" w:color="auto" w:fill="CCEEFF"/>
          </w:tcPr>
          <w:p>
            <w:pPr>
              <w:spacing w:after="0"/>
              <w:rPr>
                <w:sz w:val="15"/>
                <w:szCs w:val="15"/>
                <w:color w:val="auto"/>
              </w:rPr>
            </w:pPr>
          </w:p>
        </w:tc>
      </w:tr>
      <w:tr>
        <w:trPr>
          <w:trHeight w:val="189"/>
        </w:trPr>
        <w:tc>
          <w:tcPr>
            <w:tcW w:w="900" w:type="dxa"/>
            <w:vAlign w:val="bottom"/>
          </w:tcPr>
          <w:p>
            <w:pPr>
              <w:spacing w:after="0"/>
              <w:rPr>
                <w:sz w:val="16"/>
                <w:szCs w:val="16"/>
                <w:color w:val="auto"/>
              </w:rPr>
            </w:pPr>
          </w:p>
        </w:tc>
        <w:tc>
          <w:tcPr>
            <w:tcW w:w="3000" w:type="dxa"/>
            <w:vAlign w:val="bottom"/>
            <w:gridSpan w:val="2"/>
          </w:tcPr>
          <w:p>
            <w:pPr>
              <w:spacing w:after="0" w:line="189" w:lineRule="exact"/>
              <w:rPr>
                <w:sz w:val="20"/>
                <w:szCs w:val="20"/>
                <w:color w:val="auto"/>
              </w:rPr>
            </w:pPr>
            <w:r>
              <w:rPr>
                <w:rFonts w:ascii="Arial" w:cs="Arial" w:eastAsia="Arial" w:hAnsi="Arial"/>
                <w:sz w:val="18"/>
                <w:szCs w:val="18"/>
                <w:color w:val="auto"/>
              </w:rPr>
              <w:t>Gross security (losses)</w:t>
            </w:r>
          </w:p>
        </w:tc>
        <w:tc>
          <w:tcPr>
            <w:tcW w:w="600" w:type="dxa"/>
            <w:vAlign w:val="bottom"/>
          </w:tcPr>
          <w:p>
            <w:pPr>
              <w:spacing w:after="0"/>
              <w:rPr>
                <w:sz w:val="16"/>
                <w:szCs w:val="16"/>
                <w:color w:val="auto"/>
              </w:rPr>
            </w:pPr>
          </w:p>
        </w:tc>
        <w:tc>
          <w:tcPr>
            <w:tcW w:w="280" w:type="dxa"/>
            <w:vAlign w:val="bottom"/>
          </w:tcPr>
          <w:p>
            <w:pPr>
              <w:ind w:left="40"/>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440"/>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(116)</w:t>
            </w:r>
          </w:p>
        </w:tc>
      </w:tr>
      <w:tr>
        <w:trPr>
          <w:trHeight w:val="190"/>
        </w:trPr>
        <w:tc>
          <w:tcPr>
            <w:tcW w:w="900" w:type="dxa"/>
            <w:vAlign w:val="bottom"/>
          </w:tcPr>
          <w:p>
            <w:pPr>
              <w:spacing w:after="0"/>
              <w:rPr>
                <w:sz w:val="16"/>
                <w:szCs w:val="16"/>
                <w:color w:val="auto"/>
              </w:rPr>
            </w:pPr>
          </w:p>
        </w:tc>
        <w:tc>
          <w:tcPr>
            <w:tcW w:w="3000" w:type="dxa"/>
            <w:vAlign w:val="bottom"/>
            <w:tcBorders>
              <w:top w:val="single" w:sz="8" w:color="CCEEFF"/>
              <w:bottom w:val="single" w:sz="8" w:color="CCEEFF"/>
            </w:tcBorders>
            <w:gridSpan w:val="2"/>
            <w:shd w:val="clear" w:color="auto" w:fill="CCEEFF"/>
          </w:tcPr>
          <w:p>
            <w:pPr>
              <w:ind w:left="220"/>
              <w:spacing w:after="0" w:line="182" w:lineRule="exact"/>
              <w:rPr>
                <w:sz w:val="20"/>
                <w:szCs w:val="20"/>
                <w:color w:val="auto"/>
              </w:rPr>
            </w:pPr>
            <w:r>
              <w:rPr>
                <w:rFonts w:ascii="Arial" w:cs="Arial" w:eastAsia="Arial" w:hAnsi="Arial"/>
                <w:sz w:val="18"/>
                <w:szCs w:val="18"/>
                <w:color w:val="auto"/>
              </w:rPr>
              <w:t>Security gains, net(1)</w:t>
            </w:r>
          </w:p>
        </w:tc>
        <w:tc>
          <w:tcPr>
            <w:tcW w:w="600" w:type="dxa"/>
            <w:vAlign w:val="bottom"/>
            <w:tcBorders>
              <w:top w:val="single" w:sz="8" w:color="auto"/>
              <w:bottom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ind w:left="40"/>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290</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40"/>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1,143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80" w:lineRule="exact"/>
        <w:rPr>
          <w:sz w:val="20"/>
          <w:szCs w:val="20"/>
          <w:color w:val="auto"/>
        </w:rPr>
      </w:pPr>
    </w:p>
    <w:p>
      <w:pPr>
        <w:ind w:left="320" w:right="219" w:hanging="317"/>
        <w:spacing w:after="0" w:line="23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gains, net reported on the Consolidated Statements of Income in 2018 relate to the sale of equity securities as noted above.</w:t>
      </w:r>
    </w:p>
    <w:p>
      <w:pPr>
        <w:spacing w:after="0" w:line="121" w:lineRule="exact"/>
        <w:rPr>
          <w:sz w:val="20"/>
          <w:szCs w:val="20"/>
          <w:color w:val="auto"/>
        </w:rPr>
      </w:pPr>
    </w:p>
    <w:p>
      <w:pPr>
        <w:ind w:right="79"/>
        <w:spacing w:after="0" w:line="289" w:lineRule="auto"/>
        <w:rPr>
          <w:sz w:val="20"/>
          <w:szCs w:val="20"/>
          <w:color w:val="auto"/>
        </w:rPr>
      </w:pPr>
      <w:r>
        <w:rPr>
          <w:rFonts w:ascii="Arial" w:cs="Arial" w:eastAsia="Arial" w:hAnsi="Arial"/>
          <w:sz w:val="16"/>
          <w:szCs w:val="16"/>
          <w:color w:val="auto"/>
        </w:rPr>
        <w:t>The tax provision for the net realized gains and losses was $0.1 million for the three months ended September 30, 2017. The tax provision for the net realized gains and losses was $0.4 million for the nine months ended September 30, 2017.</w:t>
      </w:r>
    </w:p>
    <w:p>
      <w:pPr>
        <w:spacing w:after="0" w:line="84" w:lineRule="exact"/>
        <w:rPr>
          <w:sz w:val="20"/>
          <w:szCs w:val="20"/>
          <w:color w:val="auto"/>
        </w:rPr>
      </w:pPr>
    </w:p>
    <w:p>
      <w:pPr>
        <w:ind w:right="59"/>
        <w:spacing w:after="0" w:line="224" w:lineRule="auto"/>
        <w:rPr>
          <w:sz w:val="20"/>
          <w:szCs w:val="20"/>
          <w:color w:val="auto"/>
        </w:rPr>
      </w:pPr>
      <w:r>
        <w:rPr>
          <w:rFonts w:ascii="Arial" w:cs="Arial" w:eastAsia="Arial" w:hAnsi="Arial"/>
          <w:sz w:val="18"/>
          <w:szCs w:val="18"/>
          <w:color w:val="auto"/>
        </w:rPr>
        <w:t>Investment securities with carrying amounts of $598.7 million and $638.2 million on September 30, 2018 and December 31, 2017, respectively, were pledged as collateral for public deposits, securities sold under agreements to repurchase and for other purposes as required or permitted by law.</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100"/>
        <w:spacing w:after="0" w:line="216" w:lineRule="auto"/>
        <w:rPr>
          <w:sz w:val="20"/>
          <w:szCs w:val="20"/>
          <w:color w:val="auto"/>
        </w:rPr>
      </w:pPr>
      <w:r>
        <w:rPr>
          <w:rFonts w:ascii="Arial" w:cs="Arial" w:eastAsia="Arial" w:hAnsi="Arial"/>
          <w:sz w:val="18"/>
          <w:szCs w:val="18"/>
          <w:color w:val="auto"/>
        </w:rPr>
        <w:t xml:space="preserve">Information pertaining to securities with gross unrealized losses at September 30, 2018 and December 31, 2017, aggregated by investment category and length of time that individual securities have been in a continuous loss position,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p>
    <w:tbl>
      <w:tblPr>
        <w:tblLayout w:type="fixed"/>
        <w:tblInd w:w="0" w:type="dxa"/>
        <w:tblCellMar>
          <w:top w:w="0" w:type="dxa"/>
          <w:left w:w="0" w:type="dxa"/>
          <w:bottom w:w="0" w:type="dxa"/>
          <w:right w:w="0" w:type="dxa"/>
        </w:tblCellMar>
      </w:tblPr>
      <w:tr>
        <w:trPr>
          <w:trHeight w:val="135"/>
        </w:trPr>
        <w:tc>
          <w:tcPr>
            <w:tcW w:w="3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5"/>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Continuous unrealized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losses existing for less than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existing for greater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12 months, gross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than 12 months, gross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Fair</w:t>
            </w:r>
          </w:p>
        </w:tc>
        <w:tc>
          <w:tcPr>
            <w:tcW w:w="8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68"/>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42"/>
        </w:trPr>
        <w:tc>
          <w:tcPr>
            <w:tcW w:w="3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Available for sale</w:t>
            </w: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U.S. Treasury securities</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35,883</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(471)</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23,971</w:t>
            </w:r>
          </w:p>
        </w:tc>
        <w:tc>
          <w:tcPr>
            <w:tcW w:w="1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59,854</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Obligations of U.S. government corporations and</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agencies</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29,899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58,946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88,845</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186,959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36,612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223,571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(3,849)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204,979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114,013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(5,957)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318,992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Corporate debt securities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138,019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138,066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595,739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(9,880)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233,589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(8,882)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829,328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Held to maturity</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31,932</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911</w:t>
            </w:r>
          </w:p>
        </w:tc>
        <w:tc>
          <w:tcPr>
            <w:tcW w:w="1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32,843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49,853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58,467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449,798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66,636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516,434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(12,955)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531,583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(11,219)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76,161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(3,742)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607,744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Continuous unrealized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5"/>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losses existing for less than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12 months, gross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than 12 months, gross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Fair</w:t>
            </w:r>
          </w:p>
        </w:tc>
        <w:tc>
          <w:tcPr>
            <w:tcW w:w="8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68"/>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42"/>
        </w:trPr>
        <w:tc>
          <w:tcPr>
            <w:tcW w:w="3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Available for sale</w:t>
            </w: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U.S. Treasury securities</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59,773</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(488)</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59,773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Obligations of U.S. government corporations and</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agencies</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78,610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103,441</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162,213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12,045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174,258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223,261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90,930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314,191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Corporate debt securities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16,176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16,176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540,033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(3,623)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127,806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(3,066)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667,839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Held to maturity</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17,939</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17,939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44,514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46,888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277,826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277,826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340,279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2,374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342,653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Securities are periodically evaluated for other-than-temporary impairment (“OTTI”). The total number of securities in the investment portfolio in an unrealized loss position as of September 30, 2018 was 897, and represented an unrealized loss of 2.29% of the aggregate carrying value. As of September 30, 2018, the Company does not intend to sell such securities and it is more-likely-than-not that the Company will recover the amortized cost prior to being required to sell the securities. Full collection of the amounts due according to the contractual terms of the securities is expected; therefore, the Company does not consider these investments to be OTTI at September 30, 2018.</w:t>
      </w:r>
    </w:p>
    <w:p>
      <w:pPr>
        <w:spacing w:after="0" w:line="125"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color w:val="auto"/>
        </w:rPr>
        <w:t>The Company had available for sale obligations of state and political subdivisions with a fair value of $241.9 million and $280.2 million as of September 30, 2018 and December 31, 2017, respectively. In addition, the Company had held to maturity obligations of state and political subdivisions with a fair value of $36.4 million and $41.5 million as of September 30, 2018 and December 31, 2017,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9"/>
        <w:spacing w:after="0" w:line="244" w:lineRule="auto"/>
        <w:rPr>
          <w:sz w:val="20"/>
          <w:szCs w:val="20"/>
          <w:color w:val="auto"/>
        </w:rPr>
      </w:pPr>
      <w:r>
        <w:rPr>
          <w:rFonts w:ascii="Arial" w:cs="Arial" w:eastAsia="Arial" w:hAnsi="Arial"/>
          <w:sz w:val="16"/>
          <w:szCs w:val="16"/>
          <w:color w:val="auto"/>
        </w:rPr>
        <w:t>As of September 30, 2018, the fair value of the Company’s obligations of state and political subdivisions portfolio was comprised of $236.2 million of general obligation bonds and $42.1 million of revenue bonds issued by 386 issuers, primarily consisting of states, counties, cities, towns, villages and school districts. The Company held investments in general obligation bonds in 35 states, including nine states in which the aggregate fair value exceeded $5.0 million. The Company held investments in revenue bonds in 20 states, including three states where the aggregate fair value exceeded $5.0 million.</w:t>
      </w:r>
    </w:p>
    <w:p>
      <w:pPr>
        <w:spacing w:after="0" w:line="118" w:lineRule="exact"/>
        <w:rPr>
          <w:sz w:val="20"/>
          <w:szCs w:val="20"/>
          <w:color w:val="auto"/>
        </w:rPr>
      </w:pPr>
    </w:p>
    <w:p>
      <w:pPr>
        <w:ind w:right="39"/>
        <w:spacing w:after="0" w:line="214" w:lineRule="auto"/>
        <w:rPr>
          <w:sz w:val="20"/>
          <w:szCs w:val="20"/>
          <w:color w:val="auto"/>
        </w:rPr>
      </w:pPr>
      <w:r>
        <w:rPr>
          <w:rFonts w:ascii="Arial" w:cs="Arial" w:eastAsia="Arial" w:hAnsi="Arial"/>
          <w:sz w:val="18"/>
          <w:szCs w:val="18"/>
          <w:color w:val="auto"/>
        </w:rPr>
        <w:t>As of December 31, 2017, the fair value of the Company’s obligations of state and political subdivisions portfolio was comprised of $271.7 million of general obligation bonds and $50.0 million of revenue bonds issued by 446 issuers, primarily consisting of states, counties, cities, towns, villages and school districts. The Company held investments in general obligation bonds in 36 states (including the District of Columbia), including nine states in which the aggregate fair value exceeded $5.0 million. The Company held investments in revenue bonds in 22 states, including three states where the aggregate fair value exceeded $5.0 million.</w:t>
      </w:r>
    </w:p>
    <w:p>
      <w:pPr>
        <w:spacing w:after="0" w:line="122" w:lineRule="exact"/>
        <w:rPr>
          <w:sz w:val="20"/>
          <w:szCs w:val="20"/>
          <w:color w:val="auto"/>
        </w:rPr>
      </w:pPr>
    </w:p>
    <w:p>
      <w:pPr>
        <w:ind w:right="139"/>
        <w:spacing w:after="0" w:line="235" w:lineRule="auto"/>
        <w:rPr>
          <w:sz w:val="20"/>
          <w:szCs w:val="20"/>
          <w:color w:val="auto"/>
        </w:rPr>
      </w:pPr>
      <w:r>
        <w:rPr>
          <w:rFonts w:ascii="Arial" w:cs="Arial" w:eastAsia="Arial" w:hAnsi="Arial"/>
          <w:sz w:val="18"/>
          <w:szCs w:val="18"/>
          <w:color w:val="auto"/>
        </w:rPr>
        <w:t xml:space="preserve">The amortized cost and fair values of the Company’s portfolio of general obligation bonds are summarized in the following tables by the issuers’ state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8" w:lineRule="exact"/>
        <w:rPr>
          <w:sz w:val="20"/>
          <w:szCs w:val="20"/>
          <w:color w:val="auto"/>
        </w:rPr>
      </w:pPr>
    </w:p>
    <w:tbl>
      <w:tblPr>
        <w:tblLayout w:type="fixed"/>
        <w:tblInd w:w="8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September 30, 2018:</w:t>
            </w:r>
          </w:p>
        </w:tc>
        <w:tc>
          <w:tcPr>
            <w:tcW w:w="1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2"/>
              </w:rPr>
              <w:t>Average Exposure</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93"/>
              <w:spacing w:after="0" w:line="13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00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0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Illinois</w:t>
            </w:r>
          </w:p>
        </w:tc>
        <w:tc>
          <w:tcPr>
            <w:tcW w:w="78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87,902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86,739</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3"/>
          </w:tcPr>
          <w:p>
            <w:pPr>
              <w:spacing w:after="0" w:line="189" w:lineRule="exact"/>
              <w:rPr>
                <w:sz w:val="20"/>
                <w:szCs w:val="20"/>
                <w:color w:val="auto"/>
              </w:rPr>
            </w:pPr>
            <w:r>
              <w:rPr>
                <w:rFonts w:ascii="Arial" w:cs="Arial" w:eastAsia="Arial" w:hAnsi="Arial"/>
                <w:sz w:val="18"/>
                <w:szCs w:val="18"/>
                <w:color w:val="auto"/>
              </w:rPr>
              <w:t>Wisconsin</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18,971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18,690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Texas</w:t>
            </w:r>
          </w:p>
        </w:tc>
        <w:tc>
          <w:tcPr>
            <w:tcW w:w="7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43</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24,893</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24,431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3"/>
          </w:tcPr>
          <w:p>
            <w:pPr>
              <w:spacing w:after="0" w:line="189" w:lineRule="exact"/>
              <w:rPr>
                <w:sz w:val="20"/>
                <w:szCs w:val="20"/>
                <w:color w:val="auto"/>
              </w:rPr>
            </w:pPr>
            <w:r>
              <w:rPr>
                <w:rFonts w:ascii="Arial" w:cs="Arial" w:eastAsia="Arial" w:hAnsi="Arial"/>
                <w:sz w:val="18"/>
                <w:szCs w:val="18"/>
                <w:color w:val="auto"/>
              </w:rPr>
              <w:t>Michigan</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13,589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13,620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Ohio</w:t>
            </w:r>
          </w:p>
        </w:tc>
        <w:tc>
          <w:tcPr>
            <w:tcW w:w="7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14,665</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14,505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3"/>
          </w:tcPr>
          <w:p>
            <w:pPr>
              <w:spacing w:after="0" w:line="189" w:lineRule="exact"/>
              <w:rPr>
                <w:sz w:val="20"/>
                <w:szCs w:val="20"/>
                <w:color w:val="auto"/>
              </w:rPr>
            </w:pPr>
            <w:r>
              <w:rPr>
                <w:rFonts w:ascii="Arial" w:cs="Arial" w:eastAsia="Arial" w:hAnsi="Arial"/>
                <w:sz w:val="18"/>
                <w:szCs w:val="18"/>
                <w:color w:val="auto"/>
              </w:rPr>
              <w:t>Pennsylvania</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9,250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9,197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New Jersey</w:t>
            </w:r>
          </w:p>
        </w:tc>
        <w:tc>
          <w:tcPr>
            <w:tcW w:w="7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5,576</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5,525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3"/>
          </w:tcPr>
          <w:p>
            <w:pPr>
              <w:spacing w:after="0" w:line="189" w:lineRule="exact"/>
              <w:rPr>
                <w:sz w:val="20"/>
                <w:szCs w:val="20"/>
                <w:color w:val="auto"/>
              </w:rPr>
            </w:pPr>
            <w:r>
              <w:rPr>
                <w:rFonts w:ascii="Arial" w:cs="Arial" w:eastAsia="Arial" w:hAnsi="Arial"/>
                <w:sz w:val="18"/>
                <w:szCs w:val="18"/>
                <w:color w:val="auto"/>
              </w:rPr>
              <w:t>Missouri</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5,556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5,472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California</w:t>
            </w:r>
          </w:p>
        </w:tc>
        <w:tc>
          <w:tcPr>
            <w:tcW w:w="7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8,829</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8,765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50,153</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49,223</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0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general obligations bonds</w:t>
            </w:r>
          </w:p>
        </w:tc>
        <w:tc>
          <w:tcPr>
            <w:tcW w:w="78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239,384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236,167</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78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10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020" w:type="dxa"/>
            <w:vAlign w:val="bottom"/>
            <w:gridSpan w:val="4"/>
          </w:tcPr>
          <w:p>
            <w:pPr>
              <w:spacing w:after="0"/>
              <w:rPr>
                <w:sz w:val="20"/>
                <w:szCs w:val="20"/>
                <w:color w:val="auto"/>
              </w:rPr>
            </w:pPr>
            <w:r>
              <w:rPr>
                <w:rFonts w:ascii="Arial" w:cs="Arial" w:eastAsia="Arial" w:hAnsi="Arial"/>
                <w:sz w:val="18"/>
                <w:szCs w:val="18"/>
                <w:color w:val="auto"/>
              </w:rPr>
              <w:t>December 31, 2017:</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33"/>
        </w:trPr>
        <w:tc>
          <w:tcPr>
            <w:tcW w:w="14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U.S. State</w:t>
            </w:r>
          </w:p>
        </w:tc>
        <w:tc>
          <w:tcPr>
            <w:tcW w:w="1560" w:type="dxa"/>
            <w:vAlign w:val="bottom"/>
            <w:gridSpan w:val="2"/>
            <w:vMerge w:val="restart"/>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133"/>
              <w:spacing w:after="0" w:line="13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4"/>
              </w:rPr>
              <w:t>Per Issuer</w:t>
            </w:r>
          </w:p>
        </w:tc>
        <w:tc>
          <w:tcPr>
            <w:tcW w:w="0" w:type="dxa"/>
            <w:vAlign w:val="bottom"/>
          </w:tcPr>
          <w:p>
            <w:pPr>
              <w:spacing w:after="0"/>
              <w:rPr>
                <w:sz w:val="1"/>
                <w:szCs w:val="1"/>
                <w:color w:val="auto"/>
              </w:rPr>
            </w:pPr>
          </w:p>
        </w:tc>
      </w:tr>
      <w:tr>
        <w:trPr>
          <w:trHeight w:val="171"/>
        </w:trPr>
        <w:tc>
          <w:tcPr>
            <w:tcW w:w="1460" w:type="dxa"/>
            <w:vAlign w:val="bottom"/>
            <w:tcBorders>
              <w:bottom w:val="single" w:sz="8" w:color="auto"/>
            </w:tcBorders>
            <w:gridSpan w:val="2"/>
            <w:vMerge w:val="continue"/>
          </w:tcPr>
          <w:p>
            <w:pPr>
              <w:spacing w:after="0"/>
              <w:rPr>
                <w:sz w:val="14"/>
                <w:szCs w:val="14"/>
                <w:color w:val="auto"/>
              </w:rPr>
            </w:pPr>
          </w:p>
        </w:tc>
        <w:tc>
          <w:tcPr>
            <w:tcW w:w="1560" w:type="dxa"/>
            <w:vAlign w:val="bottom"/>
            <w:tcBorders>
              <w:bottom w:val="single" w:sz="8" w:color="auto"/>
            </w:tcBorders>
            <w:gridSpan w:val="2"/>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83"/>
        </w:trPr>
        <w:tc>
          <w:tcPr>
            <w:tcW w:w="302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rPr>
              <w:t>Illinois</w:t>
            </w:r>
          </w:p>
        </w:tc>
        <w:tc>
          <w:tcPr>
            <w:tcW w:w="78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95,340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95,344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189"/>
        </w:trPr>
        <w:tc>
          <w:tcPr>
            <w:tcW w:w="3020" w:type="dxa"/>
            <w:vAlign w:val="bottom"/>
            <w:gridSpan w:val="4"/>
          </w:tcPr>
          <w:p>
            <w:pPr>
              <w:spacing w:after="0" w:line="189" w:lineRule="exact"/>
              <w:rPr>
                <w:sz w:val="20"/>
                <w:szCs w:val="20"/>
                <w:color w:val="auto"/>
              </w:rPr>
            </w:pPr>
            <w:r>
              <w:rPr>
                <w:rFonts w:ascii="Arial" w:cs="Arial" w:eastAsia="Arial" w:hAnsi="Arial"/>
                <w:sz w:val="18"/>
                <w:szCs w:val="18"/>
                <w:color w:val="auto"/>
              </w:rPr>
              <w:t>Wisconsin</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27,852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27,809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189"/>
        </w:trPr>
        <w:tc>
          <w:tcPr>
            <w:tcW w:w="30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Texas</w:t>
            </w:r>
          </w:p>
        </w:tc>
        <w:tc>
          <w:tcPr>
            <w:tcW w:w="7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27,485</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27,514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189"/>
        </w:trPr>
        <w:tc>
          <w:tcPr>
            <w:tcW w:w="3020" w:type="dxa"/>
            <w:vAlign w:val="bottom"/>
            <w:gridSpan w:val="4"/>
          </w:tcPr>
          <w:p>
            <w:pPr>
              <w:spacing w:after="0" w:line="189" w:lineRule="exact"/>
              <w:rPr>
                <w:sz w:val="20"/>
                <w:szCs w:val="20"/>
                <w:color w:val="auto"/>
              </w:rPr>
            </w:pPr>
            <w:r>
              <w:rPr>
                <w:rFonts w:ascii="Arial" w:cs="Arial" w:eastAsia="Arial" w:hAnsi="Arial"/>
                <w:sz w:val="18"/>
                <w:szCs w:val="18"/>
                <w:color w:val="auto"/>
              </w:rPr>
              <w:t>Michigan</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19,641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19,849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189"/>
        </w:trPr>
        <w:tc>
          <w:tcPr>
            <w:tcW w:w="30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Ohio</w:t>
            </w:r>
          </w:p>
        </w:tc>
        <w:tc>
          <w:tcPr>
            <w:tcW w:w="7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15,172</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15,162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189"/>
        </w:trPr>
        <w:tc>
          <w:tcPr>
            <w:tcW w:w="3020" w:type="dxa"/>
            <w:vAlign w:val="bottom"/>
            <w:gridSpan w:val="4"/>
          </w:tcPr>
          <w:p>
            <w:pPr>
              <w:spacing w:after="0" w:line="189" w:lineRule="exact"/>
              <w:rPr>
                <w:sz w:val="20"/>
                <w:szCs w:val="20"/>
                <w:color w:val="auto"/>
              </w:rPr>
            </w:pPr>
            <w:r>
              <w:rPr>
                <w:rFonts w:ascii="Arial" w:cs="Arial" w:eastAsia="Arial" w:hAnsi="Arial"/>
                <w:sz w:val="18"/>
                <w:szCs w:val="18"/>
                <w:color w:val="auto"/>
              </w:rPr>
              <w:t>Pennsylvania</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12,189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12,174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189"/>
        </w:trPr>
        <w:tc>
          <w:tcPr>
            <w:tcW w:w="30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New Jersey</w:t>
            </w:r>
          </w:p>
        </w:tc>
        <w:tc>
          <w:tcPr>
            <w:tcW w:w="7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7,755</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7,760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189"/>
        </w:trPr>
        <w:tc>
          <w:tcPr>
            <w:tcW w:w="3020" w:type="dxa"/>
            <w:vAlign w:val="bottom"/>
            <w:gridSpan w:val="4"/>
          </w:tcPr>
          <w:p>
            <w:pPr>
              <w:spacing w:after="0" w:line="189" w:lineRule="exact"/>
              <w:rPr>
                <w:sz w:val="20"/>
                <w:szCs w:val="20"/>
                <w:color w:val="auto"/>
              </w:rPr>
            </w:pPr>
            <w:r>
              <w:rPr>
                <w:rFonts w:ascii="Arial" w:cs="Arial" w:eastAsia="Arial" w:hAnsi="Arial"/>
                <w:sz w:val="18"/>
                <w:szCs w:val="18"/>
                <w:color w:val="auto"/>
              </w:rPr>
              <w:t>Missouri</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5,759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5,747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189"/>
        </w:trPr>
        <w:tc>
          <w:tcPr>
            <w:tcW w:w="30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Minnesota</w:t>
            </w:r>
          </w:p>
        </w:tc>
        <w:tc>
          <w:tcPr>
            <w:tcW w:w="7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5,657</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5,667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189"/>
        </w:trPr>
        <w:tc>
          <w:tcPr>
            <w:tcW w:w="3020" w:type="dxa"/>
            <w:vAlign w:val="bottom"/>
            <w:tcBorders>
              <w:bottom w:val="single" w:sz="8" w:color="CCEEFF"/>
            </w:tcBorders>
            <w:gridSpan w:val="4"/>
          </w:tcPr>
          <w:p>
            <w:pPr>
              <w:spacing w:after="0" w:line="189" w:lineRule="exact"/>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54,649</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54,633</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183"/>
        </w:trPr>
        <w:tc>
          <w:tcPr>
            <w:tcW w:w="302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rPr>
              <w:t>Total general obligations bonds</w:t>
            </w:r>
          </w:p>
        </w:tc>
        <w:tc>
          <w:tcPr>
            <w:tcW w:w="78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271,499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271,659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19"/>
        <w:spacing w:after="0" w:line="259" w:lineRule="auto"/>
        <w:rPr>
          <w:sz w:val="20"/>
          <w:szCs w:val="20"/>
          <w:color w:val="auto"/>
        </w:rPr>
      </w:pPr>
      <w:r>
        <w:rPr>
          <w:rFonts w:ascii="Arial" w:cs="Arial" w:eastAsia="Arial" w:hAnsi="Arial"/>
          <w:sz w:val="16"/>
          <w:szCs w:val="16"/>
          <w:color w:val="auto"/>
        </w:rPr>
        <w:t>The general obligation bonds are diversified across many issuers, with $4.9 million and $4.0 million being the largest exposure to a single issuer at September 30, 2018 and December 31, 2017, respectively. Accordingly, as of September 30, 2018 and December 31, 2017, the Company did not hold general obligation bonds of any single issuer, the aggregate</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book or market value of which exceeded 10% of the Company’s stockholders’ equity. Of the general obligation bonds in the Company’s portfolio, 99.1% had been rated by at least one nationally recognized rating organization and 0.9% were unrated as of September 30, 2018. Of the general obligation bonds in the Company’s portfolio, 99.3% had been rated by at least one nationally recognized rating organization and 0.7% were unrated, based on the aggregate fair value as of December 31, 2017.</w:t>
      </w:r>
    </w:p>
    <w:p>
      <w:pPr>
        <w:spacing w:after="0" w:line="11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 xml:space="preserve">The amortized cost and fair values of the Company’s portfolio of revenue bonds are summarized in the following tables by the issuers’ state </w:t>
      </w:r>
      <w:r>
        <w:rPr>
          <w:rFonts w:ascii="Arial" w:cs="Arial" w:eastAsia="Arial" w:hAnsi="Arial"/>
          <w:sz w:val="18"/>
          <w:szCs w:val="18"/>
          <w:i w:val="1"/>
          <w:iCs w:val="1"/>
          <w:color w:val="auto"/>
        </w:rPr>
        <w:t>(dollars in thousands):</w:t>
      </w:r>
    </w:p>
    <w:p>
      <w:pPr>
        <w:spacing w:after="0" w:line="98" w:lineRule="exact"/>
        <w:rPr>
          <w:sz w:val="20"/>
          <w:szCs w:val="20"/>
          <w:color w:val="auto"/>
        </w:rPr>
      </w:pPr>
    </w:p>
    <w:tbl>
      <w:tblPr>
        <w:tblLayout w:type="fixed"/>
        <w:tblInd w:w="920" w:type="dxa"/>
        <w:tblCellMar>
          <w:top w:w="0" w:type="dxa"/>
          <w:left w:w="0" w:type="dxa"/>
          <w:bottom w:w="0" w:type="dxa"/>
          <w:right w:w="0" w:type="dxa"/>
        </w:tblCellMar>
      </w:tblPr>
      <w:tr>
        <w:trPr>
          <w:trHeight w:val="227"/>
        </w:trPr>
        <w:tc>
          <w:tcPr>
            <w:tcW w:w="3140" w:type="dxa"/>
            <w:vAlign w:val="bottom"/>
            <w:gridSpan w:val="3"/>
          </w:tcPr>
          <w:p>
            <w:pPr>
              <w:spacing w:after="0"/>
              <w:rPr>
                <w:sz w:val="20"/>
                <w:szCs w:val="20"/>
                <w:color w:val="auto"/>
              </w:rPr>
            </w:pPr>
            <w:r>
              <w:rPr>
                <w:rFonts w:ascii="Arial" w:cs="Arial" w:eastAsia="Arial" w:hAnsi="Arial"/>
                <w:sz w:val="18"/>
                <w:szCs w:val="18"/>
                <w:color w:val="auto"/>
              </w:rPr>
              <w:t>September 30, 2018:</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33"/>
        </w:trPr>
        <w:tc>
          <w:tcPr>
            <w:tcW w:w="14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U.S. State</w:t>
            </w:r>
          </w:p>
        </w:tc>
        <w:tc>
          <w:tcPr>
            <w:tcW w:w="1660" w:type="dxa"/>
            <w:vAlign w:val="bottom"/>
            <w:vMerge w:val="restart"/>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1"/>
                <w:szCs w:val="11"/>
                <w:color w:val="auto"/>
              </w:rPr>
            </w:pPr>
          </w:p>
        </w:tc>
        <w:tc>
          <w:tcPr>
            <w:tcW w:w="74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87"/>
              </w:rPr>
              <w:t>Amortized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235"/>
              <w:spacing w:after="0" w:line="13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4"/>
              </w:rPr>
              <w:t>Per Issuer</w:t>
            </w:r>
          </w:p>
        </w:tc>
        <w:tc>
          <w:tcPr>
            <w:tcW w:w="0" w:type="dxa"/>
            <w:vAlign w:val="bottom"/>
          </w:tcPr>
          <w:p>
            <w:pPr>
              <w:spacing w:after="0"/>
              <w:rPr>
                <w:sz w:val="1"/>
                <w:szCs w:val="1"/>
                <w:color w:val="auto"/>
              </w:rPr>
            </w:pPr>
          </w:p>
        </w:tc>
      </w:tr>
      <w:tr>
        <w:trPr>
          <w:trHeight w:val="171"/>
        </w:trPr>
        <w:tc>
          <w:tcPr>
            <w:tcW w:w="1480" w:type="dxa"/>
            <w:vAlign w:val="bottom"/>
            <w:tcBorders>
              <w:bottom w:val="single" w:sz="8" w:color="auto"/>
            </w:tcBorders>
            <w:gridSpan w:val="2"/>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Value</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83"/>
        </w:trPr>
        <w:tc>
          <w:tcPr>
            <w:tcW w:w="31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Indiana</w:t>
            </w:r>
          </w:p>
        </w:tc>
        <w:tc>
          <w:tcPr>
            <w:tcW w:w="72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10,902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10,801</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189"/>
        </w:trPr>
        <w:tc>
          <w:tcPr>
            <w:tcW w:w="3140" w:type="dxa"/>
            <w:vAlign w:val="bottom"/>
            <w:gridSpan w:val="3"/>
          </w:tcPr>
          <w:p>
            <w:pPr>
              <w:spacing w:after="0" w:line="189" w:lineRule="exact"/>
              <w:rPr>
                <w:sz w:val="20"/>
                <w:szCs w:val="20"/>
                <w:color w:val="auto"/>
              </w:rPr>
            </w:pPr>
            <w:r>
              <w:rPr>
                <w:rFonts w:ascii="Arial" w:cs="Arial" w:eastAsia="Arial" w:hAnsi="Arial"/>
                <w:sz w:val="18"/>
                <w:szCs w:val="18"/>
                <w:color w:val="auto"/>
              </w:rPr>
              <w:t>Missouri</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7,041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6,966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189"/>
        </w:trPr>
        <w:tc>
          <w:tcPr>
            <w:tcW w:w="31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Illinois</w:t>
            </w:r>
          </w:p>
        </w:tc>
        <w:tc>
          <w:tcPr>
            <w:tcW w:w="72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26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5,218</w:t>
            </w: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5,128</w:t>
            </w: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189"/>
        </w:trPr>
        <w:tc>
          <w:tcPr>
            <w:tcW w:w="314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w:t>
            </w:r>
          </w:p>
        </w:tc>
        <w:tc>
          <w:tcPr>
            <w:tcW w:w="2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19,603</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19,264</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3"/>
        </w:trPr>
        <w:tc>
          <w:tcPr>
            <w:tcW w:w="31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revenue bonds</w:t>
            </w:r>
          </w:p>
        </w:tc>
        <w:tc>
          <w:tcPr>
            <w:tcW w:w="72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42,764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42,159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338"/>
        </w:trPr>
        <w:tc>
          <w:tcPr>
            <w:tcW w:w="146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8"/>
                <w:szCs w:val="18"/>
                <w:color w:val="auto"/>
                <w:w w:val="88"/>
              </w:rPr>
              <w:t>December 31, 2017:</w:t>
            </w:r>
          </w:p>
        </w:tc>
        <w:tc>
          <w:tcPr>
            <w:tcW w:w="1680" w:type="dxa"/>
            <w:vAlign w:val="bottom"/>
            <w:tcBorders>
              <w:top w:val="single" w:sz="8" w:color="CCEEFF"/>
            </w:tcBorders>
            <w:gridSpan w:val="2"/>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33"/>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195"/>
              <w:spacing w:after="0" w:line="13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14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Issuers</w:t>
            </w:r>
          </w:p>
        </w:tc>
        <w:tc>
          <w:tcPr>
            <w:tcW w:w="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83"/>
        </w:trPr>
        <w:tc>
          <w:tcPr>
            <w:tcW w:w="31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Indiana</w:t>
            </w:r>
          </w:p>
        </w:tc>
        <w:tc>
          <w:tcPr>
            <w:tcW w:w="72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12,001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12,054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189"/>
        </w:trPr>
        <w:tc>
          <w:tcPr>
            <w:tcW w:w="3140" w:type="dxa"/>
            <w:vAlign w:val="bottom"/>
            <w:gridSpan w:val="3"/>
          </w:tcPr>
          <w:p>
            <w:pPr>
              <w:spacing w:after="0" w:line="189" w:lineRule="exact"/>
              <w:rPr>
                <w:sz w:val="20"/>
                <w:szCs w:val="20"/>
                <w:color w:val="auto"/>
              </w:rPr>
            </w:pPr>
            <w:r>
              <w:rPr>
                <w:rFonts w:ascii="Arial" w:cs="Arial" w:eastAsia="Arial" w:hAnsi="Arial"/>
                <w:sz w:val="18"/>
                <w:szCs w:val="18"/>
                <w:color w:val="auto"/>
              </w:rPr>
              <w:t>Missouri</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7,376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7,336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189"/>
        </w:trPr>
        <w:tc>
          <w:tcPr>
            <w:tcW w:w="31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Illinois</w:t>
            </w:r>
          </w:p>
        </w:tc>
        <w:tc>
          <w:tcPr>
            <w:tcW w:w="72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c>
          <w:tcPr>
            <w:tcW w:w="26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6,477</w:t>
            </w: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6,456</w:t>
            </w: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189"/>
        </w:trPr>
        <w:tc>
          <w:tcPr>
            <w:tcW w:w="314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38</w:t>
            </w:r>
          </w:p>
        </w:tc>
        <w:tc>
          <w:tcPr>
            <w:tcW w:w="2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24,163</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24,158</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183"/>
        </w:trPr>
        <w:tc>
          <w:tcPr>
            <w:tcW w:w="31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revenue bonds</w:t>
            </w:r>
          </w:p>
        </w:tc>
        <w:tc>
          <w:tcPr>
            <w:tcW w:w="72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65</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50,017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50,004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1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The revenue bonds are diversified across many issuers and revenue sources with $3.5 million and $3.6 million being the largest exposure to a single issuer at each of September 30, 2018 and December 31, 2017, respectively. Accordingly, as of September 30, 2018 and December 31, 2017, the Company did not hold revenue bonds of any single issuer, the aggregate book or market value of which exceeded 10% of the Company’s stockholders’ equity. Of the revenue bonds in the Company's portfolio, 100.0% had been rated by at least one nationally recognized rating organization as of September 30, 2018. Of the revenue bonds in the Company’s portfolio, 99.4% had been rated by at least one nationally recognized rating organization and 0.6% were unrated, based on the fair value as of December 31, 2017. Some of the primary types of revenue bonds held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27"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At September 30, 2018, all of the Company’s obligations of state and political subdivision securities are owned by its subsidiary bank, which has adopted First Busey’s investment policy requiring that state and political subdivision securities purchased be investment grade. Such investment policy also limits the amount of rated state and political subdivision securities to an aggregate 100% of the subsidiary bank’s total capital (as defined by federal regulations) at the time of purchase and an aggregate 15% of total capital for unrated state and political subdivision securities issued by municipalities having taxing authority or located in counties/micropolitan statistical areas/metropolitan statistical areas in which an office is located.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All securities in First Busey’s obligations of state and political subdivision securities portfolio are subject to periodic</w:t>
      </w:r>
    </w:p>
    <w:p>
      <w:pPr>
        <w:ind w:right="40"/>
        <w:spacing w:after="0" w:line="231" w:lineRule="auto"/>
        <w:rPr>
          <w:sz w:val="20"/>
          <w:szCs w:val="20"/>
          <w:color w:val="auto"/>
        </w:rPr>
      </w:pPr>
      <w:r>
        <w:rPr>
          <w:rFonts w:ascii="Arial" w:cs="Arial" w:eastAsia="Arial" w:hAnsi="Arial"/>
          <w:sz w:val="17"/>
          <w:szCs w:val="17"/>
          <w:color w:val="auto"/>
        </w:rPr>
        <w:t>review. Factors that may be considered as part of monitoring of state and political subdivision securities include credit rating changes by nationally recognized rating organizations, market valuations, third-party municipal credit analysis, which may include indicative information regarding the issuer’s capacity to pay, market and economic data and such</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other factors as are available and relevant to the security or the issuer such as its budgetary position and sources, strength and stability of taxes and/or other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Loans held for sale</w:t>
      </w:r>
    </w:p>
    <w:p>
      <w:pPr>
        <w:spacing w:after="0" w:line="148"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Loans held for sale totaled $32.6 million and $94.8 million at September 30, 2018 and December 31, 2017, respectively. The amount of loans held for sale decreased from December 31, 2017, due to lower origination volumes and the timing of sales. Loans held for sale generate net interest income until loans are delivered to investors, at which point mortgage revenue will be recognized.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mortgage revenue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9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r>
      <w:tr>
        <w:trPr>
          <w:trHeight w:val="141"/>
        </w:trPr>
        <w:tc>
          <w:tcPr>
            <w:tcW w:w="458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Premiums received on sales of mortgage loans, including fair</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217"/>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value adjustments</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33,582</w:t>
            </w:r>
          </w:p>
        </w:tc>
        <w:tc>
          <w:tcPr>
            <w:tcW w:w="180" w:type="dxa"/>
            <w:vAlign w:val="bottom"/>
            <w:shd w:val="clear" w:color="auto" w:fill="CCEEFF"/>
          </w:tcPr>
          <w:p>
            <w:pPr>
              <w:spacing w:after="0"/>
              <w:rPr>
                <w:sz w:val="18"/>
                <w:szCs w:val="18"/>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8"/>
                <w:szCs w:val="18"/>
                <w:color w:val="auto"/>
              </w:rPr>
              <w:t>Less direct origination costs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(1,976)</w:t>
            </w:r>
          </w:p>
        </w:tc>
        <w:tc>
          <w:tcPr>
            <w:tcW w:w="200" w:type="dxa"/>
            <w:vAlign w:val="bottom"/>
          </w:tcPr>
          <w:p>
            <w:pPr>
              <w:spacing w:after="0"/>
              <w:rPr>
                <w:sz w:val="16"/>
                <w:szCs w:val="16"/>
                <w:color w:val="auto"/>
              </w:rPr>
            </w:pP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(8,398)</w:t>
            </w:r>
          </w:p>
        </w:tc>
        <w:tc>
          <w:tcPr>
            <w:tcW w:w="200" w:type="dxa"/>
            <w:vAlign w:val="bottom"/>
          </w:tcPr>
          <w:p>
            <w:pPr>
              <w:spacing w:after="0"/>
              <w:rPr>
                <w:sz w:val="16"/>
                <w:szCs w:val="16"/>
                <w:color w:val="auto"/>
              </w:rPr>
            </w:pP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(6,805)</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(26,433)</w:t>
            </w:r>
          </w:p>
        </w:tc>
      </w:tr>
      <w:tr>
        <w:trPr>
          <w:trHeight w:val="189"/>
        </w:trPr>
        <w:tc>
          <w:tcPr>
            <w:tcW w:w="45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Less provisions to liability for loans sold</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(200)</w:t>
            </w:r>
          </w:p>
        </w:tc>
      </w:tr>
      <w:tr>
        <w:trPr>
          <w:trHeight w:val="161"/>
        </w:trPr>
        <w:tc>
          <w:tcPr>
            <w:tcW w:w="4580" w:type="dxa"/>
            <w:vAlign w:val="bottom"/>
          </w:tcPr>
          <w:p>
            <w:pPr>
              <w:spacing w:after="0" w:line="161" w:lineRule="exact"/>
              <w:rPr>
                <w:sz w:val="20"/>
                <w:szCs w:val="20"/>
                <w:color w:val="auto"/>
              </w:rPr>
            </w:pPr>
            <w:r>
              <w:rPr>
                <w:rFonts w:ascii="Arial" w:cs="Arial" w:eastAsia="Arial" w:hAnsi="Arial"/>
                <w:sz w:val="18"/>
                <w:szCs w:val="18"/>
                <w:color w:val="auto"/>
              </w:rPr>
              <w:t>Mortgage servicing revenues, net of servicing</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7"/>
        </w:trPr>
        <w:tc>
          <w:tcPr>
            <w:tcW w:w="4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expense</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80" w:type="dxa"/>
            <w:vAlign w:val="bottom"/>
            <w:tcBorders>
              <w:bottom w:val="single" w:sz="8" w:color="CCEEFF"/>
            </w:tcBorders>
          </w:tcPr>
          <w:p>
            <w:pPr>
              <w:spacing w:after="0"/>
              <w:rPr>
                <w:sz w:val="18"/>
                <w:szCs w:val="18"/>
                <w:color w:val="auto"/>
              </w:rPr>
            </w:pPr>
          </w:p>
        </w:tc>
      </w:tr>
      <w:tr>
        <w:trPr>
          <w:trHeight w:val="190"/>
        </w:trPr>
        <w:tc>
          <w:tcPr>
            <w:tcW w:w="45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Mortgage revenue</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1,272</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3,526</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4,488</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8,430</w:t>
            </w:r>
          </w:p>
        </w:tc>
        <w:tc>
          <w:tcPr>
            <w:tcW w:w="180" w:type="dxa"/>
            <w:vAlign w:val="bottom"/>
            <w:tcBorders>
              <w:bottom w:val="single" w:sz="8" w:color="CCEEFF"/>
            </w:tcBorders>
            <w:shd w:val="clear" w:color="auto" w:fill="CCEEFF"/>
          </w:tcPr>
          <w:p>
            <w:pPr>
              <w:spacing w:after="0"/>
              <w:rPr>
                <w:sz w:val="16"/>
                <w:szCs w:val="16"/>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Portfolio loans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distribution of portfolio loans at September 30, 2018 and December 31, 2017 is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1,461,186</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1,414,631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2,371,868</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2,354,684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308,762</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261,506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1,453,266</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1,460,801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28,659</w:t>
            </w:r>
          </w:p>
        </w:tc>
        <w:tc>
          <w:tcPr>
            <w:tcW w:w="3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27,878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tcPr>
          <w:p>
            <w:pPr>
              <w:spacing w:after="0" w:line="182" w:lineRule="exact"/>
              <w:rPr>
                <w:sz w:val="20"/>
                <w:szCs w:val="20"/>
                <w:color w:val="auto"/>
              </w:rPr>
            </w:pPr>
            <w:r>
              <w:rPr>
                <w:rFonts w:ascii="Arial" w:cs="Arial" w:eastAsia="Arial" w:hAnsi="Arial"/>
                <w:sz w:val="18"/>
                <w:szCs w:val="18"/>
                <w:color w:val="auto"/>
              </w:rPr>
              <w:t>Portfolio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5,623,741</w:t>
            </w:r>
          </w:p>
        </w:tc>
        <w:tc>
          <w:tcPr>
            <w:tcW w:w="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5,519,500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Less allowance for loan losses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52,743</w:t>
            </w: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Portfolio loans,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5,570,998</w:t>
            </w: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5,465,918</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Net deferred loan origination costs included in the table above were $5.6 million as of September 30, 2018 and $4.1 million as of December 31, 2017. Net accretable purchase accounting adjustments included in the table above reduced loans by $15.8 million as of September 30, 2018 and $23.6 million as of December 31, 2017.</w:t>
      </w:r>
    </w:p>
    <w:p>
      <w:pPr>
        <w:spacing w:after="0" w:line="123"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The Company believes that making sound loans is a necessary and desirable means of employing funds available for investment.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originated outside of these areas are generally residential mortgage loans originated for sale in the secondary market or are loans to existing customers of the Bank.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40"/>
        <w:spacing w:after="0" w:line="249" w:lineRule="auto"/>
        <w:rPr>
          <w:sz w:val="20"/>
          <w:szCs w:val="20"/>
          <w:color w:val="auto"/>
        </w:rPr>
      </w:pPr>
      <w:r>
        <w:rPr>
          <w:rFonts w:ascii="Arial" w:cs="Arial" w:eastAsia="Arial" w:hAnsi="Arial"/>
          <w:sz w:val="16"/>
          <w:szCs w:val="16"/>
          <w:color w:val="auto"/>
        </w:rPr>
        <w:t>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14" w:lineRule="exact"/>
        <w:rPr>
          <w:sz w:val="20"/>
          <w:szCs w:val="20"/>
          <w:color w:val="auto"/>
        </w:rPr>
      </w:pPr>
    </w:p>
    <w:p>
      <w:pPr>
        <w:ind w:right="80"/>
        <w:spacing w:after="0" w:line="222" w:lineRule="auto"/>
        <w:rPr>
          <w:sz w:val="20"/>
          <w:szCs w:val="20"/>
          <w:color w:val="auto"/>
        </w:rPr>
      </w:pPr>
      <w:r>
        <w:rPr>
          <w:rFonts w:ascii="Arial" w:cs="Arial" w:eastAsia="Arial" w:hAnsi="Arial"/>
          <w:sz w:val="17"/>
          <w:szCs w:val="17"/>
          <w:color w:val="auto"/>
        </w:rPr>
        <w:t>Management reviews and approves the Company’s lending policies and procedures on a routine basis. The policies for legacy First Community and South Side Bank loans were similar in nature to Busey Bank’s policies and the Company is migrating such loan production towards the Busey Bank policies. Management routinely (at least quarterly) reviews the Company’s allowance for loan losses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Additional significant underwriting factors beyond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23"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and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22"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22"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Annual Report on Form 10-K for the year ended December 31, 2017. The significant majority of the Company’s portfolio lending activity occurs in its Illinois and Missouri markets, with the remainder in the Indiana and Florida markets.</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243" w:lineRule="exact"/>
        <w:rPr>
          <w:sz w:val="20"/>
          <w:szCs w:val="20"/>
          <w:color w:val="auto"/>
        </w:rPr>
      </w:pPr>
    </w:p>
    <w:p>
      <w:pPr>
        <w:ind w:left="660" w:hanging="333"/>
        <w:spacing w:after="0" w:line="22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Pass</w:t>
      </w:r>
      <w:r>
        <w:rPr>
          <w:rFonts w:ascii="Arial" w:cs="Arial" w:eastAsia="Arial" w:hAnsi="Arial"/>
          <w:sz w:val="18"/>
          <w:szCs w:val="18"/>
          <w:color w:val="auto"/>
        </w:rPr>
        <w:t>- This category includes loans that are all considered strong credits, ranging from investment or near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grade, to loans made to borrowers who exhibit credit fundamentals that exceed industry standards and loan policy guidelines and loans that exhibit acceptable credit fundamentals.</w:t>
      </w:r>
    </w:p>
    <w:p>
      <w:pPr>
        <w:spacing w:after="0" w:line="122" w:lineRule="exact"/>
        <w:rPr>
          <w:rFonts w:ascii="Arial" w:cs="Arial" w:eastAsia="Arial" w:hAnsi="Arial"/>
          <w:sz w:val="18"/>
          <w:szCs w:val="18"/>
          <w:color w:val="auto"/>
        </w:rPr>
      </w:pPr>
    </w:p>
    <w:p>
      <w:pPr>
        <w:ind w:left="660" w:right="260" w:hanging="333"/>
        <w:spacing w:after="0" w:line="289"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Watch- </w:t>
      </w:r>
      <w:r>
        <w:rPr>
          <w:rFonts w:ascii="Arial" w:cs="Arial" w:eastAsia="Arial" w:hAnsi="Arial"/>
          <w:sz w:val="16"/>
          <w:szCs w:val="16"/>
          <w:color w:val="auto"/>
        </w:rPr>
        <w:t>This category includes loans on management’s “Watch List” and is intended to be utilized on a 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basis for a pass grade borrower where a significant risk-modifying action is anticipated in the near future.</w:t>
      </w:r>
    </w:p>
    <w:p>
      <w:pPr>
        <w:spacing w:after="0" w:line="83" w:lineRule="exact"/>
        <w:rPr>
          <w:rFonts w:ascii="Arial" w:cs="Arial" w:eastAsia="Arial" w:hAnsi="Arial"/>
          <w:sz w:val="16"/>
          <w:szCs w:val="16"/>
          <w:color w:val="auto"/>
        </w:rPr>
      </w:pPr>
    </w:p>
    <w:p>
      <w:pPr>
        <w:ind w:left="660" w:right="220" w:hanging="333"/>
        <w:spacing w:after="0" w:line="22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22" w:lineRule="exact"/>
        <w:rPr>
          <w:rFonts w:ascii="Arial" w:cs="Arial" w:eastAsia="Arial" w:hAnsi="Arial"/>
          <w:sz w:val="18"/>
          <w:szCs w:val="18"/>
          <w:color w:val="auto"/>
        </w:rPr>
      </w:pPr>
    </w:p>
    <w:p>
      <w:pPr>
        <w:ind w:left="660" w:right="80" w:hanging="333"/>
        <w:spacing w:after="0" w:line="21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Substandard- </w:t>
      </w:r>
      <w:r>
        <w:rPr>
          <w:rFonts w:ascii="Arial" w:cs="Arial" w:eastAsia="Arial" w:hAnsi="Arial"/>
          <w:sz w:val="18"/>
          <w:szCs w:val="18"/>
          <w:color w:val="auto"/>
        </w:rPr>
        <w:t>This category includes “Substandard” loans, determined in accordance with regulatory guidelines,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260" w:hanging="333"/>
        <w:spacing w:after="0" w:line="23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Doubtful- </w:t>
      </w:r>
      <w:r>
        <w:rPr>
          <w:rFonts w:ascii="Arial" w:cs="Arial" w:eastAsia="Arial" w:hAnsi="Arial"/>
          <w:sz w:val="17"/>
          <w:szCs w:val="17"/>
          <w:color w:val="auto"/>
        </w:rPr>
        <w:t>This category includes “Doubtful” loans that have all the characteristics of a “Substandard” loan with</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factors that make collection in full highly questionable and improbable. Such loans are placed on non-accrual status and may be dependent on collateral with a value that is difficult to determine.</w:t>
      </w:r>
    </w:p>
    <w:p>
      <w:pPr>
        <w:spacing w:after="0" w:line="121"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120"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Portfolio loans in the highest grades, represented by the pass and watch categories, totaled $5.4 billion and $5.3 billion at September 30, 2018 and December 31, 2017, respectively. Portfolio loans in the lowest grades, represented by the special mention, substandard and doubtful categories, totaled $279.0 million at September 30, 2018, compared to $193.8 million at December 31, 2017.</w:t>
      </w:r>
    </w:p>
    <w:p>
      <w:pPr>
        <w:spacing w:after="0" w:line="122"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(excluding accretable purchase accounting adjustments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0"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September 30, 2018</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Pass</w:t>
            </w:r>
          </w:p>
        </w:tc>
        <w:tc>
          <w:tcPr>
            <w:tcW w:w="160" w:type="dxa"/>
            <w:vAlign w:val="bottom"/>
          </w:tcPr>
          <w:p>
            <w:pPr>
              <w:spacing w:after="0"/>
              <w:rPr>
                <w:sz w:val="10"/>
                <w:szCs w:val="10"/>
                <w:color w:val="auto"/>
              </w:rPr>
            </w:pPr>
          </w:p>
        </w:tc>
        <w:tc>
          <w:tcPr>
            <w:tcW w:w="7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Watch</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Special</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Substandard</w:t>
            </w:r>
          </w:p>
        </w:tc>
        <w:tc>
          <w:tcPr>
            <w:tcW w:w="120" w:type="dxa"/>
            <w:vAlign w:val="bottom"/>
          </w:tcPr>
          <w:p>
            <w:pPr>
              <w:spacing w:after="0"/>
              <w:rPr>
                <w:sz w:val="10"/>
                <w:szCs w:val="10"/>
                <w:color w:val="auto"/>
              </w:rPr>
            </w:pPr>
          </w:p>
        </w:tc>
        <w:tc>
          <w:tcPr>
            <w:tcW w:w="7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Mention</w:t>
            </w: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1,205,074</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136,262</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51,840</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48,266</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20,994</w:t>
            </w:r>
          </w:p>
        </w:tc>
        <w:tc>
          <w:tcPr>
            <w:tcW w:w="0" w:type="dxa"/>
            <w:vAlign w:val="bottom"/>
          </w:tcPr>
          <w:p>
            <w:pPr>
              <w:spacing w:after="0"/>
              <w:rPr>
                <w:sz w:val="1"/>
                <w:szCs w:val="1"/>
                <w:color w:val="auto"/>
              </w:rPr>
            </w:pPr>
          </w:p>
        </w:tc>
      </w:tr>
      <w:tr>
        <w:trPr>
          <w:trHeight w:val="189"/>
        </w:trPr>
        <w:tc>
          <w:tcPr>
            <w:tcW w:w="216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92"/>
              </w:rPr>
              <w:t>2,098,441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146,634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76,941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46,267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13,417</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289,134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14,977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3,110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1,923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216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92"/>
              </w:rPr>
              <w:t>1,427,792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4,162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4,613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5,690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28,919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0"/>
        </w:trPr>
        <w:tc>
          <w:tcPr>
            <w:tcW w:w="2160" w:type="dxa"/>
            <w:vAlign w:val="bottom"/>
          </w:tcPr>
          <w:p>
            <w:pPr>
              <w:ind w:left="220"/>
              <w:spacing w:after="0" w:line="182"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5,049,360</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5"/>
              </w:rPr>
              <w:t>302,035</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136,504</w:t>
            </w:r>
          </w:p>
        </w:tc>
        <w:tc>
          <w:tcPr>
            <w:tcW w:w="2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102,146</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40,395</w:t>
            </w:r>
          </w:p>
        </w:tc>
        <w:tc>
          <w:tcPr>
            <w:tcW w:w="0" w:type="dxa"/>
            <w:vAlign w:val="bottom"/>
          </w:tcPr>
          <w:p>
            <w:pPr>
              <w:spacing w:after="0"/>
              <w:rPr>
                <w:sz w:val="1"/>
                <w:szCs w:val="1"/>
                <w:color w:val="auto"/>
              </w:rPr>
            </w:pPr>
          </w:p>
        </w:tc>
      </w:tr>
      <w:tr>
        <w:trPr>
          <w:trHeight w:val="338"/>
        </w:trPr>
        <w:tc>
          <w:tcPr>
            <w:tcW w:w="2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December 31, 2017</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Pass</w:t>
            </w:r>
          </w:p>
        </w:tc>
        <w:tc>
          <w:tcPr>
            <w:tcW w:w="160" w:type="dxa"/>
            <w:vAlign w:val="bottom"/>
          </w:tcPr>
          <w:p>
            <w:pPr>
              <w:spacing w:after="0"/>
              <w:rPr>
                <w:sz w:val="10"/>
                <w:szCs w:val="10"/>
                <w:color w:val="auto"/>
              </w:rPr>
            </w:pPr>
          </w:p>
        </w:tc>
        <w:tc>
          <w:tcPr>
            <w:tcW w:w="7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Watch</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Special</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Substandard</w:t>
            </w:r>
          </w:p>
        </w:tc>
        <w:tc>
          <w:tcPr>
            <w:tcW w:w="120" w:type="dxa"/>
            <w:vAlign w:val="bottom"/>
          </w:tcPr>
          <w:p>
            <w:pPr>
              <w:spacing w:after="0"/>
              <w:rPr>
                <w:sz w:val="10"/>
                <w:szCs w:val="10"/>
                <w:color w:val="auto"/>
              </w:rPr>
            </w:pPr>
          </w:p>
        </w:tc>
        <w:tc>
          <w:tcPr>
            <w:tcW w:w="7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Mention</w:t>
            </w: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1,175,421</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141,776</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51,366</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43,933</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189"/>
        </w:trPr>
        <w:tc>
          <w:tcPr>
            <w:tcW w:w="216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92"/>
              </w:rPr>
              <w:t>2,169,420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130,056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21,151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36,482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11,997</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212,952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41,292</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3,880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3,071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89"/>
        </w:trPr>
        <w:tc>
          <w:tcPr>
            <w:tcW w:w="216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92"/>
              </w:rPr>
              <w:t>1,436,156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6,883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5,162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4,135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28,300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0"/>
        </w:trPr>
        <w:tc>
          <w:tcPr>
            <w:tcW w:w="2160" w:type="dxa"/>
            <w:vAlign w:val="bottom"/>
          </w:tcPr>
          <w:p>
            <w:pPr>
              <w:ind w:left="220"/>
              <w:spacing w:after="0" w:line="182"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5,022,249</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5"/>
              </w:rPr>
              <w:t>320,016</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81,559</w:t>
            </w:r>
          </w:p>
        </w:tc>
        <w:tc>
          <w:tcPr>
            <w:tcW w:w="2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87,628</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24,624</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may be returned to accrual status when all of the principal and interest amounts contractually due are brought current and future payments are reasonably assured.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780"/>
        <w:spacing w:after="0" w:line="223" w:lineRule="auto"/>
        <w:rPr>
          <w:sz w:val="20"/>
          <w:szCs w:val="20"/>
          <w:color w:val="auto"/>
        </w:rPr>
      </w:pPr>
      <w:r>
        <w:rPr>
          <w:rFonts w:ascii="Arial" w:cs="Arial" w:eastAsia="Arial" w:hAnsi="Arial"/>
          <w:sz w:val="18"/>
          <w:szCs w:val="18"/>
          <w:color w:val="auto"/>
        </w:rPr>
        <w:t xml:space="preserve">A summary of portfolio loans that are past due and still accruing or on a non-accrual status is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920" w:type="dxa"/>
        <w:tblCellMar>
          <w:top w:w="0" w:type="dxa"/>
          <w:left w:w="0" w:type="dxa"/>
          <w:bottom w:w="0" w:type="dxa"/>
          <w:right w:w="0" w:type="dxa"/>
        </w:tblCellMar>
      </w:tblPr>
      <w:tr>
        <w:trPr>
          <w:trHeight w:val="156"/>
        </w:trPr>
        <w:tc>
          <w:tcPr>
            <w:tcW w:w="2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right"/>
              <w:spacing w:after="0" w:line="157" w:lineRule="exact"/>
              <w:rPr>
                <w:sz w:val="20"/>
                <w:szCs w:val="20"/>
                <w:color w:val="auto"/>
              </w:rPr>
            </w:pPr>
            <w:r>
              <w:rPr>
                <w:rFonts w:ascii="Arial" w:cs="Arial" w:eastAsia="Arial" w:hAnsi="Arial"/>
                <w:sz w:val="14"/>
                <w:szCs w:val="14"/>
                <w:b w:val="1"/>
                <w:bCs w:val="1"/>
                <w:color w:val="auto"/>
              </w:rPr>
              <w:t>September 30, 2018</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42"/>
        </w:trPr>
        <w:tc>
          <w:tcPr>
            <w:tcW w:w="2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10"/>
          </w:tcPr>
          <w:p>
            <w:pPr>
              <w:jc w:val="right"/>
              <w:spacing w:after="0" w:line="142" w:lineRule="exact"/>
              <w:rPr>
                <w:sz w:val="20"/>
                <w:szCs w:val="20"/>
                <w:color w:val="auto"/>
              </w:rPr>
            </w:pPr>
            <w:r>
              <w:rPr>
                <w:rFonts w:ascii="Arial" w:cs="Arial" w:eastAsia="Arial" w:hAnsi="Arial"/>
                <w:sz w:val="14"/>
                <w:szCs w:val="14"/>
                <w:b w:val="1"/>
                <w:bCs w:val="1"/>
                <w:color w:val="auto"/>
              </w:rPr>
              <w:t>Loans past due, still accruing</w:t>
            </w: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right"/>
              <w:ind w:right="154"/>
              <w:spacing w:after="0" w:line="142" w:lineRule="exact"/>
              <w:rPr>
                <w:sz w:val="20"/>
                <w:szCs w:val="20"/>
                <w:color w:val="auto"/>
              </w:rPr>
            </w:pPr>
            <w:r>
              <w:rPr>
                <w:rFonts w:ascii="Arial" w:cs="Arial" w:eastAsia="Arial" w:hAnsi="Arial"/>
                <w:sz w:val="14"/>
                <w:szCs w:val="14"/>
                <w:b w:val="1"/>
                <w:bCs w:val="1"/>
                <w:color w:val="auto"/>
                <w:w w:val="98"/>
              </w:rPr>
              <w:t>Non-accrual</w:t>
            </w:r>
          </w:p>
        </w:tc>
      </w:tr>
      <w:tr>
        <w:trPr>
          <w:trHeight w:val="142"/>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268"/>
              <w:spacing w:after="0" w:line="142" w:lineRule="exact"/>
              <w:rPr>
                <w:sz w:val="20"/>
                <w:szCs w:val="20"/>
                <w:color w:val="auto"/>
              </w:rPr>
            </w:pPr>
            <w:r>
              <w:rPr>
                <w:rFonts w:ascii="Arial" w:cs="Arial" w:eastAsia="Arial" w:hAnsi="Arial"/>
                <w:sz w:val="14"/>
                <w:szCs w:val="14"/>
                <w:b w:val="1"/>
                <w:bCs w:val="1"/>
                <w:color w:val="auto"/>
                <w:w w:val="92"/>
              </w:rPr>
              <w:t>30-59 Days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60-89 Days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w w:val="97"/>
              </w:rPr>
              <w:t>90+Days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Loans</w:t>
            </w:r>
          </w:p>
        </w:tc>
      </w:tr>
      <w:tr>
        <w:trPr>
          <w:trHeight w:val="183"/>
        </w:trPr>
        <w:tc>
          <w:tcPr>
            <w:tcW w:w="2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284</w:t>
            </w: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w:t>
            </w: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100</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20,994</w:t>
            </w:r>
          </w:p>
        </w:tc>
      </w:tr>
      <w:tr>
        <w:trPr>
          <w:trHeight w:val="189"/>
        </w:trPr>
        <w:tc>
          <w:tcPr>
            <w:tcW w:w="220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1,123</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86</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13,417</w:t>
            </w:r>
          </w:p>
        </w:tc>
      </w:tr>
      <w:tr>
        <w:trPr>
          <w:trHeight w:val="189"/>
        </w:trPr>
        <w:tc>
          <w:tcPr>
            <w:tcW w:w="2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651</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w:t>
            </w:r>
          </w:p>
        </w:tc>
      </w:tr>
      <w:tr>
        <w:trPr>
          <w:trHeight w:val="189"/>
        </w:trPr>
        <w:tc>
          <w:tcPr>
            <w:tcW w:w="220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4,111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1,478</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jc w:val="right"/>
              <w:spacing w:after="0" w:line="189" w:lineRule="exact"/>
              <w:rPr>
                <w:sz w:val="20"/>
                <w:szCs w:val="20"/>
                <w:color w:val="auto"/>
              </w:rPr>
            </w:pPr>
            <w:r>
              <w:rPr>
                <w:rFonts w:ascii="Arial" w:cs="Arial" w:eastAsia="Arial" w:hAnsi="Arial"/>
                <w:sz w:val="18"/>
                <w:szCs w:val="18"/>
                <w:color w:val="auto"/>
                <w:w w:val="99"/>
              </w:rPr>
              <w:t>264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5,931</w:t>
            </w:r>
          </w:p>
        </w:tc>
      </w:tr>
      <w:tr>
        <w:trPr>
          <w:trHeight w:val="189"/>
        </w:trPr>
        <w:tc>
          <w:tcPr>
            <w:tcW w:w="2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w:t>
            </w:r>
          </w:p>
        </w:tc>
      </w:tr>
      <w:tr>
        <w:trPr>
          <w:trHeight w:val="190"/>
        </w:trPr>
        <w:tc>
          <w:tcPr>
            <w:tcW w:w="2200" w:type="dxa"/>
            <w:vAlign w:val="bottom"/>
          </w:tcPr>
          <w:p>
            <w:pPr>
              <w:ind w:left="10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5,955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2,234</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364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40,395</w:t>
            </w:r>
          </w:p>
        </w:tc>
      </w:tr>
      <w:tr>
        <w:trPr>
          <w:trHeight w:val="338"/>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42"/>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10"/>
          </w:tcPr>
          <w:p>
            <w:pPr>
              <w:jc w:val="right"/>
              <w:ind w:right="287"/>
              <w:spacing w:after="0" w:line="142" w:lineRule="exact"/>
              <w:rPr>
                <w:sz w:val="20"/>
                <w:szCs w:val="20"/>
                <w:color w:val="auto"/>
              </w:rPr>
            </w:pPr>
            <w:r>
              <w:rPr>
                <w:rFonts w:ascii="Arial" w:cs="Arial" w:eastAsia="Arial" w:hAnsi="Arial"/>
                <w:sz w:val="14"/>
                <w:szCs w:val="14"/>
                <w:b w:val="1"/>
                <w:bCs w:val="1"/>
                <w:color w:val="auto"/>
                <w:w w:val="92"/>
              </w:rPr>
              <w:t>Loans past due, still accruing</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Non-accrual</w:t>
            </w:r>
          </w:p>
        </w:tc>
      </w:tr>
      <w:tr>
        <w:trPr>
          <w:trHeight w:val="142"/>
        </w:trPr>
        <w:tc>
          <w:tcPr>
            <w:tcW w:w="2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w w:val="92"/>
              </w:rPr>
              <w:t>30-59 Days</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5"/>
              </w:rPr>
              <w:t>60-89 Days</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90+Days</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Loans</w:t>
            </w:r>
          </w:p>
        </w:tc>
      </w:tr>
      <w:tr>
        <w:trPr>
          <w:trHeight w:val="183"/>
        </w:trPr>
        <w:tc>
          <w:tcPr>
            <w:tcW w:w="2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1,615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1,808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5,285</w:t>
            </w:r>
          </w:p>
        </w:tc>
      </w:tr>
      <w:tr>
        <w:trPr>
          <w:trHeight w:val="189"/>
        </w:trPr>
        <w:tc>
          <w:tcPr>
            <w:tcW w:w="220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1,856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2,737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11,997</w:t>
            </w:r>
          </w:p>
        </w:tc>
      </w:tr>
      <w:tr>
        <w:trPr>
          <w:trHeight w:val="189"/>
        </w:trPr>
        <w:tc>
          <w:tcPr>
            <w:tcW w:w="2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608</w:t>
            </w:r>
          </w:p>
        </w:tc>
      </w:tr>
      <w:tr>
        <w:trPr>
          <w:trHeight w:val="189"/>
        </w:trPr>
        <w:tc>
          <w:tcPr>
            <w:tcW w:w="220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4,840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1,355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933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6,714</w:t>
            </w:r>
          </w:p>
        </w:tc>
      </w:tr>
      <w:tr>
        <w:trPr>
          <w:trHeight w:val="189"/>
        </w:trPr>
        <w:tc>
          <w:tcPr>
            <w:tcW w:w="2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r>
      <w:tr>
        <w:trPr>
          <w:trHeight w:val="190"/>
        </w:trPr>
        <w:tc>
          <w:tcPr>
            <w:tcW w:w="2200" w:type="dxa"/>
            <w:vAlign w:val="bottom"/>
          </w:tcPr>
          <w:p>
            <w:pPr>
              <w:ind w:left="100"/>
              <w:spacing w:after="0" w:line="182"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8,477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60"/>
              <w:spacing w:after="0" w:line="182" w:lineRule="exact"/>
              <w:rPr>
                <w:sz w:val="20"/>
                <w:szCs w:val="20"/>
                <w:color w:val="auto"/>
              </w:rPr>
            </w:pPr>
            <w:r>
              <w:rPr>
                <w:rFonts w:ascii="Arial" w:cs="Arial" w:eastAsia="Arial" w:hAnsi="Arial"/>
                <w:sz w:val="18"/>
                <w:szCs w:val="18"/>
                <w:color w:val="auto"/>
              </w:rPr>
              <w:t>4,420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ind w:right="60"/>
              <w:spacing w:after="0" w:line="182" w:lineRule="exact"/>
              <w:rPr>
                <w:sz w:val="20"/>
                <w:szCs w:val="20"/>
                <w:color w:val="auto"/>
              </w:rPr>
            </w:pPr>
            <w:r>
              <w:rPr>
                <w:rFonts w:ascii="Arial" w:cs="Arial" w:eastAsia="Arial" w:hAnsi="Arial"/>
                <w:sz w:val="18"/>
                <w:szCs w:val="18"/>
                <w:color w:val="auto"/>
              </w:rPr>
              <w:t>2,741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24,624</w:t>
            </w:r>
          </w:p>
        </w:tc>
      </w:tr>
    </w:tbl>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A loan is classified as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Loans graded substandard or doubtful and loans classified as a troubled debt restructuring (“TDR”) are reviewed by the Company for potential impairment.</w:t>
      </w:r>
    </w:p>
    <w:p>
      <w:pPr>
        <w:spacing w:after="0" w:line="127" w:lineRule="exact"/>
        <w:rPr>
          <w:sz w:val="20"/>
          <w:szCs w:val="20"/>
          <w:color w:val="auto"/>
        </w:rPr>
      </w:pPr>
    </w:p>
    <w:p>
      <w:pPr>
        <w:ind w:right="140"/>
        <w:spacing w:after="0" w:line="214" w:lineRule="auto"/>
        <w:rPr>
          <w:sz w:val="20"/>
          <w:szCs w:val="20"/>
          <w:color w:val="auto"/>
        </w:rPr>
      </w:pPr>
      <w:r>
        <w:rPr>
          <w:rFonts w:ascii="Arial" w:cs="Arial" w:eastAsia="Arial" w:hAnsi="Arial"/>
          <w:sz w:val="18"/>
          <w:szCs w:val="18"/>
          <w:color w:val="auto"/>
        </w:rPr>
        <w:t>If a loan is impaired, impairment is measured on a loan-by-loan basis for commercial and construction loans based on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unless such loans are the subject of a restructuring agreement.</w:t>
      </w:r>
    </w:p>
    <w:p>
      <w:pPr>
        <w:spacing w:after="0" w:line="122"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The gross interest income that would have been recorded in the three and nine months ended September 30, 2018 if impaired loans had been current in accordance with their original terms was $0.4 million and $1.1 million, respectively. The gross interest income that would have been recorded in the three and nine months ended September 30, 2017 if impaired loans had been current in accordance with their original terms was $0.4 million and $0.9 million, respectively. The amount of interest collected on those loans and recognized on a cash basis that was included in interest income was insignificant for the three and nine months ended September 30, 2018 and 2017.</w:t>
      </w:r>
    </w:p>
    <w:p>
      <w:pPr>
        <w:spacing w:after="0" w:line="12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Company’s loan portfolio includes certain loans that have been modified in a TDR, where concessions have been granted to borrowers who have experienced financial difficulties. The Company will restructure a loan for its customer after evaluating whether the borrower is able to meet the terms of the loan over the long term, though unable to meet the terms of the loan in the near term due to individual circumstances.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 xml:space="preserve">The Company considers the customer’s past performance, previous and current credit history, the individual circumstances surrounding the customer’s current difficulties and the customer’s plan to meet the terms of the loan in the future prior to restructuring the terms of the loan. Generally, restructurings consist of short-term interest rate relief, short-term principal payment relief, short-term principal and interest payment relief or forbearance (debt forgiveness). A restructured loan that exceeds 90 days past due or is placed on non-accrual status is classified as non-performing. A summary of restructured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jc w:val="right"/>
              <w:ind w:right="51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2017</w:t>
            </w:r>
          </w:p>
        </w:tc>
      </w:tr>
      <w:tr>
        <w:trPr>
          <w:trHeight w:val="183"/>
        </w:trPr>
        <w:tc>
          <w:tcPr>
            <w:tcW w:w="3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 compliance with modified terms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8,695</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9,873</w:t>
            </w: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8"/>
                <w:szCs w:val="18"/>
                <w:color w:val="auto"/>
              </w:rPr>
              <w:t>30 — 89 days past due</w:t>
            </w:r>
          </w:p>
        </w:tc>
        <w:tc>
          <w:tcPr>
            <w:tcW w:w="260" w:type="dxa"/>
            <w:vAlign w:val="bottom"/>
          </w:tcPr>
          <w:p>
            <w:pPr>
              <w:spacing w:after="0"/>
              <w:rPr>
                <w:sz w:val="16"/>
                <w:szCs w:val="16"/>
                <w:color w:val="auto"/>
              </w:rPr>
            </w:pPr>
          </w:p>
        </w:tc>
        <w:tc>
          <w:tcPr>
            <w:tcW w:w="178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Arial" w:cs="Arial" w:eastAsia="Arial" w:hAnsi="Arial"/>
                <w:sz w:val="18"/>
                <w:szCs w:val="18"/>
                <w:color w:val="auto"/>
              </w:rPr>
              <w:t>108</w:t>
            </w: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Included in non-performing loans</w:t>
            </w:r>
          </w:p>
        </w:tc>
        <w:tc>
          <w:tcPr>
            <w:tcW w:w="2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1,541</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1,919</w:t>
            </w:r>
          </w:p>
        </w:tc>
      </w:tr>
      <w:tr>
        <w:trPr>
          <w:trHeight w:val="190"/>
        </w:trPr>
        <w:tc>
          <w:tcPr>
            <w:tcW w:w="3200" w:type="dxa"/>
            <w:vAlign w:val="bottom"/>
          </w:tcPr>
          <w:p>
            <w:pPr>
              <w:ind w:left="100"/>
              <w:spacing w:after="0" w:line="182"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10,236</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11,900</w:t>
            </w:r>
          </w:p>
        </w:tc>
      </w:tr>
    </w:tbl>
    <w:p>
      <w:pPr>
        <w:spacing w:after="0" w:line="148"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fair value of the TDR is less than the recorded investment in the loan, impairment is recognized through an allowance estimate in the period of the modification and in periods subsequent to the modification.</w:t>
      </w:r>
    </w:p>
    <w:p>
      <w:pPr>
        <w:spacing w:after="0" w:line="120" w:lineRule="exact"/>
        <w:rPr>
          <w:sz w:val="20"/>
          <w:szCs w:val="20"/>
          <w:color w:val="auto"/>
        </w:rPr>
      </w:pPr>
    </w:p>
    <w:p>
      <w:pPr>
        <w:ind w:right="340"/>
        <w:spacing w:after="0" w:line="224" w:lineRule="auto"/>
        <w:rPr>
          <w:sz w:val="20"/>
          <w:szCs w:val="20"/>
          <w:color w:val="auto"/>
        </w:rPr>
      </w:pPr>
      <w:r>
        <w:rPr>
          <w:rFonts w:ascii="Arial" w:cs="Arial" w:eastAsia="Arial" w:hAnsi="Arial"/>
          <w:sz w:val="18"/>
          <w:szCs w:val="18"/>
          <w:color w:val="auto"/>
        </w:rPr>
        <w:t>There were no loans classified as TDRs during the three months ended September 30, 2018. Loans classified as TDRs during the nine months ended September 30, 2018 included one retail real estate modification for short-term interest rate relief, with a recorded investment of $0.1 million.</w:t>
      </w:r>
    </w:p>
    <w:p>
      <w:pPr>
        <w:spacing w:after="0" w:line="123"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Loans classified as TDRs during the three months ended September 30, 2017 included one retail real estate modification for short-term interest rate relief, with a recorded investment of $0.2 million. Loans classified as TDRs during the nine months ended September 30, 2017 included one commercial modification for short-term principal payment relief, with a recorded investment of $1.7 million, and two retail real estate modifications for short-term interest rate relief, with a recorded investment of $0.5 million.</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gross interest income that would have been recorded in the three and nine months ended September 30, 2018 and 2017 if TDRs had performed in accordance with their original terms compared with their modified terms was insignificant.</w:t>
      </w:r>
    </w:p>
    <w:p>
      <w:pPr>
        <w:spacing w:after="0" w:line="8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There were no TDRs that were entered into during the last twelve months that were subsequently classified as non-performing and had payment defaults (a default occurs when a loan is 90 days or more past due or transferred to non-accrual) during the three and nine months ended September 30, 2018.</w:t>
      </w:r>
    </w:p>
    <w:p>
      <w:pPr>
        <w:spacing w:after="0" w:line="123" w:lineRule="exact"/>
        <w:rPr>
          <w:sz w:val="20"/>
          <w:szCs w:val="20"/>
          <w:color w:val="auto"/>
        </w:rPr>
      </w:pPr>
    </w:p>
    <w:p>
      <w:pPr>
        <w:ind w:right="640"/>
        <w:spacing w:after="0" w:line="258" w:lineRule="auto"/>
        <w:rPr>
          <w:sz w:val="20"/>
          <w:szCs w:val="20"/>
          <w:color w:val="auto"/>
        </w:rPr>
      </w:pPr>
      <w:r>
        <w:rPr>
          <w:rFonts w:ascii="Arial" w:cs="Arial" w:eastAsia="Arial" w:hAnsi="Arial"/>
          <w:sz w:val="17"/>
          <w:szCs w:val="17"/>
          <w:color w:val="auto"/>
        </w:rPr>
        <w:t>There were no TDRs that were entered into during the prior twelve months that were subsequently classified as non-performing and had payment defaults during the three and nine months ended September 30, 2017.</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13" w:lineRule="auto"/>
        <w:rPr>
          <w:sz w:val="20"/>
          <w:szCs w:val="20"/>
          <w:color w:val="auto"/>
        </w:rPr>
      </w:pPr>
      <w:r>
        <w:rPr>
          <w:rFonts w:ascii="Arial" w:cs="Arial" w:eastAsia="Arial" w:hAnsi="Arial"/>
          <w:sz w:val="18"/>
          <w:szCs w:val="18"/>
          <w:color w:val="auto"/>
        </w:rPr>
        <w:t xml:space="preserve">The following tables provide details of loans identified as impaired, segregated by category.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7"/>
        </w:trPr>
        <w:tc>
          <w:tcPr>
            <w:tcW w:w="19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jc w:val="center"/>
              <w:ind w:right="300"/>
              <w:spacing w:after="0" w:line="157" w:lineRule="exact"/>
              <w:rPr>
                <w:sz w:val="20"/>
                <w:szCs w:val="20"/>
                <w:color w:val="auto"/>
              </w:rPr>
            </w:pPr>
            <w:r>
              <w:rPr>
                <w:rFonts w:ascii="Arial" w:cs="Arial" w:eastAsia="Arial" w:hAnsi="Arial"/>
                <w:sz w:val="14"/>
                <w:szCs w:val="14"/>
                <w:b w:val="1"/>
                <w:bCs w:val="1"/>
                <w:color w:val="auto"/>
                <w:w w:val="91"/>
              </w:rPr>
              <w:t>September 30, 2018</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Unpaid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Recorded</w:t>
            </w:r>
          </w:p>
        </w:tc>
        <w:tc>
          <w:tcPr>
            <w:tcW w:w="140" w:type="dxa"/>
            <w:vAlign w:val="bottom"/>
          </w:tcPr>
          <w:p>
            <w:pPr>
              <w:spacing w:after="0"/>
              <w:rPr>
                <w:sz w:val="10"/>
                <w:szCs w:val="10"/>
                <w:color w:val="auto"/>
              </w:rPr>
            </w:pPr>
          </w:p>
        </w:tc>
        <w:tc>
          <w:tcPr>
            <w:tcW w:w="9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9"/>
              </w:rPr>
              <w:t>Recorded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4"/>
              </w:rPr>
              <w:t>Related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with No</w:t>
            </w:r>
          </w:p>
        </w:tc>
        <w:tc>
          <w:tcPr>
            <w:tcW w:w="14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4"/>
              </w:rPr>
              <w:t>Investment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4"/>
                <w:szCs w:val="14"/>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83"/>
        </w:trPr>
        <w:tc>
          <w:tcPr>
            <w:tcW w:w="1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2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24,479</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9,518</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11,713</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21,231</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3,691</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189"/>
        </w:trPr>
        <w:tc>
          <w:tcPr>
            <w:tcW w:w="198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19,994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12,851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6,197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19,048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1,572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18,528</w:t>
            </w:r>
          </w:p>
        </w:tc>
        <w:tc>
          <w:tcPr>
            <w:tcW w:w="0" w:type="dxa"/>
            <w:vAlign w:val="bottom"/>
          </w:tcPr>
          <w:p>
            <w:pPr>
              <w:spacing w:after="0"/>
              <w:rPr>
                <w:sz w:val="1"/>
                <w:szCs w:val="1"/>
                <w:color w:val="auto"/>
              </w:rPr>
            </w:pPr>
          </w:p>
        </w:tc>
      </w:tr>
      <w:tr>
        <w:trPr>
          <w:trHeight w:val="161"/>
        </w:trPr>
        <w:tc>
          <w:tcPr>
            <w:tcW w:w="19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189"/>
        </w:trPr>
        <w:tc>
          <w:tcPr>
            <w:tcW w:w="198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13,395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12,103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12,203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0"/>
        </w:trPr>
        <w:tc>
          <w:tcPr>
            <w:tcW w:w="1980" w:type="dxa"/>
            <w:vAlign w:val="bottom"/>
          </w:tcPr>
          <w:p>
            <w:pPr>
              <w:ind w:left="12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58,414</w:t>
            </w:r>
          </w:p>
        </w:tc>
        <w:tc>
          <w:tcPr>
            <w:tcW w:w="20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34,909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18,010</w:t>
            </w:r>
          </w:p>
        </w:tc>
        <w:tc>
          <w:tcPr>
            <w:tcW w:w="2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52,919</w:t>
            </w:r>
          </w:p>
        </w:tc>
        <w:tc>
          <w:tcPr>
            <w:tcW w:w="2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5,363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45,153</w:t>
            </w:r>
          </w:p>
        </w:tc>
        <w:tc>
          <w:tcPr>
            <w:tcW w:w="0" w:type="dxa"/>
            <w:vAlign w:val="bottom"/>
          </w:tcPr>
          <w:p>
            <w:pPr>
              <w:spacing w:after="0"/>
              <w:rPr>
                <w:sz w:val="1"/>
                <w:szCs w:val="1"/>
                <w:color w:val="auto"/>
              </w:rPr>
            </w:pPr>
          </w:p>
        </w:tc>
      </w:tr>
      <w:tr>
        <w:trPr>
          <w:trHeight w:val="338"/>
        </w:trPr>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Unpaid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Recorded</w:t>
            </w:r>
          </w:p>
        </w:tc>
        <w:tc>
          <w:tcPr>
            <w:tcW w:w="140" w:type="dxa"/>
            <w:vAlign w:val="bottom"/>
          </w:tcPr>
          <w:p>
            <w:pPr>
              <w:spacing w:after="0"/>
              <w:rPr>
                <w:sz w:val="10"/>
                <w:szCs w:val="10"/>
                <w:color w:val="auto"/>
              </w:rPr>
            </w:pPr>
          </w:p>
        </w:tc>
        <w:tc>
          <w:tcPr>
            <w:tcW w:w="9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9"/>
              </w:rPr>
              <w:t>Recorded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4"/>
              </w:rPr>
              <w:t>Related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with No</w:t>
            </w:r>
          </w:p>
        </w:tc>
        <w:tc>
          <w:tcPr>
            <w:tcW w:w="14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4"/>
              </w:rPr>
              <w:t>Investment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4"/>
                <w:szCs w:val="14"/>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83"/>
        </w:trPr>
        <w:tc>
          <w:tcPr>
            <w:tcW w:w="1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10,604</w:t>
            </w: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7,192</w:t>
            </w: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191</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7,383</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138</w:t>
            </w:r>
          </w:p>
        </w:tc>
        <w:tc>
          <w:tcPr>
            <w:tcW w:w="24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189"/>
        </w:trPr>
        <w:tc>
          <w:tcPr>
            <w:tcW w:w="198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22,218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16,472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1,964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18,436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704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15,195</w:t>
            </w:r>
          </w:p>
        </w:tc>
        <w:tc>
          <w:tcPr>
            <w:tcW w:w="0" w:type="dxa"/>
            <w:vAlign w:val="bottom"/>
          </w:tcPr>
          <w:p>
            <w:pPr>
              <w:spacing w:after="0"/>
              <w:rPr>
                <w:sz w:val="1"/>
                <w:szCs w:val="1"/>
                <w:color w:val="auto"/>
              </w:rPr>
            </w:pPr>
          </w:p>
        </w:tc>
      </w:tr>
      <w:tr>
        <w:trPr>
          <w:trHeight w:val="161"/>
        </w:trPr>
        <w:tc>
          <w:tcPr>
            <w:tcW w:w="19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189"/>
        </w:trPr>
        <w:tc>
          <w:tcPr>
            <w:tcW w:w="198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18,517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14,957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14,982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13,009</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0"/>
        </w:trPr>
        <w:tc>
          <w:tcPr>
            <w:tcW w:w="1980" w:type="dxa"/>
            <w:vAlign w:val="bottom"/>
          </w:tcPr>
          <w:p>
            <w:pPr>
              <w:ind w:left="120"/>
              <w:spacing w:after="0" w:line="182"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52,419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39,657</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2,180</w:t>
            </w:r>
          </w:p>
        </w:tc>
        <w:tc>
          <w:tcPr>
            <w:tcW w:w="2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41,837</w:t>
            </w:r>
          </w:p>
        </w:tc>
        <w:tc>
          <w:tcPr>
            <w:tcW w:w="2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867</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39,124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80"/>
        <w:spacing w:after="0" w:line="224"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144"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The allowance for loan losses represents an estimate of the amount of probable losses believed to be inherent in the Company’s loan portfolio at the Consolidated Balance Sheet date. The allowance for loan losses is calculated by segmenting loans geographically, by product type and by risk classification.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September 30, 2018 and December 31, 2017.</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general portion of the Company’s allowance contains two components: (i) a component for historical loss ratios, and</w:t>
      </w:r>
    </w:p>
    <w:p>
      <w:pPr>
        <w:ind w:right="60" w:firstLine="3"/>
        <w:spacing w:after="0" w:line="226"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component for adversely graded loans. The historical loss ratio component is an annualized loss rate calculated using a sum-of-years digits weighted 20-quarter historical average.</w:t>
      </w:r>
    </w:p>
    <w:p>
      <w:pPr>
        <w:spacing w:after="0" w:line="12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Company’s component for adversely graded loans attempts to quantify the additional risk of loss inherent in the special mention and substandard portfolios. The substandard portfolio has an additional allocation of 3.0% placed on such loans, which is an estimate of the additional loss inherent in these loan grades based upon a review of overall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historical charge-offs. As of September 30, 2018, the Company believed this reserve remained adequate. Special mention loans have an additional allocation of 1.0% placed on such loans, which is an estimate of the additional loss inherent in these loan grades. As of September 30, 2018, the Company believed this reserve remained adequate.</w:t>
      </w:r>
    </w:p>
    <w:p>
      <w:pPr>
        <w:spacing w:after="0" w:line="121"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The specific portion of the Company’s allowance relates to loans that are impaired, which includes non-performing loans, TDRs and other loans determined to be impaired. Impaired loans are excluded from the determination of the general allowance for non-impaired loans and are allocated specific reserves as discussed above.</w:t>
      </w:r>
    </w:p>
    <w:p>
      <w:pPr>
        <w:spacing w:after="0" w:line="121"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22"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The general reserve quantitative allocation that is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w:t>
      </w:r>
    </w:p>
    <w:p>
      <w:pPr>
        <w:spacing w:after="0" w:line="1" w:lineRule="exact"/>
        <w:rPr>
          <w:sz w:val="20"/>
          <w:szCs w:val="20"/>
          <w:color w:val="auto"/>
        </w:rPr>
      </w:pPr>
    </w:p>
    <w:p>
      <w:pPr>
        <w:ind w:right="60" w:firstLine="3"/>
        <w:spacing w:after="0" w:line="239"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Macro and Local Economic Factors; (vi) Impact of Competition, Legal &amp; Regulatory Issues; (vii) Nature and Volume of Loan Portfolio; (viii) Concentrations of Credit; (ix) Net Charge-Off Trends; and (x) Non-Accrual, Past Due and Classified Trends. Management evaluates the probable impact from the degree of risk that each one of these components has on the quality of the loan portfolio on a quarterly basis. Based on each component’s risk factor, a qualitative adjustment to the reserve may be applied to the appropriate loan categories. The Company monitors its qualitative factors on a quarterly basis.</w:t>
      </w:r>
    </w:p>
    <w:p>
      <w:pPr>
        <w:spacing w:after="0" w:line="121"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Company holds acquired loans from business combinations with uncollected principal balances. These loans are carried net of a fair value adjustment for credit risk and interest rates and are only included in the allowance calculation to the extent that the reserve requirement exceeds the fair value adjustment. As the acquired loans renew, it is generally necessary to establish an allowance, which represents an amount that, in management’s opinion, will be adequate to absorb probable credit losses in such loans. The balance of all acquired loans as of September 30, 2018 totaled approximately $1.3 billion.</w:t>
      </w:r>
    </w:p>
    <w:p>
      <w:pPr>
        <w:spacing w:after="0" w:line="11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The following table details activity in the allowance for loan losses.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rPr>
              <w:t>As of and for the Three Months Ended September 30, 2018</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Commercial</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w w:val="99"/>
              </w:rPr>
              <w:t>Real Estate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Retail Real</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Retail Other</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Construction</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Estate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Beginning balance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17,586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23,047</w:t>
            </w: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2,915</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9,293</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464</w:t>
            </w: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53,305</w:t>
            </w:r>
          </w:p>
        </w:tc>
        <w:tc>
          <w:tcPr>
            <w:tcW w:w="0" w:type="dxa"/>
            <w:vAlign w:val="bottom"/>
          </w:tcPr>
          <w:p>
            <w:pPr>
              <w:spacing w:after="0"/>
              <w:rPr>
                <w:sz w:val="1"/>
                <w:szCs w:val="1"/>
                <w:color w:val="auto"/>
              </w:rPr>
            </w:pPr>
          </w:p>
        </w:tc>
      </w:tr>
      <w:tr>
        <w:trPr>
          <w:trHeight w:val="189"/>
        </w:trPr>
        <w:tc>
          <w:tcPr>
            <w:tcW w:w="2100" w:type="dxa"/>
            <w:vAlign w:val="bottom"/>
          </w:tcPr>
          <w:p>
            <w:pPr>
              <w:spacing w:after="0" w:line="189" w:lineRule="exact"/>
              <w:rPr>
                <w:sz w:val="20"/>
                <w:szCs w:val="20"/>
                <w:color w:val="auto"/>
              </w:rPr>
            </w:pPr>
            <w:r>
              <w:rPr>
                <w:rFonts w:ascii="Arial" w:cs="Arial" w:eastAsia="Arial" w:hAnsi="Arial"/>
                <w:sz w:val="18"/>
                <w:szCs w:val="18"/>
                <w:color w:val="auto"/>
              </w:rPr>
              <w:t>Provision for loan losses</w:t>
            </w:r>
          </w:p>
        </w:tc>
        <w:tc>
          <w:tcPr>
            <w:tcW w:w="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2,388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(1,291)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(399)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Arial" w:cs="Arial" w:eastAsia="Arial" w:hAnsi="Arial"/>
                <w:sz w:val="18"/>
                <w:szCs w:val="18"/>
                <w:color w:val="auto"/>
              </w:rPr>
              <w:t>75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Charged-off</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Recoveries</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423</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218</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190"/>
        </w:trPr>
        <w:tc>
          <w:tcPr>
            <w:tcW w:w="21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Ending balance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18,966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21,752</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2,932</w:t>
            </w: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8,622</w:t>
            </w: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471</w:t>
            </w:r>
          </w:p>
        </w:tc>
        <w:tc>
          <w:tcPr>
            <w:tcW w:w="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52,743</w:t>
            </w:r>
          </w:p>
        </w:tc>
        <w:tc>
          <w:tcPr>
            <w:tcW w:w="0" w:type="dxa"/>
            <w:vAlign w:val="bottom"/>
          </w:tcPr>
          <w:p>
            <w:pPr>
              <w:spacing w:after="0"/>
              <w:rPr>
                <w:sz w:val="1"/>
                <w:szCs w:val="1"/>
                <w:color w:val="auto"/>
              </w:rPr>
            </w:pPr>
          </w:p>
        </w:tc>
      </w:tr>
      <w:tr>
        <w:trPr>
          <w:trHeight w:val="338"/>
        </w:trPr>
        <w:tc>
          <w:tcPr>
            <w:tcW w:w="2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3"/>
          </w:tcPr>
          <w:p>
            <w:pPr>
              <w:jc w:val="right"/>
              <w:ind w:right="27"/>
              <w:spacing w:after="0"/>
              <w:rPr>
                <w:sz w:val="20"/>
                <w:szCs w:val="20"/>
                <w:color w:val="auto"/>
              </w:rPr>
            </w:pPr>
            <w:r>
              <w:rPr>
                <w:rFonts w:ascii="Arial" w:cs="Arial" w:eastAsia="Arial" w:hAnsi="Arial"/>
                <w:sz w:val="14"/>
                <w:szCs w:val="14"/>
                <w:b w:val="1"/>
                <w:bCs w:val="1"/>
                <w:color w:val="auto"/>
              </w:rPr>
              <w:t>As of and for the Nine Months Ended September 30, 2018</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Commercial</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54"/>
              <w:spacing w:after="0" w:line="119" w:lineRule="exact"/>
              <w:rPr>
                <w:sz w:val="20"/>
                <w:szCs w:val="20"/>
                <w:color w:val="auto"/>
              </w:rPr>
            </w:pPr>
            <w:r>
              <w:rPr>
                <w:rFonts w:ascii="Arial" w:cs="Arial" w:eastAsia="Arial" w:hAnsi="Arial"/>
                <w:sz w:val="13"/>
                <w:szCs w:val="13"/>
                <w:b w:val="1"/>
                <w:bCs w:val="1"/>
                <w:color w:val="auto"/>
                <w:w w:val="96"/>
              </w:rPr>
              <w:t>Real Estate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Retail Real</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Retail Other</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Construction</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Estate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Beginning balance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14,779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21,813</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2,861</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13,783</w:t>
            </w:r>
          </w:p>
        </w:tc>
        <w:tc>
          <w:tcPr>
            <w:tcW w:w="2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gridSpan w:val="2"/>
            <w:shd w:val="clear" w:color="auto" w:fill="CCEEFF"/>
          </w:tcPr>
          <w:p>
            <w:pPr>
              <w:jc w:val="right"/>
              <w:ind w:right="367"/>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346</w:t>
            </w: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189"/>
        </w:trPr>
        <w:tc>
          <w:tcPr>
            <w:tcW w:w="2100" w:type="dxa"/>
            <w:vAlign w:val="bottom"/>
          </w:tcPr>
          <w:p>
            <w:pPr>
              <w:spacing w:after="0" w:line="189" w:lineRule="exact"/>
              <w:rPr>
                <w:sz w:val="20"/>
                <w:szCs w:val="20"/>
                <w:color w:val="auto"/>
              </w:rPr>
            </w:pPr>
            <w:r>
              <w:rPr>
                <w:rFonts w:ascii="Arial" w:cs="Arial" w:eastAsia="Arial" w:hAnsi="Arial"/>
                <w:sz w:val="18"/>
                <w:szCs w:val="18"/>
                <w:color w:val="auto"/>
              </w:rPr>
              <w:t>Provision for loan losses</w:t>
            </w:r>
          </w:p>
        </w:tc>
        <w:tc>
          <w:tcPr>
            <w:tcW w:w="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7,111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1,154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(4,609)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Arial" w:cs="Arial" w:eastAsia="Arial" w:hAnsi="Arial"/>
                <w:sz w:val="18"/>
                <w:szCs w:val="18"/>
                <w:color w:val="auto"/>
              </w:rPr>
              <w:t>346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Charged-off</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(3,841)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(1,487)</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(1,637)</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5"/>
              </w:rPr>
              <w:t>(608)</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Recoveries</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272</w:t>
            </w: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146</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1,085</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387</w:t>
            </w: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190"/>
        </w:trPr>
        <w:tc>
          <w:tcPr>
            <w:tcW w:w="21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Ending balance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18,966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21,752</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2,932</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8,622</w:t>
            </w:r>
          </w:p>
        </w:tc>
        <w:tc>
          <w:tcPr>
            <w:tcW w:w="2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ind w:right="367"/>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471</w:t>
            </w: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52,743</w:t>
            </w:r>
          </w:p>
        </w:tc>
        <w:tc>
          <w:tcPr>
            <w:tcW w:w="0" w:type="dxa"/>
            <w:vAlign w:val="bottom"/>
          </w:tcPr>
          <w:p>
            <w:pPr>
              <w:spacing w:after="0"/>
              <w:rPr>
                <w:sz w:val="1"/>
                <w:szCs w:val="1"/>
                <w:color w:val="auto"/>
              </w:rPr>
            </w:pPr>
          </w:p>
        </w:tc>
      </w:tr>
      <w:tr>
        <w:trPr>
          <w:trHeight w:val="810"/>
        </w:trPr>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30</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As of and for the Three Months Ended September 30, 2017</w:t>
            </w: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2"/>
              </w:rPr>
              <w:t>Commercial</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w w:val="99"/>
              </w:rPr>
              <w:t>Commercial</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auto"/>
                <w:w w:val="99"/>
              </w:rPr>
              <w:t>Real Estate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Retail Real</w:t>
            </w:r>
          </w:p>
        </w:tc>
        <w:tc>
          <w:tcPr>
            <w:tcW w:w="12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Retail Other</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Real Estate</w:t>
            </w: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Construction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Estate</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12,928</w:t>
            </w: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20,124</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2,161</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13,681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356"/>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307</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49,201</w:t>
            </w:r>
          </w:p>
        </w:tc>
        <w:tc>
          <w:tcPr>
            <w:tcW w:w="0" w:type="dxa"/>
            <w:vAlign w:val="bottom"/>
          </w:tcPr>
          <w:p>
            <w:pPr>
              <w:spacing w:after="0"/>
              <w:rPr>
                <w:sz w:val="1"/>
                <w:szCs w:val="1"/>
                <w:color w:val="auto"/>
              </w:rPr>
            </w:pPr>
          </w:p>
        </w:tc>
      </w:tr>
      <w:tr>
        <w:trPr>
          <w:trHeight w:val="189"/>
        </w:trPr>
        <w:tc>
          <w:tcPr>
            <w:tcW w:w="2140" w:type="dxa"/>
            <w:vAlign w:val="bottom"/>
          </w:tcPr>
          <w:p>
            <w:pPr>
              <w:spacing w:after="0" w:line="189" w:lineRule="exact"/>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336</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418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654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jc w:val="right"/>
              <w:spacing w:after="0" w:line="189"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Charged-off</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189"/>
        </w:trPr>
        <w:tc>
          <w:tcPr>
            <w:tcW w:w="21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Recoveries</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318</w:t>
            </w:r>
          </w:p>
        </w:tc>
        <w:tc>
          <w:tcPr>
            <w:tcW w:w="2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403</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36</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45</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190"/>
        </w:trPr>
        <w:tc>
          <w:tcPr>
            <w:tcW w:w="21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13,522</w:t>
            </w: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20,876</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2,261</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14,076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56"/>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300</w:t>
            </w: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51,035</w:t>
            </w:r>
          </w:p>
        </w:tc>
        <w:tc>
          <w:tcPr>
            <w:tcW w:w="0" w:type="dxa"/>
            <w:vAlign w:val="bottom"/>
          </w:tcPr>
          <w:p>
            <w:pPr>
              <w:spacing w:after="0"/>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13"/>
          </w:tcPr>
          <w:p>
            <w:pPr>
              <w:jc w:val="right"/>
              <w:ind w:right="640"/>
              <w:spacing w:after="0"/>
              <w:rPr>
                <w:sz w:val="20"/>
                <w:szCs w:val="20"/>
                <w:color w:val="auto"/>
              </w:rPr>
            </w:pPr>
            <w:r>
              <w:rPr>
                <w:rFonts w:ascii="Arial" w:cs="Arial" w:eastAsia="Arial" w:hAnsi="Arial"/>
                <w:sz w:val="14"/>
                <w:szCs w:val="14"/>
                <w:b w:val="1"/>
                <w:bCs w:val="1"/>
                <w:color w:val="auto"/>
              </w:rPr>
              <w:t>As of and for the Nine Months Ended September 30, 2017</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42"/>
        </w:trPr>
        <w:tc>
          <w:tcPr>
            <w:tcW w:w="2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7"/>
              </w:rPr>
              <w:t>Retail Real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2"/>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92"/>
              </w:rPr>
              <w:t>Commercial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Real Estate</w:t>
            </w:r>
          </w:p>
        </w:tc>
        <w:tc>
          <w:tcPr>
            <w:tcW w:w="110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Construction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Estate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5"/>
              </w:rPr>
              <w:t>Retail Other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r>
      <w:tr>
        <w:trPr>
          <w:trHeight w:val="183"/>
        </w:trPr>
        <w:tc>
          <w:tcPr>
            <w:tcW w:w="21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13,303</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20,623</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1,870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11,648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47,795</w:t>
            </w:r>
          </w:p>
        </w:tc>
      </w:tr>
      <w:tr>
        <w:trPr>
          <w:trHeight w:val="189"/>
        </w:trPr>
        <w:tc>
          <w:tcPr>
            <w:tcW w:w="2100" w:type="dxa"/>
            <w:vAlign w:val="bottom"/>
          </w:tcPr>
          <w:p>
            <w:pPr>
              <w:spacing w:after="0" w:line="189" w:lineRule="exact"/>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(1,885)</w:t>
            </w: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1,477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2,894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2,494</w:t>
            </w:r>
          </w:p>
        </w:tc>
      </w:tr>
      <w:tr>
        <w:trPr>
          <w:trHeight w:val="189"/>
        </w:trPr>
        <w:tc>
          <w:tcPr>
            <w:tcW w:w="2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Charged-off</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(1,758)</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(1,574)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(3,878)</w:t>
            </w:r>
          </w:p>
        </w:tc>
      </w:tr>
      <w:tr>
        <w:trPr>
          <w:trHeight w:val="189"/>
        </w:trPr>
        <w:tc>
          <w:tcPr>
            <w:tcW w:w="21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Recoveries</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2,345</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534</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4,624</w:t>
            </w:r>
          </w:p>
        </w:tc>
      </w:tr>
      <w:tr>
        <w:trPr>
          <w:trHeight w:val="190"/>
        </w:trPr>
        <w:tc>
          <w:tcPr>
            <w:tcW w:w="21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13,522</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20,876</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2,261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14,076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51,035</w:t>
            </w:r>
          </w:p>
        </w:tc>
      </w:tr>
    </w:tbl>
    <w:p>
      <w:pPr>
        <w:spacing w:after="0" w:line="148" w:lineRule="exact"/>
        <w:rPr>
          <w:sz w:val="20"/>
          <w:szCs w:val="20"/>
          <w:color w:val="auto"/>
        </w:rPr>
      </w:pPr>
    </w:p>
    <w:p>
      <w:pPr>
        <w:jc w:val="both"/>
        <w:ind w:right="20"/>
        <w:spacing w:after="0" w:line="223" w:lineRule="auto"/>
        <w:rPr>
          <w:sz w:val="20"/>
          <w:szCs w:val="20"/>
          <w:color w:val="auto"/>
        </w:rPr>
      </w:pPr>
      <w:r>
        <w:rPr>
          <w:rFonts w:ascii="Arial" w:cs="Arial" w:eastAsia="Arial" w:hAnsi="Arial"/>
          <w:sz w:val="18"/>
          <w:szCs w:val="18"/>
          <w:color w:val="auto"/>
        </w:rPr>
        <w:t xml:space="preserve">The following table presents the allowance for loan losses and recorded investments in portfolio loans by category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6"/>
        </w:trPr>
        <w:tc>
          <w:tcPr>
            <w:tcW w:w="2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ind w:left="80"/>
              <w:spacing w:after="0" w:line="157" w:lineRule="exact"/>
              <w:rPr>
                <w:sz w:val="20"/>
                <w:szCs w:val="20"/>
                <w:color w:val="auto"/>
              </w:rPr>
            </w:pPr>
            <w:r>
              <w:rPr>
                <w:rFonts w:ascii="Arial" w:cs="Arial" w:eastAsia="Arial" w:hAnsi="Arial"/>
                <w:sz w:val="14"/>
                <w:szCs w:val="14"/>
                <w:b w:val="1"/>
                <w:bCs w:val="1"/>
                <w:color w:val="auto"/>
              </w:rPr>
              <w:t>As of September 30, 2018</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2"/>
              </w:rPr>
              <w:t>Commercial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84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Real Estate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0"/>
                <w:szCs w:val="10"/>
                <w:color w:val="auto"/>
              </w:rPr>
            </w:pPr>
          </w:p>
        </w:tc>
        <w:tc>
          <w:tcPr>
            <w:tcW w:w="8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Estate</w:t>
            </w: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Amount allocated to:</w:t>
            </w: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920" w:type="dxa"/>
            <w:vAlign w:val="bottom"/>
          </w:tcPr>
          <w:p>
            <w:pPr>
              <w:spacing w:after="0" w:line="161" w:lineRule="exact"/>
              <w:rPr>
                <w:sz w:val="20"/>
                <w:szCs w:val="20"/>
                <w:color w:val="auto"/>
              </w:rPr>
            </w:pPr>
            <w:r>
              <w:rPr>
                <w:rFonts w:ascii="Arial" w:cs="Arial" w:eastAsia="Arial" w:hAnsi="Arial"/>
                <w:sz w:val="18"/>
                <w:szCs w:val="18"/>
                <w:color w:val="auto"/>
              </w:rPr>
              <w:t>Loans individually evaluated for</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920" w:type="dxa"/>
            <w:vAlign w:val="bottom"/>
          </w:tcPr>
          <w:p>
            <w:pPr>
              <w:ind w:left="100"/>
              <w:spacing w:after="0"/>
              <w:rPr>
                <w:sz w:val="20"/>
                <w:szCs w:val="20"/>
                <w:color w:val="auto"/>
              </w:rPr>
            </w:pPr>
            <w:r>
              <w:rPr>
                <w:rFonts w:ascii="Arial" w:cs="Arial" w:eastAsia="Arial" w:hAnsi="Arial"/>
                <w:sz w:val="18"/>
                <w:szCs w:val="18"/>
                <w:color w:val="auto"/>
              </w:rPr>
              <w:t>impairment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1,572</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161"/>
        </w:trPr>
        <w:tc>
          <w:tcPr>
            <w:tcW w:w="292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Loans collectively evaluated for</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47,380</w:t>
            </w:r>
          </w:p>
        </w:tc>
        <w:tc>
          <w:tcPr>
            <w:tcW w:w="0" w:type="dxa"/>
            <w:vAlign w:val="bottom"/>
          </w:tcPr>
          <w:p>
            <w:pPr>
              <w:spacing w:after="0"/>
              <w:rPr>
                <w:sz w:val="1"/>
                <w:szCs w:val="1"/>
                <w:color w:val="auto"/>
              </w:rPr>
            </w:pPr>
          </w:p>
        </w:tc>
      </w:tr>
      <w:tr>
        <w:trPr>
          <w:trHeight w:val="190"/>
        </w:trPr>
        <w:tc>
          <w:tcPr>
            <w:tcW w:w="29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18,966</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21,752</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2,932</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8,622</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52,743</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line="189" w:lineRule="exact"/>
              <w:rPr>
                <w:sz w:val="20"/>
                <w:szCs w:val="20"/>
                <w:color w:val="auto"/>
              </w:rPr>
            </w:pPr>
            <w:r>
              <w:rPr>
                <w:rFonts w:ascii="Arial" w:cs="Arial" w:eastAsia="Arial" w:hAnsi="Arial"/>
                <w:sz w:val="18"/>
                <w:szCs w:val="18"/>
                <w:color w:val="auto"/>
              </w:rPr>
              <w:t>Loans: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Loans individually evaluated for</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50,043</w:t>
            </w:r>
          </w:p>
        </w:tc>
        <w:tc>
          <w:tcPr>
            <w:tcW w:w="0" w:type="dxa"/>
            <w:vAlign w:val="bottom"/>
          </w:tcPr>
          <w:p>
            <w:pPr>
              <w:spacing w:after="0"/>
              <w:rPr>
                <w:sz w:val="1"/>
                <w:szCs w:val="1"/>
                <w:color w:val="auto"/>
              </w:rPr>
            </w:pPr>
          </w:p>
        </w:tc>
      </w:tr>
      <w:tr>
        <w:trPr>
          <w:trHeight w:val="161"/>
        </w:trPr>
        <w:tc>
          <w:tcPr>
            <w:tcW w:w="2920" w:type="dxa"/>
            <w:vAlign w:val="bottom"/>
          </w:tcPr>
          <w:p>
            <w:pPr>
              <w:spacing w:after="0" w:line="161" w:lineRule="exact"/>
              <w:rPr>
                <w:sz w:val="20"/>
                <w:szCs w:val="20"/>
                <w:color w:val="auto"/>
              </w:rPr>
            </w:pPr>
            <w:r>
              <w:rPr>
                <w:rFonts w:ascii="Arial" w:cs="Arial" w:eastAsia="Arial" w:hAnsi="Arial"/>
                <w:sz w:val="18"/>
                <w:szCs w:val="18"/>
                <w:color w:val="auto"/>
              </w:rPr>
              <w:t>Loans collectively evaluated for</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920" w:type="dxa"/>
            <w:vAlign w:val="bottom"/>
          </w:tcPr>
          <w:p>
            <w:pPr>
              <w:ind w:left="100"/>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1,439,955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2,352,820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308,357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1,441,063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5,570,822</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PCI loans evaluated for impairment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2,296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190"/>
        </w:trPr>
        <w:tc>
          <w:tcPr>
            <w:tcW w:w="292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1,461,186</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2,371,868</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5"/>
              </w:rPr>
              <w:t>308,762</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1,453,266</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28,659</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5,623,741</w:t>
            </w:r>
          </w:p>
        </w:tc>
        <w:tc>
          <w:tcPr>
            <w:tcW w:w="0" w:type="dxa"/>
            <w:vAlign w:val="bottom"/>
          </w:tcPr>
          <w:p>
            <w:pPr>
              <w:spacing w:after="0"/>
              <w:rPr>
                <w:sz w:val="1"/>
                <w:szCs w:val="1"/>
                <w:color w:val="auto"/>
              </w:rPr>
            </w:pPr>
          </w:p>
        </w:tc>
      </w:tr>
      <w:tr>
        <w:trPr>
          <w:trHeight w:val="810"/>
        </w:trPr>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w w:val="93"/>
              </w:rPr>
              <w:t>As of December 31, 2017</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00" w:type="dxa"/>
            <w:vAlign w:val="bottom"/>
          </w:tcPr>
          <w:p>
            <w:pPr>
              <w:spacing w:after="0"/>
              <w:rPr>
                <w:sz w:val="10"/>
                <w:szCs w:val="10"/>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Commercial</w:t>
            </w:r>
          </w:p>
        </w:tc>
        <w:tc>
          <w:tcPr>
            <w:tcW w:w="10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Commercial</w:t>
            </w:r>
          </w:p>
        </w:tc>
        <w:tc>
          <w:tcPr>
            <w:tcW w:w="9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Real Estate</w:t>
            </w:r>
          </w:p>
        </w:tc>
        <w:tc>
          <w:tcPr>
            <w:tcW w:w="120" w:type="dxa"/>
            <w:vAlign w:val="bottom"/>
          </w:tcPr>
          <w:p>
            <w:pPr>
              <w:spacing w:after="0"/>
              <w:rPr>
                <w:sz w:val="10"/>
                <w:szCs w:val="10"/>
                <w:color w:val="auto"/>
              </w:rPr>
            </w:pPr>
          </w:p>
        </w:tc>
        <w:tc>
          <w:tcPr>
            <w:tcW w:w="84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Retail Other</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12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Estate</w:t>
            </w: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Amount allocated to:</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900" w:type="dxa"/>
            <w:vAlign w:val="bottom"/>
          </w:tcPr>
          <w:p>
            <w:pPr>
              <w:spacing w:after="0" w:line="161" w:lineRule="exact"/>
              <w:rPr>
                <w:sz w:val="20"/>
                <w:szCs w:val="20"/>
                <w:color w:val="auto"/>
              </w:rPr>
            </w:pPr>
            <w:r>
              <w:rPr>
                <w:rFonts w:ascii="Arial" w:cs="Arial" w:eastAsia="Arial" w:hAnsi="Arial"/>
                <w:sz w:val="18"/>
                <w:szCs w:val="18"/>
                <w:color w:val="auto"/>
              </w:rPr>
              <w:t>Loans individually evaluated for</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900" w:type="dxa"/>
            <w:vAlign w:val="bottom"/>
          </w:tcPr>
          <w:p>
            <w:pPr>
              <w:ind w:left="100"/>
              <w:spacing w:after="0"/>
              <w:rPr>
                <w:sz w:val="20"/>
                <w:szCs w:val="20"/>
                <w:color w:val="auto"/>
              </w:rPr>
            </w:pPr>
            <w:r>
              <w:rPr>
                <w:rFonts w:ascii="Arial" w:cs="Arial" w:eastAsia="Arial" w:hAnsi="Arial"/>
                <w:sz w:val="18"/>
                <w:szCs w:val="18"/>
                <w:color w:val="auto"/>
              </w:rPr>
              <w:t>impairment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161"/>
        </w:trPr>
        <w:tc>
          <w:tcPr>
            <w:tcW w:w="29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Loans collectively evaluated for</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52,715</w:t>
            </w:r>
          </w:p>
        </w:tc>
        <w:tc>
          <w:tcPr>
            <w:tcW w:w="0" w:type="dxa"/>
            <w:vAlign w:val="bottom"/>
          </w:tcPr>
          <w:p>
            <w:pPr>
              <w:spacing w:after="0"/>
              <w:rPr>
                <w:sz w:val="1"/>
                <w:szCs w:val="1"/>
                <w:color w:val="auto"/>
              </w:rPr>
            </w:pPr>
          </w:p>
        </w:tc>
      </w:tr>
      <w:tr>
        <w:trPr>
          <w:trHeight w:val="190"/>
        </w:trPr>
        <w:tc>
          <w:tcPr>
            <w:tcW w:w="29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14,779</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21,813</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2,861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13,783</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346</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line="189" w:lineRule="exact"/>
              <w:rPr>
                <w:sz w:val="20"/>
                <w:szCs w:val="20"/>
                <w:color w:val="auto"/>
              </w:rPr>
            </w:pPr>
            <w:r>
              <w:rPr>
                <w:rFonts w:ascii="Arial" w:cs="Arial" w:eastAsia="Arial" w:hAnsi="Arial"/>
                <w:sz w:val="18"/>
                <w:szCs w:val="18"/>
                <w:color w:val="auto"/>
              </w:rPr>
              <w:t>Loans: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9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Loans individually evaluated for</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31,191</w:t>
            </w:r>
          </w:p>
        </w:tc>
        <w:tc>
          <w:tcPr>
            <w:tcW w:w="0" w:type="dxa"/>
            <w:vAlign w:val="bottom"/>
          </w:tcPr>
          <w:p>
            <w:pPr>
              <w:spacing w:after="0"/>
              <w:rPr>
                <w:sz w:val="1"/>
                <w:szCs w:val="1"/>
                <w:color w:val="auto"/>
              </w:rPr>
            </w:pPr>
          </w:p>
        </w:tc>
      </w:tr>
      <w:tr>
        <w:trPr>
          <w:trHeight w:val="161"/>
        </w:trPr>
        <w:tc>
          <w:tcPr>
            <w:tcW w:w="2900" w:type="dxa"/>
            <w:vAlign w:val="bottom"/>
          </w:tcPr>
          <w:p>
            <w:pPr>
              <w:spacing w:after="0" w:line="161" w:lineRule="exact"/>
              <w:rPr>
                <w:sz w:val="20"/>
                <w:szCs w:val="20"/>
                <w:color w:val="auto"/>
              </w:rPr>
            </w:pPr>
            <w:r>
              <w:rPr>
                <w:rFonts w:ascii="Arial" w:cs="Arial" w:eastAsia="Arial" w:hAnsi="Arial"/>
                <w:sz w:val="18"/>
                <w:szCs w:val="18"/>
                <w:color w:val="auto"/>
              </w:rPr>
              <w:t>Loans collectively evaluated for</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900" w:type="dxa"/>
            <w:vAlign w:val="bottom"/>
          </w:tcPr>
          <w:p>
            <w:pPr>
              <w:ind w:left="10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1,407,248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2,336,248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260,490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1,445,819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5,477,663</w:t>
            </w: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PCI loans evaluated for impairment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6,945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2,309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190"/>
        </w:trPr>
        <w:tc>
          <w:tcPr>
            <w:tcW w:w="290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1,414,631</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2,354,684</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5"/>
              </w:rPr>
              <w:t>261,506</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1,460,801</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27,878</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5,519,500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OREO</w:t>
      </w:r>
    </w:p>
    <w:p>
      <w:pPr>
        <w:spacing w:after="0" w:line="148"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OREO represents properties acquired through foreclosure or other proceedings in settlement of loans and is included in other assets in the accompanying Consolidated Balance Sheets.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Properties are evaluated regularly to ensure each recorded amount is supported by its current fair value, and valuation allowances to reduce the carrying amount due to subsequent declines in fair value less estimated costs to dispose are recorded as necessary. Revenue, expense, gains and losses from the operations of foreclosed assets are included in operations. At September 30, 2018, the Company held</w:t>
      </w:r>
    </w:p>
    <w:p>
      <w:pPr>
        <w:ind w:right="20"/>
        <w:spacing w:after="0" w:line="214" w:lineRule="auto"/>
        <w:rPr>
          <w:sz w:val="20"/>
          <w:szCs w:val="20"/>
          <w:color w:val="auto"/>
        </w:rPr>
      </w:pPr>
      <w:r>
        <w:rPr>
          <w:rFonts w:ascii="Arial" w:cs="Arial" w:eastAsia="Arial" w:hAnsi="Arial"/>
          <w:sz w:val="18"/>
          <w:szCs w:val="18"/>
          <w:color w:val="auto"/>
        </w:rPr>
        <w:t>$0.2 million in commercial OREO, $0.9 million in residential OREO and an insignificant amount of other repossessed assets. At December 31, 2017, the Company held $1.2 million in commercial OREO, $0.1 million in residential OREO and an insignificant amount of other repossessed assets. At September 30, 2018 the Company had $2.4 million of residential real estate in the process of foreclosure.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activity related to OREO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December 31, 2017</w:t>
            </w:r>
          </w:p>
        </w:tc>
        <w:tc>
          <w:tcPr>
            <w:tcW w:w="900" w:type="dxa"/>
            <w:vAlign w:val="bottom"/>
          </w:tcPr>
          <w:p>
            <w:pPr>
              <w:spacing w:after="0"/>
              <w:rPr>
                <w:sz w:val="14"/>
                <w:szCs w:val="14"/>
                <w:color w:val="auto"/>
              </w:rPr>
            </w:pPr>
          </w:p>
        </w:tc>
      </w:tr>
      <w:tr>
        <w:trPr>
          <w:trHeight w:val="183"/>
        </w:trPr>
        <w:tc>
          <w:tcPr>
            <w:tcW w:w="920" w:type="dxa"/>
            <w:vAlign w:val="bottom"/>
          </w:tcPr>
          <w:p>
            <w:pPr>
              <w:spacing w:after="0"/>
              <w:rPr>
                <w:sz w:val="15"/>
                <w:szCs w:val="15"/>
                <w:color w:val="auto"/>
              </w:rPr>
            </w:pPr>
          </w:p>
        </w:tc>
        <w:tc>
          <w:tcPr>
            <w:tcW w:w="4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OREO:</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4060" w:type="dxa"/>
            <w:vAlign w:val="bottom"/>
          </w:tcPr>
          <w:p>
            <w:pPr>
              <w:ind w:left="220"/>
              <w:spacing w:after="0" w:line="189" w:lineRule="exact"/>
              <w:rPr>
                <w:sz w:val="20"/>
                <w:szCs w:val="20"/>
                <w:color w:val="auto"/>
              </w:rPr>
            </w:pPr>
            <w:r>
              <w:rPr>
                <w:rFonts w:ascii="Arial" w:cs="Arial" w:eastAsia="Arial" w:hAnsi="Arial"/>
                <w:sz w:val="18"/>
                <w:szCs w:val="18"/>
                <w:color w:val="auto"/>
              </w:rPr>
              <w:t>Beginning balance</w:t>
            </w:r>
          </w:p>
        </w:tc>
        <w:tc>
          <w:tcPr>
            <w:tcW w:w="680" w:type="dxa"/>
            <w:vAlign w:val="bottom"/>
            <w:gridSpan w:val="2"/>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1,283</w:t>
            </w:r>
          </w:p>
        </w:tc>
        <w:tc>
          <w:tcPr>
            <w:tcW w:w="3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2,518</w:t>
            </w:r>
          </w:p>
        </w:tc>
        <w:tc>
          <w:tcPr>
            <w:tcW w:w="90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40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Additions, transfers from loans</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3,706</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1,417</w:t>
            </w:r>
          </w:p>
        </w:tc>
        <w:tc>
          <w:tcPr>
            <w:tcW w:w="900" w:type="dxa"/>
            <w:vAlign w:val="bottom"/>
          </w:tcPr>
          <w:p>
            <w:pPr>
              <w:spacing w:after="0"/>
              <w:rPr>
                <w:sz w:val="16"/>
                <w:szCs w:val="16"/>
                <w:color w:val="auto"/>
              </w:rPr>
            </w:pPr>
          </w:p>
        </w:tc>
      </w:tr>
      <w:tr>
        <w:trPr>
          <w:trHeight w:val="161"/>
        </w:trPr>
        <w:tc>
          <w:tcPr>
            <w:tcW w:w="920" w:type="dxa"/>
            <w:vAlign w:val="bottom"/>
          </w:tcPr>
          <w:p>
            <w:pPr>
              <w:spacing w:after="0"/>
              <w:rPr>
                <w:sz w:val="14"/>
                <w:szCs w:val="14"/>
                <w:color w:val="auto"/>
              </w:rPr>
            </w:pPr>
          </w:p>
        </w:tc>
        <w:tc>
          <w:tcPr>
            <w:tcW w:w="4060" w:type="dxa"/>
            <w:vAlign w:val="bottom"/>
          </w:tcPr>
          <w:p>
            <w:pPr>
              <w:ind w:left="220"/>
              <w:spacing w:after="0" w:line="161" w:lineRule="exact"/>
              <w:rPr>
                <w:sz w:val="20"/>
                <w:szCs w:val="20"/>
                <w:color w:val="auto"/>
              </w:rPr>
            </w:pPr>
            <w:r>
              <w:rPr>
                <w:rFonts w:ascii="Arial" w:cs="Arial" w:eastAsia="Arial" w:hAnsi="Arial"/>
                <w:sz w:val="18"/>
                <w:szCs w:val="18"/>
                <w:color w:val="auto"/>
              </w:rPr>
              <w:t>Additions, fair value from First Community</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7"/>
        </w:trPr>
        <w:tc>
          <w:tcPr>
            <w:tcW w:w="92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acquisition</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722</w:t>
            </w:r>
          </w:p>
        </w:tc>
        <w:tc>
          <w:tcPr>
            <w:tcW w:w="900" w:type="dxa"/>
            <w:vAlign w:val="bottom"/>
          </w:tcPr>
          <w:p>
            <w:pPr>
              <w:spacing w:after="0"/>
              <w:rPr>
                <w:sz w:val="18"/>
                <w:szCs w:val="18"/>
                <w:color w:val="auto"/>
              </w:rPr>
            </w:pPr>
          </w:p>
        </w:tc>
      </w:tr>
      <w:tr>
        <w:trPr>
          <w:trHeight w:val="189"/>
        </w:trPr>
        <w:tc>
          <w:tcPr>
            <w:tcW w:w="920" w:type="dxa"/>
            <w:vAlign w:val="bottom"/>
          </w:tcPr>
          <w:p>
            <w:pPr>
              <w:spacing w:after="0"/>
              <w:rPr>
                <w:sz w:val="16"/>
                <w:szCs w:val="16"/>
                <w:color w:val="auto"/>
              </w:rPr>
            </w:pPr>
          </w:p>
        </w:tc>
        <w:tc>
          <w:tcPr>
            <w:tcW w:w="40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Additions, fair value from Mid Illinois acquisition</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w:t>
            </w:r>
          </w:p>
        </w:tc>
        <w:tc>
          <w:tcPr>
            <w:tcW w:w="90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4060" w:type="dxa"/>
            <w:vAlign w:val="bottom"/>
          </w:tcPr>
          <w:p>
            <w:pPr>
              <w:ind w:left="220"/>
              <w:spacing w:after="0" w:line="189" w:lineRule="exact"/>
              <w:rPr>
                <w:sz w:val="20"/>
                <w:szCs w:val="20"/>
                <w:color w:val="auto"/>
              </w:rPr>
            </w:pPr>
            <w:r>
              <w:rPr>
                <w:rFonts w:ascii="Arial" w:cs="Arial" w:eastAsia="Arial" w:hAnsi="Arial"/>
                <w:sz w:val="18"/>
                <w:szCs w:val="18"/>
                <w:color w:val="auto"/>
              </w:rPr>
              <w:t>Proceeds from sales of OREO</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(4,275)</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(5,024)</w:t>
            </w:r>
          </w:p>
        </w:tc>
        <w:tc>
          <w:tcPr>
            <w:tcW w:w="90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40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Gain on sales of OREO</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397</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1,632</w:t>
            </w:r>
          </w:p>
        </w:tc>
        <w:tc>
          <w:tcPr>
            <w:tcW w:w="90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406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Valuation allowance for OREO</w:t>
            </w:r>
          </w:p>
        </w:tc>
        <w:tc>
          <w:tcPr>
            <w:tcW w:w="2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(42)</w:t>
            </w:r>
          </w:p>
        </w:tc>
        <w:tc>
          <w:tcPr>
            <w:tcW w:w="900" w:type="dxa"/>
            <w:vAlign w:val="bottom"/>
          </w:tcPr>
          <w:p>
            <w:pPr>
              <w:spacing w:after="0"/>
              <w:rPr>
                <w:sz w:val="16"/>
                <w:szCs w:val="16"/>
                <w:color w:val="auto"/>
              </w:rPr>
            </w:pPr>
          </w:p>
        </w:tc>
      </w:tr>
      <w:tr>
        <w:trPr>
          <w:trHeight w:val="203"/>
        </w:trPr>
        <w:tc>
          <w:tcPr>
            <w:tcW w:w="920" w:type="dxa"/>
            <w:vAlign w:val="bottom"/>
          </w:tcPr>
          <w:p>
            <w:pPr>
              <w:spacing w:after="0"/>
              <w:rPr>
                <w:sz w:val="17"/>
                <w:szCs w:val="17"/>
                <w:color w:val="auto"/>
              </w:rPr>
            </w:pPr>
          </w:p>
        </w:tc>
        <w:tc>
          <w:tcPr>
            <w:tcW w:w="406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1,093</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1,283</w:t>
            </w:r>
          </w:p>
        </w:tc>
        <w:tc>
          <w:tcPr>
            <w:tcW w:w="900" w:type="dxa"/>
            <w:vAlign w:val="bottom"/>
          </w:tcPr>
          <w:p>
            <w:pPr>
              <w:spacing w:after="0"/>
              <w:rPr>
                <w:sz w:val="17"/>
                <w:szCs w:val="17"/>
                <w:color w:val="auto"/>
              </w:rPr>
            </w:pPr>
          </w:p>
        </w:tc>
      </w:tr>
      <w:tr>
        <w:trPr>
          <w:trHeight w:val="811"/>
        </w:trPr>
        <w:tc>
          <w:tcPr>
            <w:tcW w:w="4980" w:type="dxa"/>
            <w:vAlign w:val="bottom"/>
            <w:gridSpan w:val="2"/>
          </w:tcPr>
          <w:p>
            <w:pPr>
              <w:jc w:val="right"/>
              <w:ind w:right="27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Deposits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900" w:type="dxa"/>
        <w:tblCellMar>
          <w:top w:w="0" w:type="dxa"/>
          <w:left w:w="0" w:type="dxa"/>
          <w:bottom w:w="0" w:type="dxa"/>
          <w:right w:w="0" w:type="dxa"/>
        </w:tblCellMar>
      </w:tblPr>
      <w:tr>
        <w:trPr>
          <w:trHeight w:val="158"/>
        </w:trPr>
        <w:tc>
          <w:tcPr>
            <w:tcW w:w="39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4"/>
                <w:szCs w:val="14"/>
                <w:b w:val="1"/>
                <w:bCs w:val="1"/>
                <w:color w:val="auto"/>
                <w:w w:val="94"/>
              </w:rPr>
              <w:t>September 30, 2018</w:t>
            </w: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3"/>
              <w:spacing w:after="0" w:line="159" w:lineRule="exact"/>
              <w:rPr>
                <w:sz w:val="20"/>
                <w:szCs w:val="20"/>
                <w:color w:val="auto"/>
              </w:rPr>
            </w:pPr>
            <w:r>
              <w:rPr>
                <w:rFonts w:ascii="Arial" w:cs="Arial" w:eastAsia="Arial" w:hAnsi="Arial"/>
                <w:sz w:val="14"/>
                <w:szCs w:val="14"/>
                <w:b w:val="1"/>
                <w:bCs w:val="1"/>
                <w:color w:val="auto"/>
                <w:w w:val="91"/>
              </w:rPr>
              <w:t>December 31, 2017</w:t>
            </w:r>
          </w:p>
        </w:tc>
      </w:tr>
      <w:tr>
        <w:trPr>
          <w:trHeight w:val="183"/>
        </w:trPr>
        <w:tc>
          <w:tcPr>
            <w:tcW w:w="3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Demand deposits, noninterest-bearing</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1,438,054</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1,597,421</w:t>
            </w:r>
          </w:p>
        </w:tc>
      </w:tr>
      <w:tr>
        <w:trPr>
          <w:trHeight w:val="189"/>
        </w:trPr>
        <w:tc>
          <w:tcPr>
            <w:tcW w:w="3900" w:type="dxa"/>
            <w:vAlign w:val="bottom"/>
          </w:tcPr>
          <w:p>
            <w:pPr>
              <w:spacing w:after="0" w:line="189" w:lineRule="exact"/>
              <w:rPr>
                <w:sz w:val="20"/>
                <w:szCs w:val="20"/>
                <w:color w:val="auto"/>
              </w:rPr>
            </w:pPr>
            <w:r>
              <w:rPr>
                <w:rFonts w:ascii="Arial" w:cs="Arial" w:eastAsia="Arial" w:hAnsi="Arial"/>
                <w:sz w:val="18"/>
                <w:szCs w:val="18"/>
                <w:color w:val="auto"/>
              </w:rPr>
              <w:t>Interest-bearing transaction deposits</w:t>
            </w:r>
          </w:p>
        </w:tc>
        <w:tc>
          <w:tcPr>
            <w:tcW w:w="1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rPr>
              <w:t>1,325,702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8"/>
                <w:szCs w:val="18"/>
                <w:color w:val="auto"/>
              </w:rPr>
              <w:t>1,166,170</w:t>
            </w:r>
          </w:p>
        </w:tc>
      </w:tr>
      <w:tr>
        <w:trPr>
          <w:trHeight w:val="189"/>
        </w:trPr>
        <w:tc>
          <w:tcPr>
            <w:tcW w:w="39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Saving deposits and money market deposits</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1,879,530</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2,026,212</w:t>
            </w:r>
          </w:p>
        </w:tc>
      </w:tr>
      <w:tr>
        <w:trPr>
          <w:trHeight w:val="189"/>
        </w:trPr>
        <w:tc>
          <w:tcPr>
            <w:tcW w:w="39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Time deposits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1,552,283</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1,336,162</w:t>
            </w:r>
          </w:p>
        </w:tc>
      </w:tr>
      <w:tr>
        <w:trPr>
          <w:trHeight w:val="190"/>
        </w:trPr>
        <w:tc>
          <w:tcPr>
            <w:tcW w:w="39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6,195,569</w:t>
            </w: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6,125,965</w:t>
            </w:r>
          </w:p>
        </w:tc>
      </w:tr>
    </w:tbl>
    <w:p>
      <w:pPr>
        <w:spacing w:after="0" w:line="148" w:lineRule="exact"/>
        <w:rPr>
          <w:sz w:val="20"/>
          <w:szCs w:val="20"/>
          <w:color w:val="auto"/>
        </w:rPr>
      </w:pPr>
    </w:p>
    <w:p>
      <w:pPr>
        <w:ind w:right="179"/>
        <w:spacing w:after="0" w:line="224" w:lineRule="auto"/>
        <w:rPr>
          <w:sz w:val="20"/>
          <w:szCs w:val="20"/>
          <w:color w:val="auto"/>
        </w:rPr>
      </w:pPr>
      <w:r>
        <w:rPr>
          <w:rFonts w:ascii="Arial" w:cs="Arial" w:eastAsia="Arial" w:hAnsi="Arial"/>
          <w:sz w:val="18"/>
          <w:szCs w:val="18"/>
          <w:color w:val="auto"/>
        </w:rPr>
        <w:t>The Company held brokered interest-bearing transaction deposits of $5.0 million at September 30, 2018 and December 31, 2017. The Company held brokered saving deposits and money market deposits of $30.0 million and $75.1 million at September 30, 2018 and December 31, 2017, respectively.</w:t>
      </w:r>
    </w:p>
    <w:p>
      <w:pPr>
        <w:spacing w:after="0" w:line="123" w:lineRule="exact"/>
        <w:rPr>
          <w:sz w:val="20"/>
          <w:szCs w:val="20"/>
          <w:color w:val="auto"/>
        </w:rPr>
      </w:pPr>
    </w:p>
    <w:p>
      <w:pPr>
        <w:ind w:right="179"/>
        <w:spacing w:after="0" w:line="214" w:lineRule="auto"/>
        <w:rPr>
          <w:sz w:val="20"/>
          <w:szCs w:val="20"/>
          <w:color w:val="auto"/>
        </w:rPr>
      </w:pPr>
      <w:r>
        <w:rPr>
          <w:rFonts w:ascii="Arial" w:cs="Arial" w:eastAsia="Arial" w:hAnsi="Arial"/>
          <w:sz w:val="18"/>
          <w:szCs w:val="18"/>
          <w:color w:val="auto"/>
        </w:rPr>
        <w:t>The aggregate amount of time deposits with a minimum denomination of $100,000 was approximately $655.7 million and $578.9 million at September 30, 2018 and December 31, 2017, respectively. The aggregate amount of time deposits with a minimum denomination that meets or exceeds the Federal Deposit Insurance Corporation (“FDIC”) insurance limit of $250,000 was approximately $249.7 million and $197.9 million at September 30, 2018 and December 31, 2017, respectively. The Company held brokered time deposits of $351.1 million and $247.7 million at September 30, 2018 and December 31, 2017,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September 30, 2018, the 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October 1, 2018 – September 30, 2019</w:t>
            </w:r>
          </w:p>
        </w:tc>
        <w:tc>
          <w:tcPr>
            <w:tcW w:w="188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1,087,015</w:t>
            </w: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8"/>
                <w:szCs w:val="18"/>
                <w:color w:val="auto"/>
              </w:rPr>
              <w:t>October 1, 2019 – September 30, 2020</w:t>
            </w: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293,053</w:t>
            </w:r>
          </w:p>
        </w:tc>
      </w:tr>
      <w:tr>
        <w:trPr>
          <w:trHeight w:val="189"/>
        </w:trPr>
        <w:tc>
          <w:tcPr>
            <w:tcW w:w="3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October 1, 2020 – September 30, 2021</w:t>
            </w:r>
          </w:p>
        </w:tc>
        <w:tc>
          <w:tcPr>
            <w:tcW w:w="1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58,166</w:t>
            </w: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8"/>
                <w:szCs w:val="18"/>
                <w:color w:val="auto"/>
              </w:rPr>
              <w:t>October 1, 2021 – September 30, 2022</w:t>
            </w: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73,509</w:t>
            </w:r>
          </w:p>
        </w:tc>
      </w:tr>
      <w:tr>
        <w:trPr>
          <w:trHeight w:val="189"/>
        </w:trPr>
        <w:tc>
          <w:tcPr>
            <w:tcW w:w="3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October 1, 2022 – September 30, 2023</w:t>
            </w:r>
          </w:p>
        </w:tc>
        <w:tc>
          <w:tcPr>
            <w:tcW w:w="1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40,524</w:t>
            </w:r>
          </w:p>
        </w:tc>
      </w:tr>
      <w:tr>
        <w:trPr>
          <w:trHeight w:val="189"/>
        </w:trPr>
        <w:tc>
          <w:tcPr>
            <w:tcW w:w="39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Thereafter</w:t>
            </w:r>
          </w:p>
        </w:tc>
        <w:tc>
          <w:tcPr>
            <w:tcW w:w="11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w:t>
            </w:r>
          </w:p>
        </w:tc>
      </w:tr>
      <w:tr>
        <w:trPr>
          <w:trHeight w:val="190"/>
        </w:trPr>
        <w:tc>
          <w:tcPr>
            <w:tcW w:w="39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1,552,283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Securities sold under agreements to repurchase, which are classified as secured borrowings, generally mature</w:t>
      </w:r>
    </w:p>
    <w:p>
      <w:pPr>
        <w:jc w:val="both"/>
        <w:ind w:right="339"/>
        <w:spacing w:after="0" w:line="231" w:lineRule="auto"/>
        <w:rPr>
          <w:sz w:val="20"/>
          <w:szCs w:val="20"/>
          <w:color w:val="auto"/>
        </w:rPr>
      </w:pPr>
      <w:r>
        <w:rPr>
          <w:rFonts w:ascii="Arial" w:cs="Arial" w:eastAsia="Arial" w:hAnsi="Arial"/>
          <w:sz w:val="17"/>
          <w:szCs w:val="17"/>
          <w:color w:val="auto"/>
        </w:rPr>
        <w:t>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144" w:lineRule="exact"/>
        <w:rPr>
          <w:sz w:val="20"/>
          <w:szCs w:val="20"/>
          <w:color w:val="auto"/>
        </w:rPr>
      </w:pPr>
    </w:p>
    <w:p>
      <w:pPr>
        <w:ind w:right="199"/>
        <w:spacing w:after="0" w:line="216" w:lineRule="auto"/>
        <w:rPr>
          <w:sz w:val="20"/>
          <w:szCs w:val="20"/>
          <w:color w:val="auto"/>
        </w:rPr>
      </w:pPr>
      <w:r>
        <w:rPr>
          <w:rFonts w:ascii="Arial" w:cs="Arial" w:eastAsia="Arial" w:hAnsi="Arial"/>
          <w:sz w:val="18"/>
          <w:szCs w:val="18"/>
          <w:color w:val="auto"/>
        </w:rPr>
        <w:t>On April 30, 2018, the Company entered into a third amendment to extend the maturity of its revolving loan facility from April 30, 2018 to April 30, 2019, to decrease the maximum principal amount from $40.0 million to $20.0 million, and to amend the annual interest rate. The revolving loan facility also bears a non-usage fee calculated based on the average daily principal balance of the loan outstanding during the prior fiscal quarter. The Company had no outstanding amount on September 30, 2018 or December 31, 2017.</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20"/>
        <w:spacing w:after="0" w:line="223" w:lineRule="auto"/>
        <w:rPr>
          <w:sz w:val="20"/>
          <w:szCs w:val="20"/>
          <w:color w:val="auto"/>
        </w:rPr>
      </w:pPr>
      <w:r>
        <w:rPr>
          <w:rFonts w:ascii="Arial" w:cs="Arial" w:eastAsia="Arial" w:hAnsi="Arial"/>
          <w:sz w:val="18"/>
          <w:szCs w:val="18"/>
          <w:color w:val="auto"/>
        </w:rPr>
        <w:t xml:space="preserve">The following table sets forth the distribution of securities sold under agreements to repurchase and short-term borrowings and weighted average interest rates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34"/>
        </w:trPr>
        <w:tc>
          <w:tcPr>
            <w:tcW w:w="22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520"/>
              <w:spacing w:after="0" w:line="134" w:lineRule="exact"/>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1"/>
                <w:szCs w:val="11"/>
                <w:color w:val="auto"/>
              </w:rPr>
            </w:pPr>
          </w:p>
        </w:tc>
        <w:tc>
          <w:tcPr>
            <w:tcW w:w="1300" w:type="dxa"/>
            <w:vAlign w:val="bottom"/>
            <w:gridSpan w:val="2"/>
          </w:tcPr>
          <w:p>
            <w:pPr>
              <w:jc w:val="right"/>
              <w:ind w:right="400"/>
              <w:spacing w:after="0" w:line="134"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228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183"/>
        </w:trPr>
        <w:tc>
          <w:tcPr>
            <w:tcW w:w="5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Securities sold under agreements to repurchase</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9"/>
        </w:trPr>
        <w:tc>
          <w:tcPr>
            <w:tcW w:w="5280" w:type="dxa"/>
            <w:vAlign w:val="bottom"/>
            <w:gridSpan w:val="2"/>
          </w:tcPr>
          <w:p>
            <w:pPr>
              <w:spacing w:after="0" w:line="189" w:lineRule="exact"/>
              <w:rPr>
                <w:sz w:val="20"/>
                <w:szCs w:val="20"/>
                <w:color w:val="auto"/>
              </w:rPr>
            </w:pPr>
            <w:r>
              <w:rPr>
                <w:rFonts w:ascii="Arial" w:cs="Arial" w:eastAsia="Arial" w:hAnsi="Arial"/>
                <w:sz w:val="18"/>
                <w:szCs w:val="18"/>
                <w:color w:val="auto"/>
              </w:rPr>
              <w:t>Balance at end of period</w:t>
            </w: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255,906</w:t>
            </w:r>
          </w:p>
        </w:tc>
        <w:tc>
          <w:tcPr>
            <w:tcW w:w="30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304,566</w:t>
            </w:r>
          </w:p>
        </w:tc>
        <w:tc>
          <w:tcPr>
            <w:tcW w:w="160" w:type="dxa"/>
            <w:vAlign w:val="bottom"/>
          </w:tcPr>
          <w:p>
            <w:pPr>
              <w:spacing w:after="0"/>
              <w:rPr>
                <w:sz w:val="16"/>
                <w:szCs w:val="16"/>
                <w:color w:val="auto"/>
              </w:rPr>
            </w:pPr>
          </w:p>
        </w:tc>
      </w:tr>
      <w:tr>
        <w:trPr>
          <w:trHeight w:val="189"/>
        </w:trPr>
        <w:tc>
          <w:tcPr>
            <w:tcW w:w="5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 average interest rate at end of period</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0.85 %</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0.57 %</w:t>
            </w:r>
          </w:p>
        </w:tc>
      </w:tr>
      <w:tr>
        <w:trPr>
          <w:trHeight w:val="189"/>
        </w:trPr>
        <w:tc>
          <w:tcPr>
            <w:tcW w:w="5280" w:type="dxa"/>
            <w:vAlign w:val="bottom"/>
            <w:gridSpan w:val="2"/>
          </w:tcPr>
          <w:p>
            <w:pPr>
              <w:spacing w:after="0" w:line="189" w:lineRule="exact"/>
              <w:rPr>
                <w:sz w:val="20"/>
                <w:szCs w:val="20"/>
                <w:color w:val="auto"/>
              </w:rPr>
            </w:pPr>
            <w:r>
              <w:rPr>
                <w:rFonts w:ascii="Arial" w:cs="Arial" w:eastAsia="Arial" w:hAnsi="Arial"/>
                <w:sz w:val="18"/>
                <w:szCs w:val="18"/>
                <w:color w:val="auto"/>
              </w:rPr>
              <w:t>Maximum outstanding at any month end in year-to-date period</w:t>
            </w: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267,596</w:t>
            </w:r>
          </w:p>
        </w:tc>
        <w:tc>
          <w:tcPr>
            <w:tcW w:w="30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304,566</w:t>
            </w:r>
          </w:p>
        </w:tc>
        <w:tc>
          <w:tcPr>
            <w:tcW w:w="160" w:type="dxa"/>
            <w:vAlign w:val="bottom"/>
          </w:tcPr>
          <w:p>
            <w:pPr>
              <w:spacing w:after="0"/>
              <w:rPr>
                <w:sz w:val="16"/>
                <w:szCs w:val="16"/>
                <w:color w:val="auto"/>
              </w:rPr>
            </w:pPr>
          </w:p>
        </w:tc>
      </w:tr>
      <w:tr>
        <w:trPr>
          <w:trHeight w:val="189"/>
        </w:trPr>
        <w:tc>
          <w:tcPr>
            <w:tcW w:w="5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Average daily balance for the year-to-date period</w:t>
            </w: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242,268</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213,527</w:t>
            </w:r>
          </w:p>
        </w:tc>
        <w:tc>
          <w:tcPr>
            <w:tcW w:w="160" w:type="dxa"/>
            <w:vAlign w:val="bottom"/>
            <w:shd w:val="clear" w:color="auto" w:fill="CCEEFF"/>
          </w:tcPr>
          <w:p>
            <w:pPr>
              <w:spacing w:after="0"/>
              <w:rPr>
                <w:sz w:val="16"/>
                <w:szCs w:val="16"/>
                <w:color w:val="auto"/>
              </w:rPr>
            </w:pPr>
          </w:p>
        </w:tc>
      </w:tr>
      <w:tr>
        <w:trPr>
          <w:trHeight w:val="189"/>
        </w:trPr>
        <w:tc>
          <w:tcPr>
            <w:tcW w:w="5280" w:type="dxa"/>
            <w:vAlign w:val="bottom"/>
            <w:gridSpan w:val="2"/>
          </w:tcPr>
          <w:p>
            <w:pPr>
              <w:spacing w:after="0" w:line="189" w:lineRule="exact"/>
              <w:rPr>
                <w:sz w:val="20"/>
                <w:szCs w:val="20"/>
                <w:color w:val="auto"/>
              </w:rPr>
            </w:pPr>
            <w:r>
              <w:rPr>
                <w:rFonts w:ascii="Arial" w:cs="Arial" w:eastAsia="Arial" w:hAnsi="Arial"/>
                <w:sz w:val="18"/>
                <w:szCs w:val="18"/>
                <w:color w:val="auto"/>
              </w:rPr>
              <w:t>Weighted average interest rate during period(1)</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0.62 %</w:t>
            </w:r>
          </w:p>
        </w:tc>
        <w:tc>
          <w:tcPr>
            <w:tcW w:w="140" w:type="dxa"/>
            <w:vAlign w:val="bottom"/>
          </w:tcPr>
          <w:p>
            <w:pPr>
              <w:spacing w:after="0"/>
              <w:rPr>
                <w:sz w:val="16"/>
                <w:szCs w:val="16"/>
                <w:color w:val="auto"/>
              </w:rPr>
            </w:pPr>
          </w:p>
        </w:tc>
        <w:tc>
          <w:tcPr>
            <w:tcW w:w="13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0.46 %</w:t>
            </w:r>
          </w:p>
        </w:tc>
      </w:tr>
      <w:tr>
        <w:trPr>
          <w:trHeight w:val="189"/>
        </w:trPr>
        <w:tc>
          <w:tcPr>
            <w:tcW w:w="228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9"/>
        </w:trPr>
        <w:tc>
          <w:tcPr>
            <w:tcW w:w="528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Short-term borrowings, FHLB advances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5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end of period</w:t>
            </w: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200,000</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220,000</w:t>
            </w:r>
          </w:p>
        </w:tc>
        <w:tc>
          <w:tcPr>
            <w:tcW w:w="160" w:type="dxa"/>
            <w:vAlign w:val="bottom"/>
            <w:shd w:val="clear" w:color="auto" w:fill="CCEEFF"/>
          </w:tcPr>
          <w:p>
            <w:pPr>
              <w:spacing w:after="0"/>
              <w:rPr>
                <w:sz w:val="16"/>
                <w:szCs w:val="16"/>
                <w:color w:val="auto"/>
              </w:rPr>
            </w:pPr>
          </w:p>
        </w:tc>
      </w:tr>
      <w:tr>
        <w:trPr>
          <w:trHeight w:val="189"/>
        </w:trPr>
        <w:tc>
          <w:tcPr>
            <w:tcW w:w="5280" w:type="dxa"/>
            <w:vAlign w:val="bottom"/>
            <w:gridSpan w:val="2"/>
          </w:tcPr>
          <w:p>
            <w:pPr>
              <w:spacing w:after="0" w:line="189" w:lineRule="exact"/>
              <w:rPr>
                <w:sz w:val="20"/>
                <w:szCs w:val="20"/>
                <w:color w:val="auto"/>
              </w:rPr>
            </w:pPr>
            <w:r>
              <w:rPr>
                <w:rFonts w:ascii="Arial" w:cs="Arial" w:eastAsia="Arial" w:hAnsi="Arial"/>
                <w:sz w:val="18"/>
                <w:szCs w:val="18"/>
                <w:color w:val="auto"/>
              </w:rPr>
              <w:t>Weighted average interest rate at end of period</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2.24 %</w:t>
            </w:r>
          </w:p>
        </w:tc>
        <w:tc>
          <w:tcPr>
            <w:tcW w:w="140" w:type="dxa"/>
            <w:vAlign w:val="bottom"/>
          </w:tcPr>
          <w:p>
            <w:pPr>
              <w:spacing w:after="0"/>
              <w:rPr>
                <w:sz w:val="16"/>
                <w:szCs w:val="16"/>
                <w:color w:val="auto"/>
              </w:rPr>
            </w:pPr>
          </w:p>
        </w:tc>
        <w:tc>
          <w:tcPr>
            <w:tcW w:w="13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1.42 %</w:t>
            </w:r>
          </w:p>
        </w:tc>
      </w:tr>
      <w:tr>
        <w:trPr>
          <w:trHeight w:val="189"/>
        </w:trPr>
        <w:tc>
          <w:tcPr>
            <w:tcW w:w="5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Maximum outstanding at any month end in year-to-date period</w:t>
            </w: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225,000</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234,600</w:t>
            </w:r>
          </w:p>
        </w:tc>
        <w:tc>
          <w:tcPr>
            <w:tcW w:w="160" w:type="dxa"/>
            <w:vAlign w:val="bottom"/>
            <w:shd w:val="clear" w:color="auto" w:fill="CCEEFF"/>
          </w:tcPr>
          <w:p>
            <w:pPr>
              <w:spacing w:after="0"/>
              <w:rPr>
                <w:sz w:val="16"/>
                <w:szCs w:val="16"/>
                <w:color w:val="auto"/>
              </w:rPr>
            </w:pPr>
          </w:p>
        </w:tc>
      </w:tr>
      <w:tr>
        <w:trPr>
          <w:trHeight w:val="189"/>
        </w:trPr>
        <w:tc>
          <w:tcPr>
            <w:tcW w:w="5280" w:type="dxa"/>
            <w:vAlign w:val="bottom"/>
            <w:gridSpan w:val="2"/>
          </w:tcPr>
          <w:p>
            <w:pPr>
              <w:spacing w:after="0" w:line="189" w:lineRule="exact"/>
              <w:rPr>
                <w:sz w:val="20"/>
                <w:szCs w:val="20"/>
                <w:color w:val="auto"/>
              </w:rPr>
            </w:pPr>
            <w:r>
              <w:rPr>
                <w:rFonts w:ascii="Arial" w:cs="Arial" w:eastAsia="Arial" w:hAnsi="Arial"/>
                <w:sz w:val="18"/>
                <w:szCs w:val="18"/>
                <w:color w:val="auto"/>
              </w:rPr>
              <w:t>Average daily balance for the year-to-date period</w:t>
            </w: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93,022</w:t>
            </w:r>
          </w:p>
        </w:tc>
        <w:tc>
          <w:tcPr>
            <w:tcW w:w="30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84,201</w:t>
            </w:r>
          </w:p>
        </w:tc>
        <w:tc>
          <w:tcPr>
            <w:tcW w:w="160" w:type="dxa"/>
            <w:vAlign w:val="bottom"/>
          </w:tcPr>
          <w:p>
            <w:pPr>
              <w:spacing w:after="0"/>
              <w:rPr>
                <w:sz w:val="16"/>
                <w:szCs w:val="16"/>
                <w:color w:val="auto"/>
              </w:rPr>
            </w:pPr>
          </w:p>
        </w:tc>
      </w:tr>
      <w:tr>
        <w:trPr>
          <w:trHeight w:val="189"/>
        </w:trPr>
        <w:tc>
          <w:tcPr>
            <w:tcW w:w="5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 average interest rate during period(1)</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1.73 %</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1.20 %</w:t>
            </w:r>
          </w:p>
        </w:tc>
      </w:tr>
      <w:tr>
        <w:trPr>
          <w:trHeight w:val="108"/>
        </w:trPr>
        <w:tc>
          <w:tcPr>
            <w:tcW w:w="228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80" w:lineRule="exact"/>
        <w:rPr>
          <w:sz w:val="20"/>
          <w:szCs w:val="20"/>
          <w:color w:val="auto"/>
        </w:rPr>
      </w:pPr>
    </w:p>
    <w:p>
      <w:pPr>
        <w:ind w:left="320" w:right="280" w:hanging="317"/>
        <w:spacing w:after="0" w:line="235"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weighted average interest rate is computed by dividing total annualized interest for the year-to-date period by the average daily balance outstanding.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920" w:type="dxa"/>
        <w:tblCellMar>
          <w:top w:w="0" w:type="dxa"/>
          <w:left w:w="0" w:type="dxa"/>
          <w:bottom w:w="0" w:type="dxa"/>
          <w:right w:w="0" w:type="dxa"/>
        </w:tblCellMar>
      </w:tblPr>
      <w:tr>
        <w:trPr>
          <w:trHeight w:val="136"/>
        </w:trPr>
        <w:tc>
          <w:tcPr>
            <w:tcW w:w="4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42"/>
              <w:spacing w:after="0" w:line="136"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62"/>
              <w:spacing w:after="0" w:line="136"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4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Notes payable, FHLB, ranging in original maturity from</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nineteen months to ten years, collateralized by FHLB</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deposits, residential and commercial real estate loans and</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FHLB stock.</w:t>
            </w:r>
          </w:p>
        </w:tc>
        <w:tc>
          <w:tcPr>
            <w:tcW w:w="40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As of September 30, 2018, funds borrowed from the FHLB, listed above, consisted of variable-rate notes maturing through September 2024, with interest rates ranging from 2.01% to 2.18%. The weighted average rate on the long-term advances was 2.08% as of September 30, 2018. As of December 31, 2017, funds borrowed from the FHLB, listed above, consisted of variable-rate notes maturing through September 2024, with interest rates ranging from 1.10% to 1.32%. The weighted average rate on the long-term advances was 1.19% as of December 31, 2017.</w:t>
      </w:r>
    </w:p>
    <w:p>
      <w:pPr>
        <w:spacing w:after="0" w:line="121"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On May 25, 2017, the Company issued $40.0 million of 3.75% senior notes that mature on May 25, 2022. The senior notes are payable semi-annually on each May 25 and November 25, commencing on November 25, 2017. Additionally, on May 25, 2017, the Company issued $60.0 million of fixed-to-floating rate subordinated notes that mature on May 25, 2027. The subordinated notes, which qualify as Tier 2 capital for First Busey, are at an initial rate of 4.75% for five years and thereafter at an annual floating rate equal to three-month LIBOR plus a spread of 2.919%. The subordinated notes are payable semi-annually on each May 25 and November 25, commencing on November 25, 2017 during the five year fixed-term and thereafter each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totaled $0.5 million and $0.9 million, respectively, at September 30,</w:t>
      </w:r>
    </w:p>
    <w:p>
      <w:pPr>
        <w:spacing w:after="0" w:line="1"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2018. Unamortized debt issuance costs related to the senior notes and subordinated notes totaled $0.6 million and $1.0 million, respectively, at December 31, 2017. The Company used the net proceeds from the offering to finance a portion of the cash consideration for its acquisition of First Community, to redeem a portion of First Community subordinated debentures in July 2017, and to finance a portion of the cash consideration for its acquisition of Mid Illinois in October 2017, with the remaining proceeds used for general corporate purposes.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In relation to the First Community acquisition, the Company assumed $15.3 million in subordinated debt, of which $9.8 million was simultaneously redeemed. A $0.3 million purchase accounting premium was recorded on the remaining subordinated debt. The remaining $5.5 million was issued on September 30, 2013, and the Company, at its option, redeemed the note at a redemption price equal to the principal amount outstanding plus accrued but unpaid interest on September 30, 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Junior Subordinated Debt Owed to Unconsolidated Trusts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in 2016, the Company acquired similar statutory trusts maintained by Pulaski and the fair value adjustment is being accreted over the weighted average remaining life. The Company had $71.1 million and $71.0 million of junior subordinated debt owed to unconsolidated trusts at September 30, 2018 and December 31, 2017, respectively.</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September 30, 2018, 100% of the trust preferred securities qualified as Tier 1 capital under the final rule adopted in March 2005.</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Dodd-Frank Act mandated the Federal Reserve to establish minimum capital levels for holding companies on a consolidated basis as stringent as those required for FDIC-insured institutions. A result of this change is that the proceeds of hybrid instruments, such as trust preferred securities, are excluded from capital over a phase-out period. However, if such securities were issued prior to May 19, 2010 by bank holding companies with less than $15.0 billion of assets, they may be retained, subject to certain restrictions. Because the Company has assets of less than $15.0 billion, it is able to maintain its trust preferred proceeds as capital, but the Company has to comply with new capital mandates in other respects and will not be able to raise capital in the future through the issuance of trust preferred securities.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Common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available to common stockholders</w:t>
            </w:r>
          </w:p>
        </w:tc>
        <w:tc>
          <w:tcPr>
            <w:tcW w:w="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26,859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4"/>
              </w:rPr>
              <w:t>18,784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73,638</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50,433</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48,892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45,324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48,828</w:t>
            </w: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40,669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ind w:left="80"/>
              <w:spacing w:after="0" w:line="161" w:lineRule="exact"/>
              <w:rPr>
                <w:sz w:val="20"/>
                <w:szCs w:val="20"/>
                <w:color w:val="auto"/>
              </w:rPr>
            </w:pPr>
            <w:r>
              <w:rPr>
                <w:rFonts w:ascii="Arial" w:cs="Arial" w:eastAsia="Arial" w:hAnsi="Arial"/>
                <w:sz w:val="18"/>
                <w:szCs w:val="18"/>
                <w:color w:val="auto"/>
                <w:w w:val="98"/>
              </w:rPr>
              <w:t>Dilutive effect of outstanding options, warrants and restricted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tcPr>
          <w:p>
            <w:pPr>
              <w:ind w:left="200"/>
              <w:spacing w:after="0" w:line="189" w:lineRule="exact"/>
              <w:rPr>
                <w:sz w:val="20"/>
                <w:szCs w:val="20"/>
                <w:color w:val="auto"/>
              </w:rPr>
            </w:pPr>
            <w:r>
              <w:rPr>
                <w:rFonts w:ascii="Arial" w:cs="Arial" w:eastAsia="Arial" w:hAnsi="Arial"/>
                <w:sz w:val="18"/>
                <w:szCs w:val="18"/>
                <w:color w:val="auto"/>
                <w:w w:val="98"/>
              </w:rPr>
              <w:t>stock units as determined by the application of the treasury</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stock method</w:t>
            </w: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840" w:type="dxa"/>
            <w:vAlign w:val="bottom"/>
          </w:tcPr>
          <w:p>
            <w:pPr>
              <w:spacing w:after="0" w:line="161" w:lineRule="exact"/>
              <w:rPr>
                <w:sz w:val="20"/>
                <w:szCs w:val="20"/>
                <w:color w:val="auto"/>
              </w:rPr>
            </w:pPr>
            <w:r>
              <w:rPr>
                <w:rFonts w:ascii="Arial" w:cs="Arial" w:eastAsia="Arial" w:hAnsi="Arial"/>
                <w:sz w:val="18"/>
                <w:szCs w:val="18"/>
                <w:color w:val="auto"/>
                <w:w w:val="95"/>
              </w:rPr>
              <w:t>Weighted average common shares outstanding, as adjusted for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49,247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45,764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49,216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8"/>
              </w:rPr>
              <w:t>41,069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80"/>
              <w:spacing w:after="0" w:line="203" w:lineRule="exact"/>
              <w:rPr>
                <w:sz w:val="20"/>
                <w:szCs w:val="20"/>
                <w:color w:val="auto"/>
              </w:rPr>
            </w:pPr>
            <w:r>
              <w:rPr>
                <w:rFonts w:ascii="Arial" w:cs="Arial" w:eastAsia="Arial" w:hAnsi="Arial"/>
                <w:sz w:val="18"/>
                <w:szCs w:val="18"/>
                <w:color w:val="auto"/>
              </w:rPr>
              <w:t>diluted earnings per share calculation</w:t>
            </w: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40" w:type="dxa"/>
            <w:vAlign w:val="bottom"/>
          </w:tcPr>
          <w:p>
            <w:pPr>
              <w:spacing w:after="0" w:line="189" w:lineRule="exact"/>
              <w:rPr>
                <w:sz w:val="20"/>
                <w:szCs w:val="20"/>
                <w:color w:val="auto"/>
              </w:rPr>
            </w:pPr>
            <w:r>
              <w:rPr>
                <w:rFonts w:ascii="Arial" w:cs="Arial" w:eastAsia="Arial" w:hAnsi="Arial"/>
                <w:sz w:val="18"/>
                <w:szCs w:val="18"/>
                <w:color w:val="auto"/>
              </w:rPr>
              <w:t>Basic earnings per common share</w:t>
            </w:r>
          </w:p>
        </w:tc>
        <w:tc>
          <w:tcPr>
            <w:tcW w:w="5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0.55</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0.41</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1.51</w:t>
            </w:r>
          </w:p>
        </w:tc>
        <w:tc>
          <w:tcPr>
            <w:tcW w:w="220" w:type="dxa"/>
            <w:vAlign w:val="bottom"/>
          </w:tcPr>
          <w:p>
            <w:pPr>
              <w:spacing w:after="0"/>
              <w:rPr>
                <w:sz w:val="17"/>
                <w:szCs w:val="17"/>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1.24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8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tcPr>
          <w:p>
            <w:pPr>
              <w:spacing w:after="0" w:line="189" w:lineRule="exact"/>
              <w:rPr>
                <w:sz w:val="20"/>
                <w:szCs w:val="20"/>
                <w:color w:val="auto"/>
              </w:rPr>
            </w:pPr>
            <w:r>
              <w:rPr>
                <w:rFonts w:ascii="Arial" w:cs="Arial" w:eastAsia="Arial" w:hAnsi="Arial"/>
                <w:sz w:val="18"/>
                <w:szCs w:val="18"/>
                <w:color w:val="auto"/>
              </w:rPr>
              <w:t>Diluted earnings per common share</w:t>
            </w:r>
          </w:p>
        </w:tc>
        <w:tc>
          <w:tcPr>
            <w:tcW w:w="5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0.55</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0.41</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1.50</w:t>
            </w:r>
          </w:p>
        </w:tc>
        <w:tc>
          <w:tcPr>
            <w:tcW w:w="220" w:type="dxa"/>
            <w:vAlign w:val="bottom"/>
          </w:tcPr>
          <w:p>
            <w:pPr>
              <w:spacing w:after="0"/>
              <w:rPr>
                <w:sz w:val="16"/>
                <w:szCs w:val="16"/>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1.23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60"/>
        <w:spacing w:after="0" w:line="224"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23"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Diluted earnings per common share are computed using the treasury stock method and reflect the potential dilution that could occur if the Company’s outstanding stock options and warrants were exercised and restricted stock units were vested. Stock options, warrants and restricted stock units for which the exercise or the grant price exceeds the average market price over the period have an anti-dilutive effect and are excluded from the calculation. At September 30, 2018, 172,571 outstanding restricted stock units and 191,278 warrants were anti-dilutive and excluded from the calculation of common stock equivalents. At September 30, 2017, 78,540 outstanding options and 191,278 warrants were anti-dilutive and excluded from the calculation of common stock equivalents.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Share-based Compensation</w:t>
      </w:r>
    </w:p>
    <w:p>
      <w:pPr>
        <w:spacing w:after="0" w:line="148"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The Company grants share-based compensation awards to its employees and members of its board of directors as provided for under the Company’s 2010 Equity Incentive Plan. In addition, pursuant to the terms of the First Community 2016 Equity Incentive Plan, the Company may grant awards with respect to First Busey common stock to legacy employees and directors of First Community or its subsidiaries. Permissible awards under the plan include, but are not limited to, non-qualified stock options, incentive stock options, stock appreciation rights, restricted stock and restricted stock units.</w:t>
      </w:r>
    </w:p>
    <w:p>
      <w:pPr>
        <w:spacing w:after="0" w:line="118"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requisite service periods ranging from one to five years. The Company annually grants share-based awards in the form of DSUs, which are RSUs with a deferred settlement date, to its board of directors and advisory directors. Each DSU is equivalent to one share of the Company’s common stock. The DSUs vest on the first anniversary of the grant date or on the date of the next Annual Meeting of Stockholders, whichever is earlier. These units generally are subject to the same terms as RSUs under the Company’s 2010 Equity Incentive Plan or the First Community 2016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 and stock options assumed from acquisitions.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Under the terms of the Company’s 2010 Equity Incentive Plan and the First Community 2016 Equity Incentive Plan, the Company is allowed, but not required, to source stock option exercises and grants of RSUs and DSUs from its inventory of treasury stock. As of September 30, 2018, the Company held 325,272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originally approved in 2008. During 2015, the Company purchased 333,333 shares under this repurchase plan. At September 30, 2018 the Company had 333,334 shares that may still be purchased under the plan.</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Company’s 2010 Equity Incentive Plan is designed to encourage ownership of its common stock by its employees and directors, to provide additional incentive for them to promote the success of the Company’s business, and to attract and retain talented personnel. All of the Company’s employees and directors, and those of its subsidiaries, are eligible to receive awards under the plan.</w:t>
      </w:r>
    </w:p>
    <w:p>
      <w:pPr>
        <w:spacing w:after="0" w:line="122"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A description of the First Community 2016 Equity Incentive Plan can be found in the Proxy Statement of First Community Financial Partners, Inc. for the 2016 Annual Meeting of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and changes in the Company's stock option awards for the nine months ended September 30,</w:t>
      </w:r>
    </w:p>
    <w:p>
      <w:pPr>
        <w:spacing w:after="0" w:line="233" w:lineRule="auto"/>
        <w:rPr>
          <w:sz w:val="20"/>
          <w:szCs w:val="20"/>
          <w:color w:val="auto"/>
        </w:rPr>
      </w:pPr>
      <w:r>
        <w:rPr>
          <w:rFonts w:ascii="Arial" w:cs="Arial" w:eastAsia="Arial" w:hAnsi="Arial"/>
          <w:sz w:val="18"/>
          <w:szCs w:val="18"/>
          <w:color w:val="auto"/>
        </w:rPr>
        <w:t>2018 follows:</w:t>
      </w:r>
    </w:p>
    <w:tbl>
      <w:tblPr>
        <w:tblLayout w:type="fixed"/>
        <w:tblInd w:w="920" w:type="dxa"/>
        <w:tblCellMar>
          <w:top w:w="0" w:type="dxa"/>
          <w:left w:w="0" w:type="dxa"/>
          <w:bottom w:w="0" w:type="dxa"/>
          <w:right w:w="0" w:type="dxa"/>
        </w:tblCellMar>
      </w:tblPr>
      <w:tr>
        <w:trPr>
          <w:trHeight w:val="133"/>
        </w:trPr>
        <w:tc>
          <w:tcPr>
            <w:tcW w:w="2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Weighted-</w:t>
            </w:r>
          </w:p>
        </w:tc>
        <w:tc>
          <w:tcPr>
            <w:tcW w:w="15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3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83"/>
        </w:trPr>
        <w:tc>
          <w:tcPr>
            <w:tcW w:w="2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at beginning of year</w:t>
            </w: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213,428</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16.97</w:t>
            </w:r>
          </w:p>
        </w:tc>
        <w:tc>
          <w:tcPr>
            <w:tcW w:w="14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20"/>
              <w:spacing w:after="0" w:line="189" w:lineRule="exact"/>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(85,518)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13.90</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Forfeited</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(14,035)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21.81</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Expired</w:t>
            </w: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(2,762)</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16.15</w:t>
            </w:r>
          </w:p>
        </w:tc>
        <w:tc>
          <w:tcPr>
            <w:tcW w:w="14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at end of period</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111,113</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18.75</w:t>
            </w:r>
          </w:p>
        </w:tc>
        <w:tc>
          <w:tcPr>
            <w:tcW w:w="1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7"/>
        </w:trPr>
        <w:tc>
          <w:tcPr>
            <w:tcW w:w="2680" w:type="dxa"/>
            <w:vAlign w:val="bottom"/>
          </w:tcPr>
          <w:p>
            <w:pPr>
              <w:spacing w:after="0"/>
              <w:rPr>
                <w:sz w:val="20"/>
                <w:szCs w:val="20"/>
                <w:color w:val="auto"/>
              </w:rPr>
            </w:pPr>
            <w:r>
              <w:rPr>
                <w:rFonts w:ascii="Arial" w:cs="Arial" w:eastAsia="Arial" w:hAnsi="Arial"/>
                <w:sz w:val="18"/>
                <w:szCs w:val="18"/>
                <w:color w:val="auto"/>
              </w:rPr>
              <w:t>Exercisable at end of period</w:t>
            </w:r>
          </w:p>
        </w:tc>
        <w:tc>
          <w:tcPr>
            <w:tcW w:w="1380" w:type="dxa"/>
            <w:vAlign w:val="bottom"/>
          </w:tcPr>
          <w:p>
            <w:pPr>
              <w:jc w:val="right"/>
              <w:spacing w:after="0"/>
              <w:rPr>
                <w:sz w:val="20"/>
                <w:szCs w:val="20"/>
                <w:color w:val="auto"/>
              </w:rPr>
            </w:pPr>
            <w:r>
              <w:rPr>
                <w:rFonts w:ascii="Arial" w:cs="Arial" w:eastAsia="Arial" w:hAnsi="Arial"/>
                <w:sz w:val="18"/>
                <w:szCs w:val="18"/>
                <w:color w:val="auto"/>
              </w:rPr>
              <w:t>73,469</w:t>
            </w:r>
          </w:p>
        </w:tc>
        <w:tc>
          <w:tcPr>
            <w:tcW w:w="1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16.30</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The Company recorded $0.1 and $0.2 million in stock option compensation expense for the three and nine months ended September 30, 2018, respectively, related to the converted options from First Community. The Company recorded $0.1 million in stock option compensation expense for the three and nine months ended September 30, 2017. As of September 30, 2018, the Company had $0.2 million of unrecognized stock option expense. This cost is expected to be recognized over a period of 1.1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Plan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the Company’s stock unit awards for the nine months ended September 30, 2018, is as follows:</w:t>
      </w:r>
    </w:p>
    <w:tbl>
      <w:tblPr>
        <w:tblLayout w:type="fixed"/>
        <w:tblInd w:w="920" w:type="dxa"/>
        <w:tblCellMar>
          <w:top w:w="0" w:type="dxa"/>
          <w:left w:w="0" w:type="dxa"/>
          <w:bottom w:w="0" w:type="dxa"/>
          <w:right w:w="0" w:type="dxa"/>
        </w:tblCellMar>
      </w:tblPr>
      <w:tr>
        <w:trPr>
          <w:trHeight w:val="159"/>
        </w:trPr>
        <w:tc>
          <w:tcPr>
            <w:tcW w:w="28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w w:val="94"/>
              </w:rPr>
              <w:t>Weighted-</w:t>
            </w:r>
          </w:p>
        </w:tc>
        <w:tc>
          <w:tcPr>
            <w:tcW w:w="8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6"/>
              </w:rPr>
              <w:t>Director</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6"/>
              <w:spacing w:after="0" w:line="15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Units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2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at beginning of year</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587,763</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22.68</w:t>
            </w:r>
          </w:p>
        </w:tc>
        <w:tc>
          <w:tcPr>
            <w:tcW w:w="3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42,411</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189"/>
        </w:trPr>
        <w:tc>
          <w:tcPr>
            <w:tcW w:w="2860" w:type="dxa"/>
            <w:vAlign w:val="bottom"/>
          </w:tcPr>
          <w:p>
            <w:pPr>
              <w:ind w:left="180"/>
              <w:spacing w:after="0" w:line="189" w:lineRule="exact"/>
              <w:rPr>
                <w:sz w:val="20"/>
                <w:szCs w:val="20"/>
                <w:color w:val="auto"/>
              </w:rPr>
            </w:pPr>
            <w:r>
              <w:rPr>
                <w:rFonts w:ascii="Arial" w:cs="Arial" w:eastAsia="Arial" w:hAnsi="Arial"/>
                <w:sz w:val="18"/>
                <w:szCs w:val="18"/>
                <w:color w:val="auto"/>
              </w:rPr>
              <w:t>Reclass DSU to RSU</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23,977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25.47</w:t>
            </w: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(23,977)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Granted</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172,571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31.70</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20,500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189"/>
        </w:trPr>
        <w:tc>
          <w:tcPr>
            <w:tcW w:w="2860" w:type="dxa"/>
            <w:vAlign w:val="bottom"/>
          </w:tcPr>
          <w:p>
            <w:pPr>
              <w:ind w:left="220"/>
              <w:spacing w:after="0" w:line="189" w:lineRule="exact"/>
              <w:rPr>
                <w:sz w:val="20"/>
                <w:szCs w:val="20"/>
                <w:color w:val="auto"/>
              </w:rPr>
            </w:pPr>
            <w:r>
              <w:rPr>
                <w:rFonts w:ascii="Arial" w:cs="Arial" w:eastAsia="Arial" w:hAnsi="Arial"/>
                <w:sz w:val="18"/>
                <w:szCs w:val="18"/>
                <w:color w:val="auto"/>
              </w:rPr>
              <w:t>Dividend equivalents earned</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11,870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31.05</w:t>
            </w: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1,669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(104,512)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16.40</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(20,103)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189"/>
        </w:trPr>
        <w:tc>
          <w:tcPr>
            <w:tcW w:w="286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Forfeited</w:t>
            </w: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(6,183)</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24.84</w:t>
            </w:r>
          </w:p>
        </w:tc>
        <w:tc>
          <w:tcPr>
            <w:tcW w:w="3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at end of period</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685,486</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26.13</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20,500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7"/>
        </w:trPr>
        <w:tc>
          <w:tcPr>
            <w:tcW w:w="286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860" w:type="dxa"/>
            <w:vAlign w:val="bottom"/>
          </w:tcPr>
          <w:p>
            <w:pPr>
              <w:jc w:val="right"/>
              <w:spacing w:after="0"/>
              <w:rPr>
                <w:sz w:val="20"/>
                <w:szCs w:val="20"/>
                <w:color w:val="auto"/>
              </w:rPr>
            </w:pPr>
            <w:r>
              <w:rPr>
                <w:rFonts w:ascii="Arial" w:cs="Arial" w:eastAsia="Arial" w:hAnsi="Arial"/>
                <w:sz w:val="18"/>
                <w:szCs w:val="18"/>
                <w:color w:val="auto"/>
              </w:rPr>
              <w:t>685,486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26.13</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86,270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Recipients earn quarterly dividend equivalents on their respective units which entitle the recipients to additional units. Therefore, dividends earned each quarter compound based upon the updated unit balances. Upon vesting/delivery, shares are expected (though not required) to be issued from treasury.</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On August 1, 2018, under the terms of the 2010 Equity Incentive Plan, the Company granted 152,926 RSUs to members of</w:t>
      </w:r>
    </w:p>
    <w:p>
      <w:pPr>
        <w:spacing w:after="0"/>
        <w:rPr>
          <w:sz w:val="20"/>
          <w:szCs w:val="20"/>
          <w:color w:val="auto"/>
        </w:rPr>
      </w:pPr>
      <w:r>
        <w:rPr>
          <w:rFonts w:ascii="Arial" w:cs="Arial" w:eastAsia="Arial" w:hAnsi="Arial"/>
          <w:sz w:val="16"/>
          <w:szCs w:val="16"/>
          <w:color w:val="auto"/>
        </w:rPr>
        <w:t>management, and under the terms of the First Community 2016 Equity Incentive Plan, granted 12,545 RSUs to members of</w:t>
      </w:r>
    </w:p>
    <w:p>
      <w:pPr>
        <w:spacing w:after="0" w:line="215" w:lineRule="auto"/>
        <w:rPr>
          <w:sz w:val="20"/>
          <w:szCs w:val="20"/>
          <w:color w:val="auto"/>
        </w:rPr>
      </w:pPr>
      <w:r>
        <w:rPr>
          <w:rFonts w:ascii="Arial" w:cs="Arial" w:eastAsia="Arial" w:hAnsi="Arial"/>
          <w:sz w:val="17"/>
          <w:szCs w:val="17"/>
          <w:color w:val="auto"/>
        </w:rPr>
        <w:t>management who were legacy First Community employees. As the stock price on the grant date of August 1, 2018 was</w:t>
      </w:r>
    </w:p>
    <w:p>
      <w:pPr>
        <w:spacing w:after="0" w:line="216" w:lineRule="auto"/>
        <w:rPr>
          <w:sz w:val="20"/>
          <w:szCs w:val="20"/>
          <w:color w:val="auto"/>
        </w:rPr>
      </w:pPr>
      <w:r>
        <w:rPr>
          <w:rFonts w:ascii="Arial" w:cs="Arial" w:eastAsia="Arial" w:hAnsi="Arial"/>
          <w:sz w:val="17"/>
          <w:szCs w:val="17"/>
          <w:color w:val="auto"/>
        </w:rPr>
        <w:t>$31.70, total compensation cost to be recognized is $5.2 million. This cost will be recognized over a period of four to five</w:t>
      </w:r>
    </w:p>
    <w:p>
      <w:pPr>
        <w:spacing w:after="0" w:line="229" w:lineRule="auto"/>
        <w:rPr>
          <w:sz w:val="20"/>
          <w:szCs w:val="20"/>
          <w:color w:val="auto"/>
        </w:rPr>
      </w:pPr>
      <w:r>
        <w:rPr>
          <w:rFonts w:ascii="Arial" w:cs="Arial" w:eastAsia="Arial" w:hAnsi="Arial"/>
          <w:sz w:val="16"/>
          <w:szCs w:val="16"/>
          <w:color w:val="auto"/>
        </w:rPr>
        <w:t>years. Subsequent to the requisite service period, the awards will become 100% vested. Further, the Company granted 7,100</w:t>
      </w:r>
    </w:p>
    <w:p>
      <w:pPr>
        <w:spacing w:after="0" w:line="229" w:lineRule="auto"/>
        <w:rPr>
          <w:sz w:val="20"/>
          <w:szCs w:val="20"/>
          <w:color w:val="auto"/>
        </w:rPr>
      </w:pPr>
      <w:r>
        <w:rPr>
          <w:rFonts w:ascii="Arial" w:cs="Arial" w:eastAsia="Arial" w:hAnsi="Arial"/>
          <w:sz w:val="16"/>
          <w:szCs w:val="16"/>
          <w:color w:val="auto"/>
        </w:rPr>
        <w:t>RSUs, under the terms of the 2010 Equity Incentive Plan, to the Chairman of the Board. As the stock price on the grant date</w:t>
      </w:r>
    </w:p>
    <w:p>
      <w:pPr>
        <w:spacing w:after="0" w:line="229" w:lineRule="auto"/>
        <w:rPr>
          <w:sz w:val="20"/>
          <w:szCs w:val="20"/>
          <w:color w:val="auto"/>
        </w:rPr>
      </w:pPr>
      <w:r>
        <w:rPr>
          <w:rFonts w:ascii="Arial" w:cs="Arial" w:eastAsia="Arial" w:hAnsi="Arial"/>
          <w:sz w:val="16"/>
          <w:szCs w:val="16"/>
          <w:color w:val="auto"/>
        </w:rPr>
        <w:t>of August 1, 2018 was $31.70, total compensation cost to be recognized is $0.2 million. This cost will be recognized over a</w:t>
      </w:r>
    </w:p>
    <w:p>
      <w:pPr>
        <w:spacing w:after="0"/>
        <w:rPr>
          <w:sz w:val="20"/>
          <w:szCs w:val="20"/>
          <w:color w:val="auto"/>
        </w:rPr>
      </w:pPr>
      <w:r>
        <w:rPr>
          <w:rFonts w:ascii="Arial" w:cs="Arial" w:eastAsia="Arial" w:hAnsi="Arial"/>
          <w:sz w:val="18"/>
          <w:szCs w:val="18"/>
          <w:color w:val="auto"/>
        </w:rPr>
        <w:t>period of five years. Subsequent to the requisite service period, the awards will become 100% vested.</w:t>
      </w:r>
    </w:p>
    <w:p>
      <w:pPr>
        <w:spacing w:after="0" w:line="128"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On August 1, 2018, under the terms of the 2010 Equity Incentive Plan, the Company granted 17,500 DSUs to directors, and under the terms of the First Community 2016 Equity Incentive Plan, granted 1,500 DSUs to a director who was a legacy First Community director. In addition, under the terms of the 2010 Equity Incentive Plan, the Company granted 1,500 advisory DSUs to advisory directors. As the stock price on the grant date of August 1, 2018 was $31.70, total compensation cost to be recognized is $0.6 million. These costs will be recognized over the requisite service period of one year from the date of grant or the next Annual Meeting of Stockholders, whichever is earlier.</w:t>
      </w:r>
    </w:p>
    <w:p>
      <w:pPr>
        <w:spacing w:after="0" w:line="125"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Company recognized $0.9 million and $0.7 million of compensation expense related to non-vested RSUs and DSUs for the three months ended September 30, 2018 and 2017, respectively. The Company recognized $2.5 million and $1.9 million of compensation expense related to non-vested RSUs and DSUs for the nine months ended September 30, 2018 and 2017, respectively. As of September 30, 2018, there was $12.0 million of total unrecognized compensation cost related to these non-vested RSUs and DSUs. This cost is expected to be recognized over a period of 3.8 years.</w:t>
      </w:r>
    </w:p>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As of September 30, 2018, 740,943 shares remain available for issuance pursuant to the Company’s 2010 Equity Incentive Plan, 75,674 shares remain available for issuance pursuant to the Company’s Employee Stock Purchase Plan and 305,781 shares remain available for issuance pursuant to the First Community 2016 Equity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the Company was not under examination by any tax authority.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right="4180"/>
        <w:spacing w:after="0" w:line="409" w:lineRule="auto"/>
        <w:rPr>
          <w:sz w:val="20"/>
          <w:szCs w:val="20"/>
          <w:color w:val="auto"/>
        </w:rPr>
      </w:pPr>
      <w:r>
        <w:rPr>
          <w:rFonts w:ascii="Arial" w:cs="Arial" w:eastAsia="Arial" w:hAnsi="Arial"/>
          <w:sz w:val="18"/>
          <w:szCs w:val="18"/>
          <w:b w:val="1"/>
          <w:bCs w:val="1"/>
          <w:color w:val="auto"/>
        </w:rPr>
        <w:t xml:space="preserve">Note 13: Outstanding Commitments and Contingent Liabilities </w:t>
      </w:r>
      <w:r>
        <w:rPr>
          <w:rFonts w:ascii="Arial" w:cs="Arial" w:eastAsia="Arial" w:hAnsi="Arial"/>
          <w:sz w:val="18"/>
          <w:szCs w:val="18"/>
          <w:i w:val="1"/>
          <w:iCs w:val="1"/>
          <w:color w:val="auto"/>
        </w:rPr>
        <w:t>Legal Matters</w:t>
      </w:r>
    </w:p>
    <w:p>
      <w:pPr>
        <w:spacing w:after="0" w:line="1"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144"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unaudited Consolidated Balance Sheets.</w:t>
      </w:r>
    </w:p>
    <w:p>
      <w:pPr>
        <w:spacing w:after="0" w:line="122"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 xml:space="preserve">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41" w:lineRule="exact"/>
        <w:rPr>
          <w:sz w:val="20"/>
          <w:szCs w:val="20"/>
          <w:color w:val="auto"/>
        </w:rPr>
      </w:pPr>
    </w:p>
    <w:p>
      <w:pPr>
        <w:ind w:left="5780"/>
        <w:spacing w:after="0"/>
        <w:tabs>
          <w:tab w:leader="none" w:pos="764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December 31, 2017</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Financial instruments whose contract amounts represent credit risk:</w:t>
            </w:r>
          </w:p>
        </w:tc>
        <w:tc>
          <w:tcPr>
            <w:tcW w:w="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r>
      <w:tr>
        <w:trPr>
          <w:trHeight w:val="189"/>
        </w:trPr>
        <w:tc>
          <w:tcPr>
            <w:tcW w:w="5240" w:type="dxa"/>
            <w:vAlign w:val="bottom"/>
          </w:tcPr>
          <w:p>
            <w:pPr>
              <w:ind w:left="220"/>
              <w:spacing w:after="0" w:line="189" w:lineRule="exact"/>
              <w:rPr>
                <w:sz w:val="20"/>
                <w:szCs w:val="20"/>
                <w:color w:val="auto"/>
              </w:rPr>
            </w:pPr>
            <w:r>
              <w:rPr>
                <w:rFonts w:ascii="Arial" w:cs="Arial" w:eastAsia="Arial" w:hAnsi="Arial"/>
                <w:sz w:val="18"/>
                <w:szCs w:val="18"/>
                <w:color w:val="auto"/>
              </w:rPr>
              <w:t>Commitments to extend credit</w:t>
            </w:r>
          </w:p>
        </w:tc>
        <w:tc>
          <w:tcPr>
            <w:tcW w:w="78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1,296,406</w:t>
            </w:r>
          </w:p>
        </w:tc>
        <w:tc>
          <w:tcPr>
            <w:tcW w:w="7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1,300,294</w:t>
            </w: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Standby letters of credit</w:t>
            </w: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33,244</w:t>
            </w: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37,231</w:t>
            </w:r>
          </w:p>
        </w:tc>
      </w:tr>
    </w:tbl>
    <w:p>
      <w:pPr>
        <w:spacing w:after="0" w:line="148"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These commitments may be secured based on management’s credit evaluation of the borrower.</w:t>
      </w:r>
    </w:p>
    <w:p>
      <w:pPr>
        <w:spacing w:after="0" w:line="121"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Standby letters of credit are conditional commitments issued by the Company to guarantee the performance of a customer’s obligation to a third-party.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September 30, 2018 and December 31, 2017, no amounts were recorded as liabilities for the Company’s potential obligations under these guarantees.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Capital</w:t>
      </w:r>
    </w:p>
    <w:p>
      <w:pPr>
        <w:spacing w:after="0" w:line="148"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had been in a retained earnings deficit position since 2009, it was not able to pay dividends. With prior approval from its regulators, however, an Illinois state-chartered bank in that situation was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$40.0 million on October 12, 2018. Busey Bank returned to positive retained earnings in the second quarter of 2018. The Company expects Busey Bank to return to paying dividends in future periods.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The Company and Busey Bank are subject to regulatory capital requirements administered by federal and/or state agencies that involve the quantitative measure of their assets, liabilities, and certain off-balance-sheet items, as calculated under regulatory accounting practices. Quantitative measures established by regulations to ensure capital adequacy require the Company and Busey Bank to maintain minimum dollar amounts and ratios of such to risk weighted assets (as defined in the regulations and set forth in the table below) of total capital, Tier 1 capital and Common Equity Tier 1 capital, and for the bank, Tier 1 capital to average assets. Failure to meet minimum capital requirements may cause regulatory bodies to initiate certain discretionary and/or mandatory actions that, if undertaken, could have a direct material effect on our unaudited Consolidated Financial Statements. The Company, as a financial holding company, is required to be “well capitalized” in the capital categories shown in the table below. As of September 30, 2018, the Company and Busey Bank met all capital adequacy requirements to which they were subject, including the guidelines to be considered “well capitalized.”</w:t>
      </w:r>
    </w:p>
    <w:p>
      <w:pPr>
        <w:spacing w:after="0" w:line="122"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The Dodd-Frank Act established minimum capital levels for bank holding companies on a consolidated basis. The components of Tier 1 capital are restricted to capital instruments that, at the time of signing, were considered to be Tier 1 capital for insured depository institutions. Under this legislation, the Company is able to maintain its trust preferred securities as Tier 1 capital, but it will have to comply with new capital mandates in other respects, and it will not be able to raise Tier 1 capital through the issuance of trust preferred securities in the future.</w:t>
      </w:r>
    </w:p>
    <w:p>
      <w:pPr>
        <w:spacing w:after="0" w:line="122"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In July 2013, the U.S. federal banking authorities approved the implementation of the Basel III Rule required by the Dodd-Frank Act. The Basel III Rule is applicable to all U.S. banks that are subject to minimum capital requirements, as well as to bank and savings and loan holding companies other than “small bank holding companies” (generally non-public bank holding companies with consolidated assets of less than $1.0 billion). The Basel III Rule not only increased most of the required minimum regulatory capital ratios, but they also introduced a new Common Equity Tier 1 Capital ratio and the concept of a capital conservation buffer.</w:t>
      </w:r>
    </w:p>
    <w:p>
      <w:pPr>
        <w:spacing w:after="0" w:line="122" w:lineRule="exact"/>
        <w:rPr>
          <w:sz w:val="20"/>
          <w:szCs w:val="20"/>
          <w:color w:val="auto"/>
        </w:rPr>
      </w:pPr>
    </w:p>
    <w:p>
      <w:pPr>
        <w:jc w:val="both"/>
        <w:ind w:right="40"/>
        <w:spacing w:after="0" w:line="219" w:lineRule="auto"/>
        <w:rPr>
          <w:sz w:val="20"/>
          <w:szCs w:val="20"/>
          <w:color w:val="auto"/>
        </w:rPr>
      </w:pPr>
      <w:r>
        <w:rPr>
          <w:rFonts w:ascii="Arial" w:cs="Arial" w:eastAsia="Arial" w:hAnsi="Arial"/>
          <w:sz w:val="18"/>
          <w:szCs w:val="18"/>
          <w:color w:val="auto"/>
        </w:rPr>
        <w:t>The Basel III Rule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under the old guidelines no longer qualify, or their qualifications will change, as the Basel III Rule is being fully implemented.</w:t>
      </w:r>
    </w:p>
    <w:p>
      <w:pPr>
        <w:spacing w:after="0" w:line="122"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The Basel III Rule also permitted banking organizations with less than $15.0 billion in assets to retain, through a one-time election, the past treatment for accumulated other comprehensive income (loss), which did not affect regulatory capital. First Busey and Busey Bank made this election in the first quarter of 2015 to avoid variations in the level of their capital depending on fluctuations in the fair value of their securities portfolio. The Basel III Rule maintained the general structure of the prompt corrective action framework, while incorporating increased requirements. The prompt corrective action guidelines were also revised to add the Common Equity Tier 1 Capital ratio. Under the final capital rules that became effective on January 1, 2015, there was a requirement for a Common Equity Tier 1 capital conservation buffer of 2.5% of risk weighted assets which is in addition to the other minimum risk based capital standards in the rule. Failure to maintain the buffer will result in restrictions on the Company’s ability to make capital distributions, including the payment of dividends, and to pay discretionary bonuses to executive officers. The capital buffer requirement is being phased-in over three years beginning in 2016.</w:t>
      </w:r>
    </w:p>
    <w:p>
      <w:pPr>
        <w:spacing w:after="0" w:line="127"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 xml:space="preserve">The September 30, 2018 table below includes the 1.875% increase as of January 1, 2018 in the minimum capital requirement ratios. The capital buffer requirement effectively raises the minimum required Common Equity Tier 1 Capital ratio to 7.0%, the Tier 1 Capital ratio to 8.5%, and the Total Capital ratio to 10.5% on a fully phased-in basis on January 1, 2019. As of September 30, 2018 and December 31, 2017, the Company was in compliance with the current phase of the Basel III Rule and management believes that the Company would meet all capital adequacy requirements under the Basel III Rule on a fully phased-in basis as if such requirements had been in effect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rPr>
              <w:t>Minimum</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w w:val="98"/>
              </w:rPr>
              <w:t>Actual</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Capital Requirement with</w:t>
            </w:r>
          </w:p>
        </w:tc>
        <w:tc>
          <w:tcPr>
            <w:tcW w:w="120" w:type="dxa"/>
            <w:vAlign w:val="bottom"/>
          </w:tcPr>
          <w:p>
            <w:pPr>
              <w:spacing w:after="0"/>
              <w:rPr>
                <w:sz w:val="12"/>
                <w:szCs w:val="12"/>
                <w:color w:val="auto"/>
              </w:rPr>
            </w:pPr>
          </w:p>
        </w:tc>
        <w:tc>
          <w:tcPr>
            <w:tcW w:w="15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To Be Well</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Capital Buffer</w:t>
            </w:r>
          </w:p>
        </w:tc>
        <w:tc>
          <w:tcPr>
            <w:tcW w:w="120" w:type="dxa"/>
            <w:vAlign w:val="bottom"/>
          </w:tcPr>
          <w:p>
            <w:pPr>
              <w:spacing w:after="0"/>
              <w:rPr>
                <w:sz w:val="14"/>
                <w:szCs w:val="1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Capitalized</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Ratio</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Ratio</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40" w:type="dxa"/>
            <w:vAlign w:val="bottom"/>
            <w:tcBorders>
              <w:top w:val="single" w:sz="8" w:color="CCEEFF"/>
            </w:tcBorders>
            <w:gridSpan w:val="6"/>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 of September 30, 2018:</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40" w:type="dxa"/>
            <w:vAlign w:val="bottom"/>
            <w:gridSpan w:val="6"/>
          </w:tcPr>
          <w:p>
            <w:pPr>
              <w:spacing w:after="0" w:line="162" w:lineRule="exact"/>
              <w:rPr>
                <w:sz w:val="20"/>
                <w:szCs w:val="20"/>
                <w:color w:val="auto"/>
              </w:rPr>
            </w:pPr>
            <w:r>
              <w:rPr>
                <w:rFonts w:ascii="Arial" w:cs="Arial" w:eastAsia="Arial" w:hAnsi="Arial"/>
                <w:sz w:val="18"/>
                <w:szCs w:val="18"/>
                <w:color w:val="auto"/>
              </w:rPr>
              <w:t>Total Capital (to Risk Weighted Assets)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Borders>
              <w:top w:val="single" w:sz="8" w:color="auto"/>
            </w:tcBorders>
            <w:gridSpan w:val="3"/>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w:t>
            </w:r>
          </w:p>
        </w:tc>
        <w:tc>
          <w:tcPr>
            <w:tcW w:w="780" w:type="dxa"/>
            <w:vAlign w:val="bottom"/>
            <w:gridSpan w:val="3"/>
            <w:shd w:val="clear" w:color="auto" w:fill="CCEEFF"/>
          </w:tcPr>
          <w:p>
            <w:pPr>
              <w:spacing w:after="0"/>
              <w:rPr>
                <w:sz w:val="16"/>
                <w:szCs w:val="16"/>
                <w:color w:val="auto"/>
              </w:rPr>
            </w:pPr>
          </w:p>
        </w:tc>
        <w:tc>
          <w:tcPr>
            <w:tcW w:w="1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877,322</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9"/>
              </w:rPr>
              <w:t>14.34 %</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603,990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6"/>
              </w:rPr>
              <w:t>9.875 %</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611,636</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189"/>
        </w:trPr>
        <w:tc>
          <w:tcPr>
            <w:tcW w:w="3640" w:type="dxa"/>
            <w:vAlign w:val="bottom"/>
            <w:gridSpan w:val="6"/>
          </w:tcPr>
          <w:p>
            <w:pPr>
              <w:ind w:left="220"/>
              <w:spacing w:after="0" w:line="189" w:lineRule="exact"/>
              <w:rPr>
                <w:sz w:val="20"/>
                <w:szCs w:val="20"/>
                <w:color w:val="auto"/>
              </w:rPr>
            </w:pPr>
            <w:r>
              <w:rPr>
                <w:rFonts w:ascii="Arial" w:cs="Arial" w:eastAsia="Arial" w:hAnsi="Arial"/>
                <w:sz w:val="18"/>
                <w:szCs w:val="18"/>
                <w:color w:val="auto"/>
              </w:rPr>
              <w:t>Busey Bank</w:t>
            </w:r>
          </w:p>
        </w:tc>
        <w:tc>
          <w:tcPr>
            <w:tcW w:w="1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865,523</w:t>
            </w:r>
          </w:p>
        </w:tc>
        <w:tc>
          <w:tcPr>
            <w:tcW w:w="16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9"/>
              </w:rPr>
              <w:t>14.22 %</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600,987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w w:val="96"/>
              </w:rPr>
              <w:t>9.875 %</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w w:val="92"/>
              </w:rPr>
              <w:t>608,594</w:t>
            </w:r>
          </w:p>
        </w:tc>
        <w:tc>
          <w:tcPr>
            <w:tcW w:w="140" w:type="dxa"/>
            <w:vAlign w:val="bottom"/>
          </w:tcPr>
          <w:p>
            <w:pPr>
              <w:spacing w:after="0"/>
              <w:rPr>
                <w:sz w:val="16"/>
                <w:szCs w:val="16"/>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40" w:type="dxa"/>
            <w:vAlign w:val="bottom"/>
            <w:gridSpan w:val="6"/>
          </w:tcPr>
          <w:p>
            <w:pPr>
              <w:spacing w:after="0" w:line="162" w:lineRule="exact"/>
              <w:rPr>
                <w:sz w:val="20"/>
                <w:szCs w:val="20"/>
                <w:color w:val="auto"/>
              </w:rPr>
            </w:pPr>
            <w:r>
              <w:rPr>
                <w:rFonts w:ascii="Arial" w:cs="Arial" w:eastAsia="Arial" w:hAnsi="Arial"/>
                <w:sz w:val="18"/>
                <w:szCs w:val="18"/>
                <w:color w:val="auto"/>
              </w:rPr>
              <w:t>Tier 1 Capital (to Risk Weighted Assets)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Borders>
              <w:top w:val="single" w:sz="8" w:color="auto"/>
            </w:tcBorders>
            <w:gridSpan w:val="4"/>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w:t>
            </w:r>
          </w:p>
        </w:tc>
        <w:tc>
          <w:tcPr>
            <w:tcW w:w="720" w:type="dxa"/>
            <w:vAlign w:val="bottom"/>
            <w:gridSpan w:val="2"/>
            <w:shd w:val="clear" w:color="auto" w:fill="CCEEFF"/>
          </w:tcPr>
          <w:p>
            <w:pPr>
              <w:spacing w:after="0"/>
              <w:rPr>
                <w:sz w:val="16"/>
                <w:szCs w:val="16"/>
                <w:color w:val="auto"/>
              </w:rPr>
            </w:pPr>
          </w:p>
        </w:tc>
        <w:tc>
          <w:tcPr>
            <w:tcW w:w="1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764,579</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9"/>
              </w:rPr>
              <w:t>12.50 %</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481,663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6"/>
              </w:rPr>
              <w:t>7.875 %</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489,309</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189"/>
        </w:trPr>
        <w:tc>
          <w:tcPr>
            <w:tcW w:w="3640" w:type="dxa"/>
            <w:vAlign w:val="bottom"/>
            <w:gridSpan w:val="6"/>
          </w:tcPr>
          <w:p>
            <w:pPr>
              <w:ind w:left="220"/>
              <w:spacing w:after="0" w:line="189" w:lineRule="exact"/>
              <w:rPr>
                <w:sz w:val="20"/>
                <w:szCs w:val="20"/>
                <w:color w:val="auto"/>
              </w:rPr>
            </w:pPr>
            <w:r>
              <w:rPr>
                <w:rFonts w:ascii="Arial" w:cs="Arial" w:eastAsia="Arial" w:hAnsi="Arial"/>
                <w:sz w:val="18"/>
                <w:szCs w:val="18"/>
                <w:color w:val="auto"/>
              </w:rPr>
              <w:t>Busey Bank</w:t>
            </w:r>
          </w:p>
        </w:tc>
        <w:tc>
          <w:tcPr>
            <w:tcW w:w="1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812,780</w:t>
            </w:r>
          </w:p>
        </w:tc>
        <w:tc>
          <w:tcPr>
            <w:tcW w:w="16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9"/>
              </w:rPr>
              <w:t>13.36 %</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479,268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w w:val="96"/>
              </w:rPr>
              <w:t>7.875 %</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w w:val="92"/>
              </w:rPr>
              <w:t>486,875</w:t>
            </w:r>
          </w:p>
        </w:tc>
        <w:tc>
          <w:tcPr>
            <w:tcW w:w="140" w:type="dxa"/>
            <w:vAlign w:val="bottom"/>
          </w:tcPr>
          <w:p>
            <w:pPr>
              <w:spacing w:after="0"/>
              <w:rPr>
                <w:sz w:val="16"/>
                <w:szCs w:val="16"/>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40" w:type="dxa"/>
            <w:vAlign w:val="bottom"/>
            <w:gridSpan w:val="6"/>
          </w:tcPr>
          <w:p>
            <w:pPr>
              <w:spacing w:after="0" w:line="162" w:lineRule="exact"/>
              <w:rPr>
                <w:sz w:val="20"/>
                <w:szCs w:val="20"/>
                <w:color w:val="auto"/>
              </w:rPr>
            </w:pPr>
            <w:r>
              <w:rPr>
                <w:rFonts w:ascii="Arial" w:cs="Arial" w:eastAsia="Arial" w:hAnsi="Arial"/>
                <w:sz w:val="18"/>
                <w:szCs w:val="18"/>
                <w:color w:val="auto"/>
                <w:w w:val="93"/>
              </w:rPr>
              <w:t>Common Equity Tier 1 Capital (to Risk Weighted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86"/>
              </w:rPr>
              <w:t>Assets)</w:t>
            </w:r>
          </w:p>
        </w:tc>
        <w:tc>
          <w:tcPr>
            <w:tcW w:w="3040" w:type="dxa"/>
            <w:vAlign w:val="bottom"/>
            <w:tcBorders>
              <w:top w:val="single" w:sz="8" w:color="auto"/>
            </w:tcBorders>
            <w:gridSpan w:val="4"/>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40" w:type="dxa"/>
            <w:vAlign w:val="bottom"/>
            <w:gridSpan w:val="6"/>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w:t>
            </w:r>
          </w:p>
        </w:tc>
        <w:tc>
          <w:tcPr>
            <w:tcW w:w="1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690,579</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9"/>
              </w:rPr>
              <w:t>11.29 %</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389,918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6"/>
              </w:rPr>
              <w:t>6.375 %</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397,564</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189"/>
        </w:trPr>
        <w:tc>
          <w:tcPr>
            <w:tcW w:w="3640" w:type="dxa"/>
            <w:vAlign w:val="bottom"/>
            <w:gridSpan w:val="6"/>
          </w:tcPr>
          <w:p>
            <w:pPr>
              <w:ind w:left="220"/>
              <w:spacing w:after="0" w:line="189" w:lineRule="exact"/>
              <w:rPr>
                <w:sz w:val="20"/>
                <w:szCs w:val="20"/>
                <w:color w:val="auto"/>
              </w:rPr>
            </w:pPr>
            <w:r>
              <w:rPr>
                <w:rFonts w:ascii="Arial" w:cs="Arial" w:eastAsia="Arial" w:hAnsi="Arial"/>
                <w:sz w:val="18"/>
                <w:szCs w:val="18"/>
                <w:color w:val="auto"/>
              </w:rPr>
              <w:t>Busey Bank</w:t>
            </w:r>
          </w:p>
        </w:tc>
        <w:tc>
          <w:tcPr>
            <w:tcW w:w="1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812,780</w:t>
            </w:r>
          </w:p>
        </w:tc>
        <w:tc>
          <w:tcPr>
            <w:tcW w:w="16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9"/>
              </w:rPr>
              <w:t>13.36 %</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387,979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w w:val="96"/>
              </w:rPr>
              <w:t>6.375 %</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w w:val="92"/>
              </w:rPr>
              <w:t>395,586</w:t>
            </w:r>
          </w:p>
        </w:tc>
        <w:tc>
          <w:tcPr>
            <w:tcW w:w="140" w:type="dxa"/>
            <w:vAlign w:val="bottom"/>
          </w:tcPr>
          <w:p>
            <w:pPr>
              <w:spacing w:after="0"/>
              <w:rPr>
                <w:sz w:val="16"/>
                <w:szCs w:val="16"/>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w w:val="90"/>
              </w:rPr>
              <w:t>Tier 1 Capital (to Average Assets)</w:t>
            </w:r>
          </w:p>
        </w:tc>
        <w:tc>
          <w:tcPr>
            <w:tcW w:w="11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40" w:type="dxa"/>
            <w:vAlign w:val="bottom"/>
            <w:gridSpan w:val="6"/>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w:t>
            </w:r>
          </w:p>
        </w:tc>
        <w:tc>
          <w:tcPr>
            <w:tcW w:w="1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764,579</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9"/>
              </w:rPr>
              <w:t>10.17 %</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300,787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640" w:type="dxa"/>
            <w:vAlign w:val="bottom"/>
            <w:gridSpan w:val="6"/>
          </w:tcPr>
          <w:p>
            <w:pPr>
              <w:ind w:left="220"/>
              <w:spacing w:after="0"/>
              <w:rPr>
                <w:sz w:val="20"/>
                <w:szCs w:val="20"/>
                <w:color w:val="auto"/>
              </w:rPr>
            </w:pPr>
            <w:r>
              <w:rPr>
                <w:rFonts w:ascii="Arial" w:cs="Arial" w:eastAsia="Arial" w:hAnsi="Arial"/>
                <w:sz w:val="18"/>
                <w:szCs w:val="18"/>
                <w:color w:val="auto"/>
              </w:rPr>
              <w:t>Busey Bank</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812,780</w:t>
            </w: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10.84 %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299,786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4.00 %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374,733</w:t>
            </w:r>
          </w:p>
        </w:tc>
        <w:tc>
          <w:tcPr>
            <w:tcW w:w="1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rPr>
              <w:t>Minimum</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w w:val="98"/>
              </w:rPr>
              <w:t>Actual</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Capital Requirement with</w:t>
            </w:r>
          </w:p>
        </w:tc>
        <w:tc>
          <w:tcPr>
            <w:tcW w:w="120" w:type="dxa"/>
            <w:vAlign w:val="bottom"/>
          </w:tcPr>
          <w:p>
            <w:pPr>
              <w:spacing w:after="0"/>
              <w:rPr>
                <w:sz w:val="12"/>
                <w:szCs w:val="12"/>
                <w:color w:val="auto"/>
              </w:rPr>
            </w:pPr>
          </w:p>
        </w:tc>
        <w:tc>
          <w:tcPr>
            <w:tcW w:w="15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To Be Well</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Capital Buffer</w:t>
            </w:r>
          </w:p>
        </w:tc>
        <w:tc>
          <w:tcPr>
            <w:tcW w:w="120" w:type="dxa"/>
            <w:vAlign w:val="bottom"/>
          </w:tcPr>
          <w:p>
            <w:pPr>
              <w:spacing w:after="0"/>
              <w:rPr>
                <w:sz w:val="14"/>
                <w:szCs w:val="1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Capitalized</w:t>
            </w:r>
          </w:p>
        </w:tc>
        <w:tc>
          <w:tcPr>
            <w:tcW w:w="0" w:type="dxa"/>
            <w:vAlign w:val="bottom"/>
          </w:tcPr>
          <w:p>
            <w:pPr>
              <w:spacing w:after="0"/>
              <w:rPr>
                <w:sz w:val="1"/>
                <w:szCs w:val="1"/>
                <w:color w:val="auto"/>
              </w:rPr>
            </w:pPr>
          </w:p>
        </w:tc>
      </w:tr>
      <w:tr>
        <w:trPr>
          <w:trHeight w:val="142"/>
        </w:trPr>
        <w:tc>
          <w:tcPr>
            <w:tcW w:w="54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Ratio</w:t>
            </w:r>
          </w:p>
        </w:tc>
        <w:tc>
          <w:tcPr>
            <w:tcW w:w="2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Ratio</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40" w:type="dxa"/>
            <w:vAlign w:val="bottom"/>
            <w:gridSpan w:val="6"/>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 of December 31, 2017:</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40" w:type="dxa"/>
            <w:vAlign w:val="bottom"/>
            <w:gridSpan w:val="6"/>
          </w:tcPr>
          <w:p>
            <w:pPr>
              <w:spacing w:after="0" w:line="162" w:lineRule="exact"/>
              <w:rPr>
                <w:sz w:val="20"/>
                <w:szCs w:val="20"/>
                <w:color w:val="auto"/>
              </w:rPr>
            </w:pPr>
            <w:r>
              <w:rPr>
                <w:rFonts w:ascii="Arial" w:cs="Arial" w:eastAsia="Arial" w:hAnsi="Arial"/>
                <w:sz w:val="18"/>
                <w:szCs w:val="18"/>
                <w:color w:val="auto"/>
              </w:rPr>
              <w:t>Total Capital (to Risk Weighted Assets)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Borders>
              <w:top w:val="single" w:sz="8" w:color="auto"/>
            </w:tcBorders>
            <w:gridSpan w:val="3"/>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w:t>
            </w:r>
          </w:p>
        </w:tc>
        <w:tc>
          <w:tcPr>
            <w:tcW w:w="780" w:type="dxa"/>
            <w:vAlign w:val="bottom"/>
            <w:gridSpan w:val="3"/>
            <w:shd w:val="clear" w:color="auto" w:fill="CCEEFF"/>
          </w:tcPr>
          <w:p>
            <w:pPr>
              <w:spacing w:after="0"/>
              <w:rPr>
                <w:sz w:val="16"/>
                <w:szCs w:val="16"/>
                <w:color w:val="auto"/>
              </w:rPr>
            </w:pPr>
          </w:p>
        </w:tc>
        <w:tc>
          <w:tcPr>
            <w:tcW w:w="1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837,183</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9"/>
              </w:rPr>
              <w:t>14.15 %</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547,265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6"/>
              </w:rPr>
              <w:t>9.250 %</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591,638</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189"/>
        </w:trPr>
        <w:tc>
          <w:tcPr>
            <w:tcW w:w="3640" w:type="dxa"/>
            <w:vAlign w:val="bottom"/>
            <w:gridSpan w:val="6"/>
          </w:tcPr>
          <w:p>
            <w:pPr>
              <w:ind w:left="220"/>
              <w:spacing w:after="0" w:line="189" w:lineRule="exact"/>
              <w:rPr>
                <w:sz w:val="20"/>
                <w:szCs w:val="20"/>
                <w:color w:val="auto"/>
              </w:rPr>
            </w:pPr>
            <w:r>
              <w:rPr>
                <w:rFonts w:ascii="Arial" w:cs="Arial" w:eastAsia="Arial" w:hAnsi="Arial"/>
                <w:sz w:val="18"/>
                <w:szCs w:val="18"/>
                <w:color w:val="auto"/>
              </w:rPr>
              <w:t>Busey Bank</w:t>
            </w:r>
          </w:p>
        </w:tc>
        <w:tc>
          <w:tcPr>
            <w:tcW w:w="1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704,807</w:t>
            </w:r>
          </w:p>
        </w:tc>
        <w:tc>
          <w:tcPr>
            <w:tcW w:w="16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9"/>
              </w:rPr>
              <w:t>12.78 %</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509,978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w w:val="96"/>
              </w:rPr>
              <w:t>9.250 %</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w w:val="92"/>
              </w:rPr>
              <w:t>551,327</w:t>
            </w:r>
          </w:p>
        </w:tc>
        <w:tc>
          <w:tcPr>
            <w:tcW w:w="140" w:type="dxa"/>
            <w:vAlign w:val="bottom"/>
          </w:tcPr>
          <w:p>
            <w:pPr>
              <w:spacing w:after="0"/>
              <w:rPr>
                <w:sz w:val="16"/>
                <w:szCs w:val="16"/>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189"/>
        </w:trPr>
        <w:tc>
          <w:tcPr>
            <w:tcW w:w="3640" w:type="dxa"/>
            <w:vAlign w:val="bottom"/>
            <w:gridSpan w:val="6"/>
            <w:shd w:val="clear" w:color="auto" w:fill="CCEEFF"/>
          </w:tcPr>
          <w:p>
            <w:pPr>
              <w:ind w:left="220"/>
              <w:spacing w:after="0" w:line="189" w:lineRule="exact"/>
              <w:rPr>
                <w:sz w:val="20"/>
                <w:szCs w:val="20"/>
                <w:color w:val="auto"/>
              </w:rPr>
            </w:pPr>
            <w:r>
              <w:rPr>
                <w:rFonts w:ascii="Arial" w:cs="Arial" w:eastAsia="Arial" w:hAnsi="Arial"/>
                <w:sz w:val="18"/>
                <w:szCs w:val="18"/>
                <w:color w:val="auto"/>
              </w:rPr>
              <w:t>South Side Bank</w:t>
            </w:r>
          </w:p>
        </w:tc>
        <w:tc>
          <w:tcPr>
            <w:tcW w:w="1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84,914</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9"/>
              </w:rPr>
              <w:t>22.61 %</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34,744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6"/>
              </w:rPr>
              <w:t>9.250 %</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37,561</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40" w:type="dxa"/>
            <w:vAlign w:val="bottom"/>
            <w:gridSpan w:val="6"/>
            <w:shd w:val="clear" w:color="auto" w:fill="CCEEFF"/>
          </w:tcPr>
          <w:p>
            <w:pPr>
              <w:spacing w:after="0" w:line="162" w:lineRule="exact"/>
              <w:rPr>
                <w:sz w:val="20"/>
                <w:szCs w:val="20"/>
                <w:color w:val="auto"/>
              </w:rPr>
            </w:pPr>
            <w:r>
              <w:rPr>
                <w:rFonts w:ascii="Arial" w:cs="Arial" w:eastAsia="Arial" w:hAnsi="Arial"/>
                <w:sz w:val="18"/>
                <w:szCs w:val="18"/>
                <w:color w:val="auto"/>
              </w:rPr>
              <w:t>Tier 1 Capital (to Risk Weighted Assets)</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Borders>
              <w:top w:val="single" w:sz="8" w:color="auto"/>
            </w:tcBorders>
            <w:gridSpan w:val="4"/>
          </w:tcPr>
          <w:p>
            <w:pPr>
              <w:ind w:left="220"/>
              <w:spacing w:after="0" w:line="189" w:lineRule="exact"/>
              <w:rPr>
                <w:sz w:val="20"/>
                <w:szCs w:val="20"/>
                <w:color w:val="auto"/>
              </w:rPr>
            </w:pPr>
            <w:r>
              <w:rPr>
                <w:rFonts w:ascii="Arial" w:cs="Arial" w:eastAsia="Arial" w:hAnsi="Arial"/>
                <w:sz w:val="18"/>
                <w:szCs w:val="18"/>
                <w:color w:val="auto"/>
              </w:rPr>
              <w:t>Consolidated</w:t>
            </w:r>
          </w:p>
        </w:tc>
        <w:tc>
          <w:tcPr>
            <w:tcW w:w="720" w:type="dxa"/>
            <w:vAlign w:val="bottom"/>
            <w:tcBorders>
              <w:top w:val="single" w:sz="8" w:color="CCEEFF"/>
            </w:tcBorders>
            <w:gridSpan w:val="2"/>
          </w:tcPr>
          <w:p>
            <w:pPr>
              <w:spacing w:after="0"/>
              <w:rPr>
                <w:sz w:val="16"/>
                <w:szCs w:val="16"/>
                <w:color w:val="auto"/>
              </w:rPr>
            </w:pPr>
          </w:p>
        </w:tc>
        <w:tc>
          <w:tcPr>
            <w:tcW w:w="160" w:type="dxa"/>
            <w:vAlign w:val="bottom"/>
            <w:tcBorders>
              <w:top w:val="single" w:sz="8" w:color="CCEEFF"/>
            </w:tcBorders>
            <w:gridSpan w:val="2"/>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w w:val="95"/>
              </w:rPr>
              <w:t>718,101</w:t>
            </w:r>
          </w:p>
        </w:tc>
        <w:tc>
          <w:tcPr>
            <w:tcW w:w="16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jc w:val="right"/>
              <w:ind w:right="60"/>
              <w:spacing w:after="0" w:line="189" w:lineRule="exact"/>
              <w:rPr>
                <w:sz w:val="20"/>
                <w:szCs w:val="20"/>
                <w:color w:val="auto"/>
              </w:rPr>
            </w:pPr>
            <w:r>
              <w:rPr>
                <w:rFonts w:ascii="Arial" w:cs="Arial" w:eastAsia="Arial" w:hAnsi="Arial"/>
                <w:sz w:val="18"/>
                <w:szCs w:val="18"/>
                <w:color w:val="auto"/>
                <w:w w:val="99"/>
              </w:rPr>
              <w:t>12.14 %</w:t>
            </w:r>
          </w:p>
        </w:tc>
        <w:tc>
          <w:tcPr>
            <w:tcW w:w="180" w:type="dxa"/>
            <w:vAlign w:val="bottom"/>
            <w:tcBorders>
              <w:top w:val="single" w:sz="8" w:color="CCEEFF"/>
            </w:tcBorders>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w w:val="95"/>
              </w:rPr>
              <w:t>428,937</w:t>
            </w: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jc w:val="right"/>
              <w:ind w:right="80"/>
              <w:spacing w:after="0" w:line="189" w:lineRule="exact"/>
              <w:rPr>
                <w:sz w:val="20"/>
                <w:szCs w:val="20"/>
                <w:color w:val="auto"/>
              </w:rPr>
            </w:pPr>
            <w:r>
              <w:rPr>
                <w:rFonts w:ascii="Arial" w:cs="Arial" w:eastAsia="Arial" w:hAnsi="Arial"/>
                <w:sz w:val="18"/>
                <w:szCs w:val="18"/>
                <w:color w:val="auto"/>
                <w:w w:val="96"/>
              </w:rPr>
              <w:t>7.250 %</w:t>
            </w:r>
          </w:p>
        </w:tc>
        <w:tc>
          <w:tcPr>
            <w:tcW w:w="1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w w:val="92"/>
              </w:rPr>
              <w:t>473,310</w:t>
            </w:r>
          </w:p>
        </w:tc>
        <w:tc>
          <w:tcPr>
            <w:tcW w:w="1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gridSpan w:val="2"/>
          </w:tcPr>
          <w:p>
            <w:pPr>
              <w:jc w:val="right"/>
              <w:ind w:right="80"/>
              <w:spacing w:after="0" w:line="189"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189"/>
        </w:trPr>
        <w:tc>
          <w:tcPr>
            <w:tcW w:w="3640" w:type="dxa"/>
            <w:vAlign w:val="bottom"/>
            <w:gridSpan w:val="6"/>
            <w:shd w:val="clear" w:color="auto" w:fill="CCEEFF"/>
          </w:tcPr>
          <w:p>
            <w:pPr>
              <w:ind w:left="220"/>
              <w:spacing w:after="0" w:line="189" w:lineRule="exact"/>
              <w:rPr>
                <w:sz w:val="20"/>
                <w:szCs w:val="20"/>
                <w:color w:val="auto"/>
              </w:rPr>
            </w:pPr>
            <w:r>
              <w:rPr>
                <w:rFonts w:ascii="Arial" w:cs="Arial" w:eastAsia="Arial" w:hAnsi="Arial"/>
                <w:sz w:val="18"/>
                <w:szCs w:val="18"/>
                <w:color w:val="auto"/>
              </w:rPr>
              <w:t>Busey Bank</w:t>
            </w:r>
          </w:p>
        </w:tc>
        <w:tc>
          <w:tcPr>
            <w:tcW w:w="1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651,432</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9"/>
              </w:rPr>
              <w:t>11.82 %</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399,713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6"/>
              </w:rPr>
              <w:t>7.250 %</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441,062</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189"/>
        </w:trPr>
        <w:tc>
          <w:tcPr>
            <w:tcW w:w="3640" w:type="dxa"/>
            <w:vAlign w:val="bottom"/>
            <w:gridSpan w:val="6"/>
          </w:tcPr>
          <w:p>
            <w:pPr>
              <w:ind w:left="220"/>
              <w:spacing w:after="0" w:line="189" w:lineRule="exact"/>
              <w:rPr>
                <w:sz w:val="20"/>
                <w:szCs w:val="20"/>
                <w:color w:val="auto"/>
              </w:rPr>
            </w:pPr>
            <w:r>
              <w:rPr>
                <w:rFonts w:ascii="Arial" w:cs="Arial" w:eastAsia="Arial" w:hAnsi="Arial"/>
                <w:sz w:val="18"/>
                <w:szCs w:val="18"/>
                <w:color w:val="auto"/>
              </w:rPr>
              <w:t>South Side Bank</w:t>
            </w:r>
          </w:p>
        </w:tc>
        <w:tc>
          <w:tcPr>
            <w:tcW w:w="1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84,707</w:t>
            </w:r>
          </w:p>
        </w:tc>
        <w:tc>
          <w:tcPr>
            <w:tcW w:w="16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9"/>
              </w:rPr>
              <w:t>22.55 %</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27,232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w w:val="96"/>
              </w:rPr>
              <w:t>7.250 %</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30,049</w:t>
            </w:r>
          </w:p>
        </w:tc>
        <w:tc>
          <w:tcPr>
            <w:tcW w:w="140" w:type="dxa"/>
            <w:vAlign w:val="bottom"/>
          </w:tcPr>
          <w:p>
            <w:pPr>
              <w:spacing w:after="0"/>
              <w:rPr>
                <w:sz w:val="16"/>
                <w:szCs w:val="16"/>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40" w:type="dxa"/>
            <w:vAlign w:val="bottom"/>
            <w:gridSpan w:val="6"/>
          </w:tcPr>
          <w:p>
            <w:pPr>
              <w:spacing w:after="0" w:line="162" w:lineRule="exact"/>
              <w:rPr>
                <w:sz w:val="20"/>
                <w:szCs w:val="20"/>
                <w:color w:val="auto"/>
              </w:rPr>
            </w:pPr>
            <w:r>
              <w:rPr>
                <w:rFonts w:ascii="Arial" w:cs="Arial" w:eastAsia="Arial" w:hAnsi="Arial"/>
                <w:sz w:val="18"/>
                <w:szCs w:val="18"/>
                <w:color w:val="auto"/>
                <w:w w:val="93"/>
              </w:rPr>
              <w:t>Common Equity Tier 1 Capital (to Risk Weighted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86"/>
              </w:rPr>
              <w:t>Assets)</w:t>
            </w:r>
          </w:p>
        </w:tc>
        <w:tc>
          <w:tcPr>
            <w:tcW w:w="3040" w:type="dxa"/>
            <w:vAlign w:val="bottom"/>
            <w:tcBorders>
              <w:top w:val="single" w:sz="8" w:color="auto"/>
            </w:tcBorders>
            <w:gridSpan w:val="4"/>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40" w:type="dxa"/>
            <w:vAlign w:val="bottom"/>
            <w:gridSpan w:val="6"/>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w:t>
            </w:r>
          </w:p>
        </w:tc>
        <w:tc>
          <w:tcPr>
            <w:tcW w:w="1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644,633</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9"/>
              </w:rPr>
              <w:t>10.90 %</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340,192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6"/>
              </w:rPr>
              <w:t>5.750 %</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384,565</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189"/>
        </w:trPr>
        <w:tc>
          <w:tcPr>
            <w:tcW w:w="3640" w:type="dxa"/>
            <w:vAlign w:val="bottom"/>
            <w:gridSpan w:val="6"/>
          </w:tcPr>
          <w:p>
            <w:pPr>
              <w:ind w:left="220"/>
              <w:spacing w:after="0" w:line="189" w:lineRule="exact"/>
              <w:rPr>
                <w:sz w:val="20"/>
                <w:szCs w:val="20"/>
                <w:color w:val="auto"/>
              </w:rPr>
            </w:pPr>
            <w:r>
              <w:rPr>
                <w:rFonts w:ascii="Arial" w:cs="Arial" w:eastAsia="Arial" w:hAnsi="Arial"/>
                <w:sz w:val="18"/>
                <w:szCs w:val="18"/>
                <w:color w:val="auto"/>
              </w:rPr>
              <w:t>Busey Bank</w:t>
            </w:r>
          </w:p>
        </w:tc>
        <w:tc>
          <w:tcPr>
            <w:tcW w:w="1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651,432</w:t>
            </w:r>
          </w:p>
        </w:tc>
        <w:tc>
          <w:tcPr>
            <w:tcW w:w="16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9"/>
              </w:rPr>
              <w:t>11.82 %</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317,013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w w:val="96"/>
              </w:rPr>
              <w:t>5.750 %</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w w:val="92"/>
              </w:rPr>
              <w:t>358,363</w:t>
            </w:r>
          </w:p>
        </w:tc>
        <w:tc>
          <w:tcPr>
            <w:tcW w:w="140" w:type="dxa"/>
            <w:vAlign w:val="bottom"/>
          </w:tcPr>
          <w:p>
            <w:pPr>
              <w:spacing w:after="0"/>
              <w:rPr>
                <w:sz w:val="16"/>
                <w:szCs w:val="16"/>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189"/>
        </w:trPr>
        <w:tc>
          <w:tcPr>
            <w:tcW w:w="3640" w:type="dxa"/>
            <w:vAlign w:val="bottom"/>
            <w:gridSpan w:val="6"/>
            <w:shd w:val="clear" w:color="auto" w:fill="CCEEFF"/>
          </w:tcPr>
          <w:p>
            <w:pPr>
              <w:ind w:left="220"/>
              <w:spacing w:after="0" w:line="189" w:lineRule="exact"/>
              <w:rPr>
                <w:sz w:val="20"/>
                <w:szCs w:val="20"/>
                <w:color w:val="auto"/>
              </w:rPr>
            </w:pPr>
            <w:r>
              <w:rPr>
                <w:rFonts w:ascii="Arial" w:cs="Arial" w:eastAsia="Arial" w:hAnsi="Arial"/>
                <w:sz w:val="18"/>
                <w:szCs w:val="18"/>
                <w:color w:val="auto"/>
              </w:rPr>
              <w:t>South Side Bank</w:t>
            </w:r>
          </w:p>
        </w:tc>
        <w:tc>
          <w:tcPr>
            <w:tcW w:w="1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84,707</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9"/>
              </w:rPr>
              <w:t>22.55 %</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21,598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6"/>
              </w:rPr>
              <w:t>5.750 %</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24,415</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60" w:type="dxa"/>
            <w:vAlign w:val="bottom"/>
            <w:tcBorders>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8"/>
                <w:szCs w:val="18"/>
                <w:color w:val="auto"/>
                <w:w w:val="90"/>
              </w:rPr>
              <w:t>Tier 1 Capital (to Average Assets)</w:t>
            </w:r>
          </w:p>
        </w:tc>
        <w:tc>
          <w:tcPr>
            <w:tcW w:w="1180" w:type="dxa"/>
            <w:vAlign w:val="bottom"/>
            <w:tcBorders>
              <w:bottom w:val="single" w:sz="8" w:color="CCEEFF"/>
            </w:tcBorders>
            <w:gridSpan w:val="4"/>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40" w:type="dxa"/>
            <w:vAlign w:val="bottom"/>
            <w:gridSpan w:val="6"/>
          </w:tcPr>
          <w:p>
            <w:pPr>
              <w:ind w:left="220"/>
              <w:spacing w:after="0" w:line="189" w:lineRule="exact"/>
              <w:rPr>
                <w:sz w:val="20"/>
                <w:szCs w:val="20"/>
                <w:color w:val="auto"/>
              </w:rPr>
            </w:pPr>
            <w:r>
              <w:rPr>
                <w:rFonts w:ascii="Arial" w:cs="Arial" w:eastAsia="Arial" w:hAnsi="Arial"/>
                <w:sz w:val="18"/>
                <w:szCs w:val="18"/>
                <w:color w:val="auto"/>
              </w:rPr>
              <w:t>Consolidated</w:t>
            </w:r>
          </w:p>
        </w:tc>
        <w:tc>
          <w:tcPr>
            <w:tcW w:w="1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718,101</w:t>
            </w:r>
          </w:p>
        </w:tc>
        <w:tc>
          <w:tcPr>
            <w:tcW w:w="16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9.78 %</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293,588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4.00 %</w:t>
            </w:r>
          </w:p>
        </w:tc>
        <w:tc>
          <w:tcPr>
            <w:tcW w:w="120" w:type="dxa"/>
            <w:vAlign w:val="bottom"/>
          </w:tcPr>
          <w:p>
            <w:pPr>
              <w:spacing w:after="0"/>
              <w:rPr>
                <w:sz w:val="16"/>
                <w:szCs w:val="16"/>
                <w:color w:val="auto"/>
              </w:rPr>
            </w:pPr>
          </w:p>
        </w:tc>
        <w:tc>
          <w:tcPr>
            <w:tcW w:w="82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89"/>
        </w:trPr>
        <w:tc>
          <w:tcPr>
            <w:tcW w:w="3640" w:type="dxa"/>
            <w:vAlign w:val="bottom"/>
            <w:gridSpan w:val="6"/>
            <w:shd w:val="clear" w:color="auto" w:fill="CCEEFF"/>
          </w:tcPr>
          <w:p>
            <w:pPr>
              <w:ind w:left="220"/>
              <w:spacing w:after="0" w:line="189" w:lineRule="exact"/>
              <w:rPr>
                <w:sz w:val="20"/>
                <w:szCs w:val="20"/>
                <w:color w:val="auto"/>
              </w:rPr>
            </w:pPr>
            <w:r>
              <w:rPr>
                <w:rFonts w:ascii="Arial" w:cs="Arial" w:eastAsia="Arial" w:hAnsi="Arial"/>
                <w:sz w:val="18"/>
                <w:szCs w:val="18"/>
                <w:color w:val="auto"/>
              </w:rPr>
              <w:t>Busey Bank</w:t>
            </w:r>
          </w:p>
        </w:tc>
        <w:tc>
          <w:tcPr>
            <w:tcW w:w="1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651,432</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9.80 %</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265,847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332,309</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3640" w:type="dxa"/>
            <w:vAlign w:val="bottom"/>
            <w:gridSpan w:val="6"/>
          </w:tcPr>
          <w:p>
            <w:pPr>
              <w:ind w:left="220"/>
              <w:spacing w:after="0"/>
              <w:rPr>
                <w:sz w:val="20"/>
                <w:szCs w:val="20"/>
                <w:color w:val="auto"/>
              </w:rPr>
            </w:pPr>
            <w:r>
              <w:rPr>
                <w:rFonts w:ascii="Arial" w:cs="Arial" w:eastAsia="Arial" w:hAnsi="Arial"/>
                <w:sz w:val="18"/>
                <w:szCs w:val="18"/>
                <w:color w:val="auto"/>
              </w:rPr>
              <w:t>South Side Bank</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84,707</w:t>
            </w: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12.75 %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26,571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4.00 %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33,214</w:t>
            </w:r>
          </w:p>
        </w:tc>
        <w:tc>
          <w:tcPr>
            <w:tcW w:w="1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796"/>
        </w:trPr>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ind w:left="640"/>
              <w:spacing w:after="0"/>
              <w:rPr>
                <w:sz w:val="20"/>
                <w:szCs w:val="20"/>
                <w:color w:val="auto"/>
              </w:rPr>
            </w:pPr>
            <w:r>
              <w:rPr>
                <w:rFonts w:ascii="Arial" w:cs="Arial" w:eastAsia="Arial" w:hAnsi="Arial"/>
                <w:sz w:val="18"/>
                <w:szCs w:val="18"/>
                <w:color w:val="auto"/>
                <w:w w:val="99"/>
              </w:rPr>
              <w:t>41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4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Operating Segments and Related Information</w:t>
      </w:r>
    </w:p>
    <w:p>
      <w:pPr>
        <w:spacing w:after="0" w:line="148"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St. Louis, Missouri metropolitan area, southwest Florida and through its banking center in Indianapolis, Indiana.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25"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23"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the Company’s Annual Report on Form 10-K for the year ended December 31, 2017.</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Following is a summary of selected financial information for the Company’s operating segments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Goodwill</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12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September 30, 2018</w:t>
            </w:r>
          </w:p>
        </w:tc>
        <w:tc>
          <w:tcPr>
            <w:tcW w:w="260" w:type="dxa"/>
            <w:vAlign w:val="bottom"/>
          </w:tcPr>
          <w:p>
            <w:pPr>
              <w:spacing w:after="0"/>
              <w:rPr>
                <w:sz w:val="12"/>
                <w:szCs w:val="12"/>
                <w:color w:val="auto"/>
              </w:rPr>
            </w:pPr>
          </w:p>
        </w:tc>
        <w:tc>
          <w:tcPr>
            <w:tcW w:w="12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260" w:type="dxa"/>
            <w:vAlign w:val="bottom"/>
          </w:tcPr>
          <w:p>
            <w:pPr>
              <w:spacing w:after="0"/>
              <w:rPr>
                <w:sz w:val="12"/>
                <w:szCs w:val="12"/>
                <w:color w:val="auto"/>
              </w:rPr>
            </w:pPr>
          </w:p>
        </w:tc>
        <w:tc>
          <w:tcPr>
            <w:tcW w:w="148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1"/>
              </w:rPr>
              <w:t>September 30, 2018</w:t>
            </w:r>
          </w:p>
        </w:tc>
        <w:tc>
          <w:tcPr>
            <w:tcW w:w="12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December 31, 2017</w:t>
            </w:r>
          </w:p>
        </w:tc>
        <w:tc>
          <w:tcPr>
            <w:tcW w:w="20" w:type="dxa"/>
            <w:vAlign w:val="bottom"/>
          </w:tcPr>
          <w:p>
            <w:pPr>
              <w:spacing w:after="0"/>
              <w:rPr>
                <w:sz w:val="12"/>
                <w:szCs w:val="12"/>
                <w:color w:val="auto"/>
              </w:rPr>
            </w:pPr>
          </w:p>
        </w:tc>
      </w:tr>
      <w:tr>
        <w:trPr>
          <w:trHeight w:val="183"/>
        </w:trPr>
        <w:tc>
          <w:tcPr>
            <w:tcW w:w="34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Banking</w:t>
            </w:r>
          </w:p>
        </w:tc>
        <w:tc>
          <w:tcPr>
            <w:tcW w:w="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246,999</w:t>
            </w:r>
          </w:p>
        </w:tc>
        <w:tc>
          <w:tcPr>
            <w:tcW w:w="620" w:type="dxa"/>
            <w:vAlign w:val="bottom"/>
            <w:gridSpan w:val="2"/>
            <w:shd w:val="clear" w:color="auto" w:fill="CCEEFF"/>
          </w:tcPr>
          <w:p>
            <w:pPr>
              <w:jc w:val="right"/>
              <w:ind w:right="207"/>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248,660</w:t>
            </w:r>
          </w:p>
        </w:tc>
        <w:tc>
          <w:tcPr>
            <w:tcW w:w="540" w:type="dxa"/>
            <w:vAlign w:val="bottom"/>
            <w:gridSpan w:val="2"/>
            <w:shd w:val="clear" w:color="auto" w:fill="CCEEFF"/>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7,831,967</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6"/>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7,809,738</w:t>
            </w:r>
          </w:p>
        </w:tc>
        <w:tc>
          <w:tcPr>
            <w:tcW w:w="20" w:type="dxa"/>
            <w:vAlign w:val="bottom"/>
          </w:tcPr>
          <w:p>
            <w:pPr>
              <w:spacing w:after="0"/>
              <w:rPr>
                <w:sz w:val="16"/>
                <w:szCs w:val="16"/>
                <w:color w:val="auto"/>
              </w:rPr>
            </w:pPr>
          </w:p>
        </w:tc>
      </w:tr>
      <w:tr>
        <w:trPr>
          <w:trHeight w:val="189"/>
        </w:trPr>
        <w:tc>
          <w:tcPr>
            <w:tcW w:w="3400" w:type="dxa"/>
            <w:vAlign w:val="bottom"/>
          </w:tcPr>
          <w:p>
            <w:pPr>
              <w:spacing w:after="0" w:line="189" w:lineRule="exact"/>
              <w:rPr>
                <w:sz w:val="20"/>
                <w:szCs w:val="20"/>
                <w:color w:val="auto"/>
              </w:rPr>
            </w:pPr>
            <w:r>
              <w:rPr>
                <w:rFonts w:ascii="Arial" w:cs="Arial" w:eastAsia="Arial" w:hAnsi="Arial"/>
                <w:sz w:val="18"/>
                <w:szCs w:val="18"/>
                <w:color w:val="auto"/>
              </w:rPr>
              <w:t>Remittance Processing</w:t>
            </w:r>
          </w:p>
        </w:tc>
        <w:tc>
          <w:tcPr>
            <w:tcW w:w="3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8,992</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8,992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37,809</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34,646</w:t>
            </w:r>
          </w:p>
        </w:tc>
        <w:tc>
          <w:tcPr>
            <w:tcW w:w="20" w:type="dxa"/>
            <w:vAlign w:val="bottom"/>
          </w:tcPr>
          <w:p>
            <w:pPr>
              <w:spacing w:after="0"/>
              <w:rPr>
                <w:sz w:val="16"/>
                <w:szCs w:val="16"/>
                <w:color w:val="auto"/>
              </w:rPr>
            </w:pPr>
          </w:p>
        </w:tc>
      </w:tr>
      <w:tr>
        <w:trPr>
          <w:trHeight w:val="189"/>
        </w:trPr>
        <w:tc>
          <w:tcPr>
            <w:tcW w:w="3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Wealth Management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11,694</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11,694</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33,543</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32,077</w:t>
            </w:r>
          </w:p>
        </w:tc>
        <w:tc>
          <w:tcPr>
            <w:tcW w:w="20" w:type="dxa"/>
            <w:vAlign w:val="bottom"/>
          </w:tcPr>
          <w:p>
            <w:pPr>
              <w:spacing w:after="0"/>
              <w:rPr>
                <w:sz w:val="16"/>
                <w:szCs w:val="16"/>
                <w:color w:val="auto"/>
              </w:rPr>
            </w:pPr>
          </w:p>
        </w:tc>
      </w:tr>
      <w:tr>
        <w:trPr>
          <w:trHeight w:val="189"/>
        </w:trPr>
        <w:tc>
          <w:tcPr>
            <w:tcW w:w="3400" w:type="dxa"/>
            <w:vAlign w:val="bottom"/>
          </w:tcPr>
          <w:p>
            <w:pPr>
              <w:spacing w:after="0" w:line="189" w:lineRule="exact"/>
              <w:rPr>
                <w:sz w:val="20"/>
                <w:szCs w:val="20"/>
                <w:color w:val="auto"/>
              </w:rPr>
            </w:pPr>
            <w:r>
              <w:rPr>
                <w:rFonts w:ascii="Arial" w:cs="Arial" w:eastAsia="Arial" w:hAnsi="Arial"/>
                <w:sz w:val="18"/>
                <w:szCs w:val="18"/>
                <w:color w:val="auto"/>
              </w:rPr>
              <w:t>Other</w:t>
            </w:r>
          </w:p>
        </w:tc>
        <w:tc>
          <w:tcPr>
            <w:tcW w:w="3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(13,934)</w:t>
            </w: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(15,821)</w:t>
            </w:r>
          </w:p>
        </w:tc>
        <w:tc>
          <w:tcPr>
            <w:tcW w:w="20" w:type="dxa"/>
            <w:vAlign w:val="bottom"/>
          </w:tcPr>
          <w:p>
            <w:pPr>
              <w:spacing w:after="0"/>
              <w:rPr>
                <w:sz w:val="16"/>
                <w:szCs w:val="16"/>
                <w:color w:val="auto"/>
              </w:rPr>
            </w:pPr>
          </w:p>
        </w:tc>
      </w:tr>
      <w:tr>
        <w:trPr>
          <w:trHeight w:val="217"/>
        </w:trPr>
        <w:tc>
          <w:tcPr>
            <w:tcW w:w="3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267,685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269,346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7,889,385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7,860,640</w:t>
            </w:r>
          </w:p>
        </w:tc>
        <w:tc>
          <w:tcPr>
            <w:tcW w:w="20" w:type="dxa"/>
            <w:vAlign w:val="bottom"/>
          </w:tcPr>
          <w:p>
            <w:pPr>
              <w:spacing w:after="0"/>
              <w:rPr>
                <w:sz w:val="18"/>
                <w:szCs w:val="18"/>
                <w:color w:val="auto"/>
              </w:rPr>
            </w:pPr>
          </w:p>
        </w:tc>
      </w:tr>
      <w:tr>
        <w:trPr>
          <w:trHeight w:val="810"/>
        </w:trPr>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3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Three Months Ended 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8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5"/>
                <w:szCs w:val="15"/>
                <w:color w:val="auto"/>
              </w:rPr>
            </w:pPr>
          </w:p>
        </w:tc>
      </w:tr>
      <w:tr>
        <w:trPr>
          <w:trHeight w:val="217"/>
        </w:trPr>
        <w:tc>
          <w:tcPr>
            <w:tcW w:w="1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Net interest income:</w:t>
            </w:r>
          </w:p>
        </w:tc>
        <w:tc>
          <w:tcPr>
            <w:tcW w:w="1520" w:type="dxa"/>
            <w:vAlign w:val="bottom"/>
            <w:tcBorders>
              <w:bottom w:val="single" w:sz="8" w:color="CCEEFF"/>
            </w:tcBorders>
            <w:gridSpan w:val="4"/>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r>
      <w:tr>
        <w:trPr>
          <w:trHeight w:val="270"/>
        </w:trPr>
        <w:tc>
          <w:tcPr>
            <w:tcW w:w="2980" w:type="dxa"/>
            <w:vAlign w:val="bottom"/>
            <w:gridSpan w:val="6"/>
          </w:tcPr>
          <w:p>
            <w:pPr>
              <w:ind w:left="100"/>
              <w:spacing w:after="0"/>
              <w:rPr>
                <w:sz w:val="20"/>
                <w:szCs w:val="20"/>
                <w:color w:val="auto"/>
              </w:rPr>
            </w:pPr>
            <w:r>
              <w:rPr>
                <w:rFonts w:ascii="Arial" w:cs="Arial" w:eastAsia="Arial" w:hAnsi="Arial"/>
                <w:sz w:val="18"/>
                <w:szCs w:val="18"/>
                <w:color w:val="auto"/>
              </w:rPr>
              <w:t>Banking</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62,578</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57,589</w:t>
            </w:r>
          </w:p>
        </w:tc>
        <w:tc>
          <w:tcPr>
            <w:tcW w:w="14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186,103</w:t>
            </w:r>
          </w:p>
        </w:tc>
        <w:tc>
          <w:tcPr>
            <w:tcW w:w="2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143,496</w:t>
            </w:r>
          </w:p>
        </w:tc>
        <w:tc>
          <w:tcPr>
            <w:tcW w:w="260" w:type="dxa"/>
            <w:vAlign w:val="bottom"/>
          </w:tcPr>
          <w:p>
            <w:pPr>
              <w:spacing w:after="0"/>
              <w:rPr>
                <w:sz w:val="23"/>
                <w:szCs w:val="23"/>
                <w:color w:val="auto"/>
              </w:rPr>
            </w:pPr>
          </w:p>
        </w:tc>
      </w:tr>
      <w:tr>
        <w:trPr>
          <w:trHeight w:val="270"/>
        </w:trPr>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23"/>
                <w:szCs w:val="23"/>
                <w:color w:val="auto"/>
              </w:rPr>
            </w:pPr>
          </w:p>
        </w:tc>
      </w:tr>
      <w:tr>
        <w:trPr>
          <w:trHeight w:val="270"/>
        </w:trPr>
        <w:tc>
          <w:tcPr>
            <w:tcW w:w="298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23"/>
                <w:szCs w:val="23"/>
                <w:color w:val="auto"/>
              </w:rPr>
            </w:pPr>
          </w:p>
        </w:tc>
      </w:tr>
      <w:tr>
        <w:trPr>
          <w:trHeight w:val="270"/>
        </w:trPr>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(1,931)</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(5,553)</w:t>
            </w:r>
          </w:p>
        </w:tc>
        <w:tc>
          <w:tcPr>
            <w:tcW w:w="2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(3,453)</w:t>
            </w:r>
          </w:p>
        </w:tc>
      </w:tr>
      <w:tr>
        <w:trPr>
          <w:trHeight w:val="20"/>
        </w:trPr>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4"/>
        </w:trPr>
        <w:tc>
          <w:tcPr>
            <w:tcW w:w="2980" w:type="dxa"/>
            <w:vAlign w:val="bottom"/>
            <w:gridSpan w:val="6"/>
          </w:tcPr>
          <w:p>
            <w:pPr>
              <w:ind w:left="320"/>
              <w:spacing w:after="0"/>
              <w:rPr>
                <w:sz w:val="20"/>
                <w:szCs w:val="20"/>
                <w:color w:val="auto"/>
              </w:rPr>
            </w:pPr>
            <w:r>
              <w:rPr>
                <w:rFonts w:ascii="Arial" w:cs="Arial" w:eastAsia="Arial" w:hAnsi="Arial"/>
                <w:sz w:val="18"/>
                <w:szCs w:val="18"/>
                <w:color w:val="auto"/>
              </w:rPr>
              <w:t>Total net interest income</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60,774</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55,941</w:t>
            </w:r>
          </w:p>
        </w:tc>
        <w:tc>
          <w:tcPr>
            <w:tcW w:w="14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180,903</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140,320</w:t>
            </w:r>
          </w:p>
        </w:tc>
        <w:tc>
          <w:tcPr>
            <w:tcW w:w="260" w:type="dxa"/>
            <w:vAlign w:val="bottom"/>
          </w:tcPr>
          <w:p>
            <w:pPr>
              <w:spacing w:after="0"/>
              <w:rPr>
                <w:sz w:val="21"/>
                <w:szCs w:val="21"/>
                <w:color w:val="auto"/>
              </w:rPr>
            </w:pPr>
          </w:p>
        </w:tc>
      </w:tr>
      <w:tr>
        <w:trPr>
          <w:trHeight w:val="243"/>
        </w:trPr>
        <w:tc>
          <w:tcPr>
            <w:tcW w:w="88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r>
      <w:tr>
        <w:trPr>
          <w:trHeight w:val="250"/>
        </w:trPr>
        <w:tc>
          <w:tcPr>
            <w:tcW w:w="2980" w:type="dxa"/>
            <w:vAlign w:val="bottom"/>
            <w:gridSpan w:val="6"/>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0"/>
        </w:trPr>
        <w:tc>
          <w:tcPr>
            <w:tcW w:w="152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1460" w:type="dxa"/>
            <w:vAlign w:val="bottom"/>
            <w:gridSpan w:val="3"/>
            <w:shd w:val="clear" w:color="auto" w:fill="CCEEFF"/>
          </w:tcPr>
          <w:p>
            <w:pPr>
              <w:spacing w:after="0"/>
              <w:rPr>
                <w:sz w:val="23"/>
                <w:szCs w:val="2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11,196</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w:t>
            </w:r>
          </w:p>
        </w:tc>
        <w:tc>
          <w:tcPr>
            <w:tcW w:w="14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33,827</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33,550</w:t>
            </w:r>
          </w:p>
        </w:tc>
        <w:tc>
          <w:tcPr>
            <w:tcW w:w="260" w:type="dxa"/>
            <w:vAlign w:val="bottom"/>
            <w:shd w:val="clear" w:color="auto" w:fill="CCEEFF"/>
          </w:tcPr>
          <w:p>
            <w:pPr>
              <w:spacing w:after="0"/>
              <w:rPr>
                <w:sz w:val="23"/>
                <w:szCs w:val="23"/>
                <w:color w:val="auto"/>
              </w:rPr>
            </w:pPr>
          </w:p>
        </w:tc>
      </w:tr>
      <w:tr>
        <w:trPr>
          <w:trHeight w:val="270"/>
        </w:trPr>
        <w:tc>
          <w:tcPr>
            <w:tcW w:w="2980" w:type="dxa"/>
            <w:vAlign w:val="bottom"/>
            <w:gridSpan w:val="6"/>
          </w:tcPr>
          <w:p>
            <w:pPr>
              <w:ind w:left="100"/>
              <w:spacing w:after="0"/>
              <w:rPr>
                <w:sz w:val="20"/>
                <w:szCs w:val="20"/>
                <w:color w:val="auto"/>
              </w:rPr>
            </w:pPr>
            <w:r>
              <w:rPr>
                <w:rFonts w:ascii="Arial" w:cs="Arial" w:eastAsia="Arial" w:hAnsi="Arial"/>
                <w:sz w:val="18"/>
                <w:szCs w:val="18"/>
                <w:color w:val="auto"/>
              </w:rPr>
              <w:t>Remittance Processing</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4,042</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11,812</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9,061</w:t>
            </w:r>
          </w:p>
        </w:tc>
        <w:tc>
          <w:tcPr>
            <w:tcW w:w="260" w:type="dxa"/>
            <w:vAlign w:val="bottom"/>
          </w:tcPr>
          <w:p>
            <w:pPr>
              <w:spacing w:after="0"/>
              <w:rPr>
                <w:sz w:val="23"/>
                <w:szCs w:val="23"/>
                <w:color w:val="auto"/>
              </w:rPr>
            </w:pPr>
          </w:p>
        </w:tc>
      </w:tr>
      <w:tr>
        <w:trPr>
          <w:trHeight w:val="270"/>
        </w:trPr>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23,840</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19,649</w:t>
            </w:r>
          </w:p>
        </w:tc>
        <w:tc>
          <w:tcPr>
            <w:tcW w:w="260" w:type="dxa"/>
            <w:vAlign w:val="bottom"/>
            <w:shd w:val="clear" w:color="auto" w:fill="CCEEFF"/>
          </w:tcPr>
          <w:p>
            <w:pPr>
              <w:spacing w:after="0"/>
              <w:rPr>
                <w:sz w:val="23"/>
                <w:szCs w:val="23"/>
                <w:color w:val="auto"/>
              </w:rPr>
            </w:pPr>
          </w:p>
        </w:tc>
      </w:tr>
      <w:tr>
        <w:trPr>
          <w:trHeight w:val="270"/>
        </w:trPr>
        <w:tc>
          <w:tcPr>
            <w:tcW w:w="2980" w:type="dxa"/>
            <w:vAlign w:val="bottom"/>
            <w:gridSpan w:val="6"/>
          </w:tcPr>
          <w:p>
            <w:pPr>
              <w:ind w:left="1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(776)</w:t>
            </w:r>
          </w:p>
        </w:tc>
        <w:tc>
          <w:tcPr>
            <w:tcW w:w="32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(2,338)</w:t>
            </w:r>
          </w:p>
        </w:tc>
        <w:tc>
          <w:tcPr>
            <w:tcW w:w="28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(1,347)</w:t>
            </w:r>
          </w:p>
        </w:tc>
      </w:tr>
      <w:tr>
        <w:trPr>
          <w:trHeight w:val="20"/>
        </w:trPr>
        <w:tc>
          <w:tcPr>
            <w:tcW w:w="8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30"/>
        </w:trPr>
        <w:tc>
          <w:tcPr>
            <w:tcW w:w="298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rPr>
              <w:t>Total non-interest income</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67,141</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60,913</w:t>
            </w:r>
          </w:p>
        </w:tc>
        <w:tc>
          <w:tcPr>
            <w:tcW w:w="260" w:type="dxa"/>
            <w:vAlign w:val="bottom"/>
            <w:shd w:val="clear" w:color="auto" w:fill="CCEEFF"/>
          </w:tcPr>
          <w:p>
            <w:pPr>
              <w:spacing w:after="0"/>
              <w:rPr>
                <w:sz w:val="20"/>
                <w:szCs w:val="20"/>
                <w:color w:val="auto"/>
              </w:rPr>
            </w:pPr>
          </w:p>
        </w:tc>
      </w:tr>
      <w:tr>
        <w:trPr>
          <w:trHeight w:val="243"/>
        </w:trPr>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r>
      <w:tr>
        <w:trPr>
          <w:trHeight w:val="250"/>
        </w:trPr>
        <w:tc>
          <w:tcPr>
            <w:tcW w:w="15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8"/>
              </w:rPr>
              <w:t>Non-interest expense:</w:t>
            </w:r>
          </w:p>
        </w:tc>
        <w:tc>
          <w:tcPr>
            <w:tcW w:w="140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70"/>
        </w:trPr>
        <w:tc>
          <w:tcPr>
            <w:tcW w:w="2980" w:type="dxa"/>
            <w:vAlign w:val="bottom"/>
            <w:gridSpan w:val="6"/>
          </w:tcPr>
          <w:p>
            <w:pPr>
              <w:ind w:left="100"/>
              <w:spacing w:after="0"/>
              <w:rPr>
                <w:sz w:val="20"/>
                <w:szCs w:val="20"/>
                <w:color w:val="auto"/>
              </w:rPr>
            </w:pPr>
            <w:r>
              <w:rPr>
                <w:rFonts w:ascii="Arial" w:cs="Arial" w:eastAsia="Arial" w:hAnsi="Arial"/>
                <w:sz w:val="18"/>
                <w:szCs w:val="18"/>
                <w:color w:val="auto"/>
              </w:rPr>
              <w:t>Banking</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37,034</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38,697</w:t>
            </w:r>
          </w:p>
        </w:tc>
        <w:tc>
          <w:tcPr>
            <w:tcW w:w="14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116,275</w:t>
            </w:r>
          </w:p>
        </w:tc>
        <w:tc>
          <w:tcPr>
            <w:tcW w:w="2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97,318</w:t>
            </w:r>
          </w:p>
        </w:tc>
        <w:tc>
          <w:tcPr>
            <w:tcW w:w="260" w:type="dxa"/>
            <w:vAlign w:val="bottom"/>
          </w:tcPr>
          <w:p>
            <w:pPr>
              <w:spacing w:after="0"/>
              <w:rPr>
                <w:sz w:val="23"/>
                <w:szCs w:val="23"/>
                <w:color w:val="auto"/>
              </w:rPr>
            </w:pPr>
          </w:p>
        </w:tc>
      </w:tr>
      <w:tr>
        <w:trPr>
          <w:trHeight w:val="270"/>
        </w:trPr>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260" w:type="dxa"/>
            <w:vAlign w:val="bottom"/>
            <w:shd w:val="clear" w:color="auto" w:fill="CCEEFF"/>
          </w:tcPr>
          <w:p>
            <w:pPr>
              <w:spacing w:after="0"/>
              <w:rPr>
                <w:sz w:val="23"/>
                <w:szCs w:val="23"/>
                <w:color w:val="auto"/>
              </w:rPr>
            </w:pPr>
          </w:p>
        </w:tc>
      </w:tr>
      <w:tr>
        <w:trPr>
          <w:trHeight w:val="270"/>
        </w:trPr>
        <w:tc>
          <w:tcPr>
            <w:tcW w:w="298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4,307</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11,840</w:t>
            </w:r>
          </w:p>
        </w:tc>
        <w:tc>
          <w:tcPr>
            <w:tcW w:w="260" w:type="dxa"/>
            <w:vAlign w:val="bottom"/>
          </w:tcPr>
          <w:p>
            <w:pPr>
              <w:spacing w:after="0"/>
              <w:rPr>
                <w:sz w:val="23"/>
                <w:szCs w:val="23"/>
                <w:color w:val="auto"/>
              </w:rPr>
            </w:pPr>
          </w:p>
        </w:tc>
      </w:tr>
      <w:tr>
        <w:trPr>
          <w:trHeight w:val="270"/>
        </w:trPr>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2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260" w:type="dxa"/>
            <w:vAlign w:val="bottom"/>
            <w:shd w:val="clear" w:color="auto" w:fill="CCEEFF"/>
          </w:tcPr>
          <w:p>
            <w:pPr>
              <w:spacing w:after="0"/>
              <w:rPr>
                <w:sz w:val="23"/>
                <w:szCs w:val="23"/>
                <w:color w:val="auto"/>
              </w:rPr>
            </w:pPr>
          </w:p>
        </w:tc>
      </w:tr>
      <w:tr>
        <w:trPr>
          <w:trHeight w:val="244"/>
        </w:trPr>
        <w:tc>
          <w:tcPr>
            <w:tcW w:w="2980" w:type="dxa"/>
            <w:vAlign w:val="bottom"/>
            <w:gridSpan w:val="6"/>
          </w:tcPr>
          <w:p>
            <w:pPr>
              <w:ind w:left="320"/>
              <w:spacing w:after="0"/>
              <w:rPr>
                <w:sz w:val="20"/>
                <w:szCs w:val="20"/>
                <w:color w:val="auto"/>
              </w:rPr>
            </w:pPr>
            <w:r>
              <w:rPr>
                <w:rFonts w:ascii="Arial" w:cs="Arial" w:eastAsia="Arial" w:hAnsi="Arial"/>
                <w:sz w:val="18"/>
                <w:szCs w:val="18"/>
                <w:color w:val="auto"/>
              </w:rPr>
              <w:t>Total non-interest expense</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45,929</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46,939</w:t>
            </w:r>
          </w:p>
        </w:tc>
        <w:tc>
          <w:tcPr>
            <w:tcW w:w="14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144,274</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121,326</w:t>
            </w:r>
          </w:p>
        </w:tc>
        <w:tc>
          <w:tcPr>
            <w:tcW w:w="260" w:type="dxa"/>
            <w:vAlign w:val="bottom"/>
          </w:tcPr>
          <w:p>
            <w:pPr>
              <w:spacing w:after="0"/>
              <w:rPr>
                <w:sz w:val="21"/>
                <w:szCs w:val="21"/>
                <w:color w:val="auto"/>
              </w:rPr>
            </w:pPr>
          </w:p>
        </w:tc>
      </w:tr>
      <w:tr>
        <w:trPr>
          <w:trHeight w:val="243"/>
        </w:trPr>
        <w:tc>
          <w:tcPr>
            <w:tcW w:w="88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r>
      <w:tr>
        <w:trPr>
          <w:trHeight w:val="250"/>
        </w:trPr>
        <w:tc>
          <w:tcPr>
            <w:tcW w:w="2980" w:type="dxa"/>
            <w:vAlign w:val="bottom"/>
            <w:gridSpan w:val="6"/>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0"/>
        </w:trPr>
        <w:tc>
          <w:tcPr>
            <w:tcW w:w="2080" w:type="dxa"/>
            <w:vAlign w:val="bottom"/>
            <w:tcBorders>
              <w:top w:val="single" w:sz="8" w:color="auto"/>
            </w:tcBorders>
            <w:gridSpan w:val="5"/>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9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35,982</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29,736</w:t>
            </w:r>
          </w:p>
        </w:tc>
        <w:tc>
          <w:tcPr>
            <w:tcW w:w="14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99,631</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77,234</w:t>
            </w:r>
          </w:p>
        </w:tc>
        <w:tc>
          <w:tcPr>
            <w:tcW w:w="260" w:type="dxa"/>
            <w:vAlign w:val="bottom"/>
            <w:shd w:val="clear" w:color="auto" w:fill="CCEEFF"/>
          </w:tcPr>
          <w:p>
            <w:pPr>
              <w:spacing w:after="0"/>
              <w:rPr>
                <w:sz w:val="23"/>
                <w:szCs w:val="23"/>
                <w:color w:val="auto"/>
              </w:rPr>
            </w:pPr>
          </w:p>
        </w:tc>
      </w:tr>
      <w:tr>
        <w:trPr>
          <w:trHeight w:val="270"/>
        </w:trPr>
        <w:tc>
          <w:tcPr>
            <w:tcW w:w="2980" w:type="dxa"/>
            <w:vAlign w:val="bottom"/>
            <w:gridSpan w:val="6"/>
          </w:tcPr>
          <w:p>
            <w:pPr>
              <w:ind w:left="100"/>
              <w:spacing w:after="0"/>
              <w:rPr>
                <w:sz w:val="20"/>
                <w:szCs w:val="20"/>
                <w:color w:val="auto"/>
              </w:rPr>
            </w:pPr>
            <w:r>
              <w:rPr>
                <w:rFonts w:ascii="Arial" w:cs="Arial" w:eastAsia="Arial" w:hAnsi="Arial"/>
                <w:sz w:val="18"/>
                <w:szCs w:val="18"/>
                <w:color w:val="auto"/>
              </w:rPr>
              <w:t>Remittance Processing</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1,341</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4,053</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2,629</w:t>
            </w:r>
          </w:p>
        </w:tc>
        <w:tc>
          <w:tcPr>
            <w:tcW w:w="260" w:type="dxa"/>
            <w:vAlign w:val="bottom"/>
          </w:tcPr>
          <w:p>
            <w:pPr>
              <w:spacing w:after="0"/>
              <w:rPr>
                <w:sz w:val="23"/>
                <w:szCs w:val="23"/>
                <w:color w:val="auto"/>
              </w:rPr>
            </w:pPr>
          </w:p>
        </w:tc>
      </w:tr>
      <w:tr>
        <w:trPr>
          <w:trHeight w:val="270"/>
        </w:trPr>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260" w:type="dxa"/>
            <w:vAlign w:val="bottom"/>
            <w:shd w:val="clear" w:color="auto" w:fill="CCEEFF"/>
          </w:tcPr>
          <w:p>
            <w:pPr>
              <w:spacing w:after="0"/>
              <w:rPr>
                <w:sz w:val="23"/>
                <w:szCs w:val="23"/>
                <w:color w:val="auto"/>
              </w:rPr>
            </w:pPr>
          </w:p>
        </w:tc>
      </w:tr>
      <w:tr>
        <w:trPr>
          <w:trHeight w:val="270"/>
        </w:trPr>
        <w:tc>
          <w:tcPr>
            <w:tcW w:w="2980" w:type="dxa"/>
            <w:vAlign w:val="bottom"/>
            <w:gridSpan w:val="6"/>
          </w:tcPr>
          <w:p>
            <w:pPr>
              <w:ind w:left="1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(4,577)</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(14,161)</w:t>
            </w:r>
          </w:p>
        </w:tc>
        <w:tc>
          <w:tcPr>
            <w:tcW w:w="28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(10,492)</w:t>
            </w:r>
          </w:p>
        </w:tc>
      </w:tr>
      <w:tr>
        <w:trPr>
          <w:trHeight w:val="20"/>
        </w:trPr>
        <w:tc>
          <w:tcPr>
            <w:tcW w:w="8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30"/>
        </w:trPr>
        <w:tc>
          <w:tcPr>
            <w:tcW w:w="298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w w:val="97"/>
              </w:rPr>
              <w:t>Total income before income taxes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35,940</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28,345</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99,746</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77,413</w:t>
            </w:r>
          </w:p>
        </w:tc>
        <w:tc>
          <w:tcPr>
            <w:tcW w:w="260" w:type="dxa"/>
            <w:vAlign w:val="bottom"/>
            <w:shd w:val="clear" w:color="auto" w:fill="CCEEFF"/>
          </w:tcPr>
          <w:p>
            <w:pPr>
              <w:spacing w:after="0"/>
              <w:rPr>
                <w:sz w:val="20"/>
                <w:szCs w:val="20"/>
                <w:color w:val="auto"/>
              </w:rPr>
            </w:pPr>
          </w:p>
        </w:tc>
      </w:tr>
      <w:tr>
        <w:trPr>
          <w:trHeight w:val="243"/>
        </w:trPr>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r>
      <w:tr>
        <w:trPr>
          <w:trHeight w:val="250"/>
        </w:trPr>
        <w:tc>
          <w:tcPr>
            <w:tcW w:w="2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Banking</w:t>
            </w:r>
          </w:p>
        </w:tc>
        <w:tc>
          <w:tcPr>
            <w:tcW w:w="2100" w:type="dxa"/>
            <w:vAlign w:val="bottom"/>
            <w:tcBorders>
              <w:top w:val="single" w:sz="8" w:color="CCEEFF"/>
            </w:tcBorders>
            <w:gridSpan w:val="5"/>
          </w:tcPr>
          <w:p>
            <w:pPr>
              <w:spacing w:after="0"/>
              <w:rPr>
                <w:sz w:val="23"/>
                <w:szCs w:val="23"/>
                <w:color w:val="auto"/>
              </w:rPr>
            </w:pPr>
          </w:p>
        </w:tc>
        <w:tc>
          <w:tcPr>
            <w:tcW w:w="4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26,486</w:t>
            </w:r>
          </w:p>
        </w:tc>
        <w:tc>
          <w:tcPr>
            <w:tcW w:w="2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18,942</w:t>
            </w:r>
          </w:p>
        </w:tc>
        <w:tc>
          <w:tcPr>
            <w:tcW w:w="1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73,235</w:t>
            </w:r>
          </w:p>
        </w:tc>
        <w:tc>
          <w:tcPr>
            <w:tcW w:w="2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49,546</w:t>
            </w:r>
          </w:p>
        </w:tc>
        <w:tc>
          <w:tcPr>
            <w:tcW w:w="260" w:type="dxa"/>
            <w:vAlign w:val="bottom"/>
            <w:tcBorders>
              <w:top w:val="single" w:sz="8" w:color="CCEEFF"/>
            </w:tcBorders>
          </w:tcPr>
          <w:p>
            <w:pPr>
              <w:spacing w:after="0"/>
              <w:rPr>
                <w:sz w:val="23"/>
                <w:szCs w:val="23"/>
                <w:color w:val="auto"/>
              </w:rPr>
            </w:pPr>
          </w:p>
        </w:tc>
      </w:tr>
      <w:tr>
        <w:trPr>
          <w:trHeight w:val="270"/>
        </w:trPr>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60" w:type="dxa"/>
            <w:vAlign w:val="bottom"/>
            <w:shd w:val="clear" w:color="auto" w:fill="CCEEFF"/>
          </w:tcPr>
          <w:p>
            <w:pPr>
              <w:spacing w:after="0"/>
              <w:rPr>
                <w:sz w:val="23"/>
                <w:szCs w:val="23"/>
                <w:color w:val="auto"/>
              </w:rPr>
            </w:pPr>
          </w:p>
        </w:tc>
      </w:tr>
      <w:tr>
        <w:trPr>
          <w:trHeight w:val="270"/>
        </w:trPr>
        <w:tc>
          <w:tcPr>
            <w:tcW w:w="298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2,280</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7,332</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4,760</w:t>
            </w:r>
          </w:p>
        </w:tc>
        <w:tc>
          <w:tcPr>
            <w:tcW w:w="260" w:type="dxa"/>
            <w:vAlign w:val="bottom"/>
          </w:tcPr>
          <w:p>
            <w:pPr>
              <w:spacing w:after="0"/>
              <w:rPr>
                <w:sz w:val="23"/>
                <w:szCs w:val="23"/>
                <w:color w:val="auto"/>
              </w:rPr>
            </w:pPr>
          </w:p>
        </w:tc>
      </w:tr>
      <w:tr>
        <w:trPr>
          <w:trHeight w:val="270"/>
        </w:trPr>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(2,864)</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(9,825)</w:t>
            </w:r>
          </w:p>
        </w:tc>
        <w:tc>
          <w:tcPr>
            <w:tcW w:w="2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(5,440)</w:t>
            </w:r>
          </w:p>
        </w:tc>
      </w:tr>
      <w:tr>
        <w:trPr>
          <w:trHeight w:val="20"/>
        </w:trPr>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2980" w:type="dxa"/>
            <w:vAlign w:val="bottom"/>
            <w:gridSpan w:val="6"/>
          </w:tcPr>
          <w:p>
            <w:pPr>
              <w:ind w:left="320"/>
              <w:spacing w:after="0"/>
              <w:rPr>
                <w:sz w:val="20"/>
                <w:szCs w:val="20"/>
                <w:color w:val="auto"/>
              </w:rPr>
            </w:pPr>
            <w:r>
              <w:rPr>
                <w:rFonts w:ascii="Arial" w:cs="Arial" w:eastAsia="Arial" w:hAnsi="Arial"/>
                <w:sz w:val="18"/>
                <w:szCs w:val="18"/>
                <w:color w:val="auto"/>
              </w:rPr>
              <w:t>Total net income</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26,859</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18,784</w:t>
            </w:r>
          </w:p>
        </w:tc>
        <w:tc>
          <w:tcPr>
            <w:tcW w:w="14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73,638</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50,433</w:t>
            </w:r>
          </w:p>
        </w:tc>
        <w:tc>
          <w:tcPr>
            <w:tcW w:w="260" w:type="dxa"/>
            <w:vAlign w:val="bottom"/>
          </w:tcPr>
          <w:p>
            <w:pPr>
              <w:spacing w:after="0"/>
              <w:rPr>
                <w:sz w:val="19"/>
                <w:szCs w:val="19"/>
                <w:color w:val="auto"/>
              </w:rPr>
            </w:pPr>
          </w:p>
        </w:tc>
      </w:tr>
      <w:tr>
        <w:trPr>
          <w:trHeight w:val="27"/>
        </w:trPr>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w:t>
      </w:r>
    </w:p>
    <w:p>
      <w:pPr>
        <w:spacing w:after="0" w:line="148"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The Company originates and purchases derivative financial instruments, including interest rate lock commitments issued to residential loan customers for loans that will be held for sale, forward sales commitments to sell residential mortgage loans to loan investors, and interest rate swaps. See “Note 17: Fair Value Measurements” for further discussion of the fair value measurement of such derivatives.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i w:val="1"/>
          <w:iCs w:val="1"/>
          <w:color w:val="auto"/>
        </w:rPr>
        <w:t>Interest Rate Lock Commitments</w:t>
      </w:r>
      <w:r>
        <w:rPr>
          <w:rFonts w:ascii="Arial" w:cs="Arial" w:eastAsia="Arial" w:hAnsi="Arial"/>
          <w:sz w:val="17"/>
          <w:szCs w:val="17"/>
          <w:color w:val="auto"/>
        </w:rPr>
        <w:t>. At September 30, 2018 and December 31, 2017, the Company had issued $50.4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$51.7 million, respectively, of unexpired interest rate lock commitments to loan customers. Such interest rate lock commitments that meet the definition of derivative financial instruments under ASC Topic 815, Derivatives and Hedging, are carried at their fair values in other assets or other liabilities in the unaudited Consolidated Financial Statements, with changes in the fair values of the corresponding derivative financial assets or liabilities recorded as either a charge or credit to current earnings during the period in which the changes occurred.</w:t>
      </w:r>
    </w:p>
    <w:p>
      <w:pPr>
        <w:spacing w:after="0" w:line="125"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i w:val="1"/>
          <w:iCs w:val="1"/>
          <w:color w:val="auto"/>
        </w:rPr>
        <w:t>Forward Sales Commitments</w:t>
      </w:r>
      <w:r>
        <w:rPr>
          <w:rFonts w:ascii="Arial" w:cs="Arial" w:eastAsia="Arial" w:hAnsi="Arial"/>
          <w:sz w:val="17"/>
          <w:szCs w:val="17"/>
          <w:color w:val="auto"/>
        </w:rPr>
        <w:t>. At September 30, 2018 and December 31, 2017, the Company had issued $82.3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$139.7 million, respectively, of unexpired forward sales commitments to mortgage loan 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values in other assets or other liabilities in the unaudited Consolidated Financial Statements. While such forward sales commitments generally served as an economic hedge to the mortgage loans held for sale and interest rate lock commitments,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2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 xml:space="preserve">The fair values of derivative assets and liabilities related to interest rate lock commitments and forward sales commitments recorded in the unaudited Consolidated Balance Sheets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September 30, 2018</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3"/>
              </w:rPr>
              <w:t>December 31, 2017</w:t>
            </w:r>
          </w:p>
        </w:tc>
      </w:tr>
      <w:tr>
        <w:trPr>
          <w:trHeight w:val="183"/>
        </w:trPr>
        <w:tc>
          <w:tcPr>
            <w:tcW w:w="3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Fair value recorded in other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675</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2,148</w:t>
            </w:r>
          </w:p>
        </w:tc>
      </w:tr>
    </w:tbl>
    <w:p>
      <w:pPr>
        <w:spacing w:after="0" w:line="106" w:lineRule="exact"/>
        <w:rPr>
          <w:sz w:val="20"/>
          <w:szCs w:val="20"/>
          <w:color w:val="auto"/>
        </w:rPr>
      </w:pPr>
    </w:p>
    <w:p>
      <w:pPr>
        <w:ind w:right="540"/>
        <w:spacing w:after="0" w:line="224" w:lineRule="auto"/>
        <w:rPr>
          <w:sz w:val="20"/>
          <w:szCs w:val="20"/>
          <w:color w:val="auto"/>
        </w:rPr>
      </w:pPr>
      <w:r>
        <w:rPr>
          <w:rFonts w:ascii="Arial" w:cs="Arial" w:eastAsia="Arial" w:hAnsi="Arial"/>
          <w:sz w:val="18"/>
          <w:szCs w:val="18"/>
          <w:color w:val="auto"/>
        </w:rPr>
        <w:t xml:space="preserve">The gross gains and losses on these derivative assets and liabilities recorded in non-interest income and expense in the unaudited Consolidated Statements of Income for the three and nine months ended September 30, 2018 and 2017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4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4"/>
                <w:szCs w:val="14"/>
                <w:color w:val="auto"/>
              </w:rPr>
            </w:pP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19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83"/>
        </w:trPr>
        <w:tc>
          <w:tcPr>
            <w:tcW w:w="1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gains</w:t>
            </w: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641</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3,822</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2,396</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12,629</w:t>
            </w:r>
          </w:p>
        </w:tc>
        <w:tc>
          <w:tcPr>
            <w:tcW w:w="100" w:type="dxa"/>
            <w:vAlign w:val="bottom"/>
            <w:shd w:val="clear" w:color="auto" w:fill="CCEEFF"/>
          </w:tcPr>
          <w:p>
            <w:pPr>
              <w:spacing w:after="0"/>
              <w:rPr>
                <w:sz w:val="15"/>
                <w:szCs w:val="15"/>
                <w:color w:val="auto"/>
              </w:rPr>
            </w:pPr>
          </w:p>
        </w:tc>
      </w:tr>
      <w:tr>
        <w:trPr>
          <w:trHeight w:val="189"/>
        </w:trPr>
        <w:tc>
          <w:tcPr>
            <w:tcW w:w="19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Gross (losses)</w:t>
            </w:r>
          </w:p>
        </w:tc>
        <w:tc>
          <w:tcPr>
            <w:tcW w:w="5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95"/>
              </w:rPr>
              <w:t>(561)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(3,083)</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(2,669)</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(11,102)</w:t>
            </w:r>
          </w:p>
        </w:tc>
        <w:tc>
          <w:tcPr>
            <w:tcW w:w="100" w:type="dxa"/>
            <w:vAlign w:val="bottom"/>
            <w:tcBorders>
              <w:bottom w:val="single" w:sz="8" w:color="CCEEFF"/>
            </w:tcBorders>
          </w:tcPr>
          <w:p>
            <w:pPr>
              <w:spacing w:after="0"/>
              <w:rPr>
                <w:sz w:val="16"/>
                <w:szCs w:val="16"/>
                <w:color w:val="auto"/>
              </w:rPr>
            </w:pPr>
          </w:p>
        </w:tc>
      </w:tr>
      <w:tr>
        <w:trPr>
          <w:trHeight w:val="190"/>
        </w:trPr>
        <w:tc>
          <w:tcPr>
            <w:tcW w:w="1920" w:type="dxa"/>
            <w:vAlign w:val="bottom"/>
            <w:tcBorders>
              <w:bottom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Net gains (losses)</w:t>
            </w:r>
          </w:p>
        </w:tc>
        <w:tc>
          <w:tcPr>
            <w:tcW w:w="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739</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(273)</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148"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07" w:lineRule="exact"/>
        <w:rPr>
          <w:sz w:val="20"/>
          <w:szCs w:val="20"/>
          <w:color w:val="auto"/>
        </w:rPr>
      </w:pPr>
    </w:p>
    <w:p>
      <w:pPr>
        <w:spacing w:after="0" w:line="223" w:lineRule="auto"/>
        <w:rPr>
          <w:sz w:val="20"/>
          <w:szCs w:val="20"/>
          <w:color w:val="auto"/>
        </w:rPr>
      </w:pPr>
      <w:r>
        <w:rPr>
          <w:rFonts w:ascii="Arial" w:cs="Arial" w:eastAsia="Arial" w:hAnsi="Arial"/>
          <w:sz w:val="17"/>
          <w:szCs w:val="17"/>
          <w:i w:val="1"/>
          <w:iCs w:val="1"/>
          <w:color w:val="auto"/>
        </w:rPr>
        <w:t xml:space="preserve">Interest Rate Swaps. </w:t>
      </w:r>
      <w:r>
        <w:rPr>
          <w:rFonts w:ascii="Arial" w:cs="Arial" w:eastAsia="Arial" w:hAnsi="Arial"/>
          <w:sz w:val="17"/>
          <w:szCs w:val="17"/>
          <w:color w:val="auto"/>
        </w:rPr>
        <w:t>The Company entered into interest rate swap contracts to manage the interest rate risk exposure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specific commercial loan relationships, at the time such loans were originated. The Company offsets each customer derivative with a bank counterparty. With notional values of $188.8 million and $161.3 million at September 30, 2018 and December 31, 2017, respectively, these contracts support variable rate, commercial loan relationships totaling $94.4 million and $80.7 million, respectively. While these swap derivatives generally worked together as an economic interest rate hedge,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 xml:space="preserve">The fair values of derivative assets and liabilities related to interest rate swaps recorded in the unaudited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7"/>
              </w:rPr>
              <w:t>September 30, 2018</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December 31, 2017</w:t>
            </w:r>
          </w:p>
        </w:tc>
      </w:tr>
      <w:tr>
        <w:trPr>
          <w:trHeight w:val="183"/>
        </w:trPr>
        <w:tc>
          <w:tcPr>
            <w:tcW w:w="3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Fair value recorded in other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2,428</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262</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2,428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262</w:t>
            </w:r>
          </w:p>
        </w:tc>
      </w:tr>
    </w:tbl>
    <w:p>
      <w:pPr>
        <w:spacing w:after="0" w:line="106"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color w:val="auto"/>
        </w:rPr>
        <w:t xml:space="preserve">The gross gains and losses on derivative assets and liabilities related to interest rate swaps recorded in non-interest income and expense in the unaudited Consolidated Statements of Income for the three and nine months ended September 30, 2018 and 2017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 2018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16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r>
      <w:tr>
        <w:trPr>
          <w:trHeight w:val="183"/>
        </w:trPr>
        <w:tc>
          <w:tcPr>
            <w:tcW w:w="1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gains</w:t>
            </w: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724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2,167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429</w:t>
            </w:r>
          </w:p>
        </w:tc>
      </w:tr>
      <w:tr>
        <w:trPr>
          <w:trHeight w:val="189"/>
        </w:trPr>
        <w:tc>
          <w:tcPr>
            <w:tcW w:w="16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Gross losses</w:t>
            </w:r>
          </w:p>
        </w:tc>
        <w:tc>
          <w:tcPr>
            <w:tcW w:w="4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(724)</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(128)</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(2,167)</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(429)</w:t>
            </w:r>
          </w:p>
        </w:tc>
      </w:tr>
      <w:tr>
        <w:trPr>
          <w:trHeight w:val="190"/>
        </w:trPr>
        <w:tc>
          <w:tcPr>
            <w:tcW w:w="16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gains (losses)</w:t>
            </w: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First Busey had $0.3 million in securities pledged to secure its obligation under these contracts at September 30, 2018. First Busey had $2.0 million in cash and $0.4 million in securities pledged to secure its obligation under contracts at December 31,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Measurements</w:t>
      </w:r>
    </w:p>
    <w:p>
      <w:pPr>
        <w:spacing w:after="0" w:line="148"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Fair Value Measurement,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2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access at the measurement date.</w:t>
      </w:r>
    </w:p>
    <w:p>
      <w:pPr>
        <w:spacing w:after="0" w:line="121" w:lineRule="exact"/>
        <w:rPr>
          <w:sz w:val="20"/>
          <w:szCs w:val="20"/>
          <w:color w:val="auto"/>
        </w:rPr>
      </w:pPr>
    </w:p>
    <w:p>
      <w:pPr>
        <w:spacing w:after="0" w:line="229" w:lineRule="auto"/>
        <w:rPr>
          <w:sz w:val="20"/>
          <w:szCs w:val="20"/>
          <w:color w:val="auto"/>
        </w:rPr>
      </w:pPr>
      <w:r>
        <w:rPr>
          <w:rFonts w:ascii="Arial" w:cs="Arial" w:eastAsia="Arial" w:hAnsi="Arial"/>
          <w:sz w:val="17"/>
          <w:szCs w:val="17"/>
          <w:i w:val="1"/>
          <w:iCs w:val="1"/>
          <w:color w:val="auto"/>
        </w:rPr>
        <w:t xml:space="preserve">Level 2 Inputs </w:t>
      </w:r>
      <w:r>
        <w:rPr>
          <w:rFonts w:ascii="Arial" w:cs="Arial" w:eastAsia="Arial" w:hAnsi="Arial"/>
          <w:sz w:val="17"/>
          <w:szCs w:val="17"/>
          <w:color w:val="auto"/>
        </w:rPr>
        <w:t>- Inputs other than quoted prices included in level 1 that are observable for the asset or liability, either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21"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i w:val="1"/>
          <w:iCs w:val="1"/>
          <w:color w:val="auto"/>
        </w:rPr>
        <w:t xml:space="preserve">Level 3 Inputs </w:t>
      </w:r>
      <w:r>
        <w:rPr>
          <w:rFonts w:ascii="Arial" w:cs="Arial" w:eastAsia="Arial" w:hAnsi="Arial"/>
          <w:sz w:val="17"/>
          <w:szCs w:val="17"/>
          <w:color w:val="auto"/>
        </w:rPr>
        <w:t>- Unobservable inputs for determining the fair values of assets or liabilities that reflect the Company’s own</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about the assumptions that market participants would use in pricing the assets or liabilities.</w:t>
      </w:r>
    </w:p>
    <w:p>
      <w:pPr>
        <w:spacing w:after="0" w:line="10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quarter ended September 30, 2018.</w:t>
      </w:r>
    </w:p>
    <w:p>
      <w:pPr>
        <w:spacing w:after="0" w:line="144"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9"/>
        <w:spacing w:after="0" w:line="224" w:lineRule="auto"/>
        <w:rPr>
          <w:sz w:val="20"/>
          <w:szCs w:val="20"/>
          <w:color w:val="auto"/>
        </w:rPr>
      </w:pPr>
      <w:r>
        <w:rPr>
          <w:rFonts w:ascii="Arial" w:cs="Arial" w:eastAsia="Arial" w:hAnsi="Arial"/>
          <w:sz w:val="18"/>
          <w:szCs w:val="18"/>
          <w:color w:val="auto"/>
        </w:rPr>
        <w:t>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23" w:lineRule="exact"/>
        <w:rPr>
          <w:sz w:val="20"/>
          <w:szCs w:val="20"/>
          <w:color w:val="auto"/>
        </w:rPr>
      </w:pPr>
    </w:p>
    <w:p>
      <w:pPr>
        <w:ind w:right="39"/>
        <w:spacing w:after="0" w:line="214" w:lineRule="auto"/>
        <w:rPr>
          <w:sz w:val="20"/>
          <w:szCs w:val="20"/>
          <w:color w:val="auto"/>
        </w:rPr>
      </w:pPr>
      <w:r>
        <w:rPr>
          <w:rFonts w:ascii="Arial" w:cs="Arial" w:eastAsia="Arial" w:hAnsi="Arial"/>
          <w:sz w:val="18"/>
          <w:szCs w:val="18"/>
          <w:i w:val="1"/>
          <w:iCs w:val="1"/>
          <w:color w:val="auto"/>
        </w:rPr>
        <w:t xml:space="preserve">Securities Available for Sale. </w:t>
      </w:r>
      <w:r>
        <w:rPr>
          <w:rFonts w:ascii="Arial" w:cs="Arial" w:eastAsia="Arial" w:hAnsi="Arial"/>
          <w:sz w:val="18"/>
          <w:szCs w:val="18"/>
          <w:color w:val="auto"/>
        </w:rPr>
        <w:t>Securities classified as available for sale are reported at fair value utilizing level 2</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22" w:lineRule="exact"/>
        <w:rPr>
          <w:sz w:val="20"/>
          <w:szCs w:val="20"/>
          <w:color w:val="auto"/>
        </w:rPr>
      </w:pPr>
    </w:p>
    <w:p>
      <w:pPr>
        <w:ind w:right="119"/>
        <w:spacing w:after="0" w:line="232" w:lineRule="auto"/>
        <w:rPr>
          <w:sz w:val="20"/>
          <w:szCs w:val="20"/>
          <w:color w:val="auto"/>
        </w:rPr>
      </w:pPr>
      <w:r>
        <w:rPr>
          <w:rFonts w:ascii="Arial" w:cs="Arial" w:eastAsia="Arial" w:hAnsi="Arial"/>
          <w:sz w:val="17"/>
          <w:szCs w:val="17"/>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22" w:lineRule="exact"/>
        <w:rPr>
          <w:sz w:val="20"/>
          <w:szCs w:val="20"/>
          <w:color w:val="auto"/>
        </w:rPr>
      </w:pPr>
    </w:p>
    <w:p>
      <w:pPr>
        <w:ind w:right="59"/>
        <w:spacing w:after="0" w:line="211" w:lineRule="auto"/>
        <w:rPr>
          <w:sz w:val="20"/>
          <w:szCs w:val="20"/>
          <w:color w:val="auto"/>
        </w:rPr>
      </w:pPr>
      <w:r>
        <w:rPr>
          <w:rFonts w:ascii="Arial" w:cs="Arial" w:eastAsia="Arial" w:hAnsi="Arial"/>
          <w:sz w:val="18"/>
          <w:szCs w:val="18"/>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ASC Topic 820.</w:t>
      </w:r>
    </w:p>
    <w:p>
      <w:pPr>
        <w:spacing w:after="0" w:line="124" w:lineRule="exact"/>
        <w:rPr>
          <w:sz w:val="20"/>
          <w:szCs w:val="20"/>
          <w:color w:val="auto"/>
        </w:rPr>
      </w:pPr>
    </w:p>
    <w:p>
      <w:pPr>
        <w:ind w:right="199"/>
        <w:spacing w:after="0" w:line="259" w:lineRule="auto"/>
        <w:rPr>
          <w:sz w:val="20"/>
          <w:szCs w:val="20"/>
          <w:color w:val="auto"/>
        </w:rPr>
      </w:pPr>
      <w:r>
        <w:rPr>
          <w:rFonts w:ascii="Arial" w:cs="Arial" w:eastAsia="Arial" w:hAnsi="Arial"/>
          <w:sz w:val="16"/>
          <w:szCs w:val="16"/>
          <w:i w:val="1"/>
          <w:iCs w:val="1"/>
          <w:color w:val="auto"/>
        </w:rPr>
        <w:t xml:space="preserve">Securities Equity Investments. </w:t>
      </w:r>
      <w:r>
        <w:rPr>
          <w:rFonts w:ascii="Arial" w:cs="Arial" w:eastAsia="Arial" w:hAnsi="Arial"/>
          <w:sz w:val="16"/>
          <w:szCs w:val="16"/>
          <w:color w:val="auto"/>
        </w:rPr>
        <w:t>Securities classified as equity investments are reported at fair value utilizing level 1</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For mutual funds and other equity securities, unadjusted quoted prices in active markets for identical assets are utilized to determine fair value at the measurement date and have been classified as level 1 in ASC Topic 820.</w:t>
      </w:r>
    </w:p>
    <w:p>
      <w:pPr>
        <w:spacing w:after="0" w:line="107" w:lineRule="exact"/>
        <w:rPr>
          <w:sz w:val="20"/>
          <w:szCs w:val="20"/>
          <w:color w:val="auto"/>
        </w:rPr>
      </w:pPr>
    </w:p>
    <w:p>
      <w:pPr>
        <w:ind w:right="59"/>
        <w:spacing w:after="0" w:line="224"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reported at fair value utilizing level 2 measurements.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held for sale are measured using observable quoted market or contract prices or market price equivalents and are classified as level 2 in ASC Topic 820.</w:t>
      </w:r>
    </w:p>
    <w:p>
      <w:pPr>
        <w:spacing w:after="0" w:line="123" w:lineRule="exact"/>
        <w:rPr>
          <w:sz w:val="20"/>
          <w:szCs w:val="20"/>
          <w:color w:val="auto"/>
        </w:rPr>
      </w:pPr>
    </w:p>
    <w:p>
      <w:pPr>
        <w:ind w:right="79"/>
        <w:spacing w:after="0" w:line="219" w:lineRule="auto"/>
        <w:rPr>
          <w:sz w:val="20"/>
          <w:szCs w:val="20"/>
          <w:color w:val="auto"/>
        </w:rPr>
      </w:pPr>
      <w:r>
        <w:rPr>
          <w:rFonts w:ascii="Arial" w:cs="Arial" w:eastAsia="Arial" w:hAnsi="Arial"/>
          <w:sz w:val="18"/>
          <w:szCs w:val="18"/>
          <w:i w:val="1"/>
          <w:iCs w:val="1"/>
          <w:color w:val="auto"/>
        </w:rPr>
        <w:t>Derivative Assets and Derivative Liabilities</w:t>
      </w:r>
      <w:r>
        <w:rPr>
          <w:rFonts w:ascii="Arial" w:cs="Arial" w:eastAsia="Arial" w:hAnsi="Arial"/>
          <w:sz w:val="18"/>
          <w:szCs w:val="18"/>
          <w:color w:val="auto"/>
        </w:rPr>
        <w:t>. Derivative assets and derivative liabilities are reported at fair value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level 2 measurements. The fair value of derivative assets and liabilities is determined based on prices that are obtained from a third-party which uses observable market inputs. Derivative assets and liabilities are classified as level 2 in ASC Topic 820.</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 xml:space="preserve">The following table summarizes financial assets and financial liabilities measured at fair value on a recurring basis as of September 30, 2018 and December 31, 2017,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September 30, 2018</w:t>
            </w:r>
          </w:p>
        </w:tc>
        <w:tc>
          <w:tcPr>
            <w:tcW w:w="360" w:type="dxa"/>
            <w:vAlign w:val="bottom"/>
          </w:tcPr>
          <w:p>
            <w:pPr>
              <w:spacing w:after="0"/>
              <w:rPr>
                <w:sz w:val="14"/>
                <w:szCs w:val="14"/>
                <w:color w:val="auto"/>
              </w:rPr>
            </w:pPr>
          </w:p>
        </w:tc>
        <w:tc>
          <w:tcPr>
            <w:tcW w:w="78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center"/>
              <w:ind w:right="93"/>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4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Fair value adjusted through comprehensive income:</w:t>
            </w:r>
          </w:p>
        </w:tc>
        <w:tc>
          <w:tcPr>
            <w:tcW w:w="3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b w:val="1"/>
                <w:bCs w:val="1"/>
                <w:i w:val="1"/>
                <w:iCs w:val="1"/>
                <w:color w:val="auto"/>
              </w:rPr>
              <w:t>Securities available for sale</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U.S. Treasury securities</w:t>
            </w: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59,854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59,854</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w w:val="93"/>
              </w:rPr>
              <w:t>Obligations of U.S. government corporations and agencies</w:t>
            </w:r>
          </w:p>
        </w:tc>
        <w:tc>
          <w:tcPr>
            <w:tcW w:w="3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89,666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89,666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241,925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241,925</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Residential mortgage-backed securities</w:t>
            </w:r>
          </w:p>
        </w:tc>
        <w:tc>
          <w:tcPr>
            <w:tcW w:w="3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331,582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331,582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Corporate debt securities</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140,354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140,354</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b w:val="1"/>
                <w:bCs w:val="1"/>
                <w:color w:val="auto"/>
                <w:w w:val="97"/>
              </w:rPr>
              <w:t>Fair value adjusted through current period earnings:</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Securities equity investments</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7,317</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b w:val="1"/>
                <w:bCs w:val="1"/>
                <w:i w:val="1"/>
                <w:iCs w:val="1"/>
                <w:color w:val="auto"/>
              </w:rPr>
              <w:t>Loans held for sale</w:t>
            </w:r>
          </w:p>
        </w:tc>
        <w:tc>
          <w:tcPr>
            <w:tcW w:w="3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32,617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Derivative assets</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2,750</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74"/>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360" w:type="dxa"/>
            <w:vAlign w:val="bottom"/>
          </w:tcPr>
          <w:p>
            <w:pPr>
              <w:spacing w:after="0"/>
              <w:rPr>
                <w:sz w:val="23"/>
                <w:szCs w:val="23"/>
                <w:color w:val="auto"/>
              </w:rPr>
            </w:pPr>
          </w:p>
        </w:tc>
        <w:tc>
          <w:tcPr>
            <w:tcW w:w="78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23"/>
                <w:szCs w:val="23"/>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23"/>
                <w:szCs w:val="23"/>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center"/>
              <w:ind w:right="93"/>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4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i w:val="1"/>
                <w:iCs w:val="1"/>
                <w:color w:val="auto"/>
              </w:rPr>
              <w:t>Securities available for sale</w:t>
            </w:r>
          </w:p>
        </w:tc>
        <w:tc>
          <w:tcPr>
            <w:tcW w:w="3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U.S. Treasury securities</w:t>
            </w:r>
          </w:p>
        </w:tc>
        <w:tc>
          <w:tcPr>
            <w:tcW w:w="3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60,348</w:t>
            </w:r>
          </w:p>
        </w:tc>
        <w:tc>
          <w:tcPr>
            <w:tcW w:w="24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60,348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Obligations of U.S. government corporations and agencies</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103,665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103,665</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3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280,199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280,199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Residential mortgage-backed securities</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397,436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397,436</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Corporate debt securities</w:t>
            </w:r>
          </w:p>
        </w:tc>
        <w:tc>
          <w:tcPr>
            <w:tcW w:w="3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31,034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31,034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Securities equity investments</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5,378</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b w:val="1"/>
                <w:bCs w:val="1"/>
                <w:i w:val="1"/>
                <w:iCs w:val="1"/>
                <w:color w:val="auto"/>
              </w:rPr>
              <w:t>Loans held for sale</w:t>
            </w:r>
          </w:p>
        </w:tc>
        <w:tc>
          <w:tcPr>
            <w:tcW w:w="3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94,848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94,848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Derivative assets</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23" w:lineRule="exact"/>
        <w:rPr>
          <w:sz w:val="20"/>
          <w:szCs w:val="20"/>
          <w:color w:val="auto"/>
        </w:rPr>
      </w:pPr>
    </w:p>
    <w:p>
      <w:pPr>
        <w:spacing w:after="0" w:line="241" w:lineRule="auto"/>
        <w:rPr>
          <w:sz w:val="20"/>
          <w:szCs w:val="20"/>
          <w:color w:val="auto"/>
        </w:rPr>
      </w:pPr>
      <w:r>
        <w:rPr>
          <w:rFonts w:ascii="Arial" w:cs="Arial" w:eastAsia="Arial" w:hAnsi="Arial"/>
          <w:sz w:val="16"/>
          <w:szCs w:val="16"/>
          <w:i w:val="1"/>
          <w:iCs w:val="1"/>
          <w:color w:val="auto"/>
        </w:rPr>
        <w:t>Impaired Loans</w:t>
      </w:r>
      <w:r>
        <w:rPr>
          <w:rFonts w:ascii="Arial" w:cs="Arial" w:eastAsia="Arial" w:hAnsi="Arial"/>
          <w:sz w:val="16"/>
          <w:szCs w:val="16"/>
          <w:color w:val="auto"/>
        </w:rPr>
        <w:t>. The Company does not record loans at fair value on a recurring basis. However, periodically, a loan is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impaired and is reported at 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ASC Topic 820.</w:t>
      </w:r>
    </w:p>
    <w:p>
      <w:pPr>
        <w:spacing w:after="0" w:line="120" w:lineRule="exact"/>
        <w:rPr>
          <w:sz w:val="20"/>
          <w:szCs w:val="20"/>
          <w:color w:val="auto"/>
        </w:rPr>
      </w:pPr>
    </w:p>
    <w:p>
      <w:pPr>
        <w:ind w:right="220"/>
        <w:spacing w:after="0" w:line="232" w:lineRule="auto"/>
        <w:rPr>
          <w:sz w:val="20"/>
          <w:szCs w:val="20"/>
          <w:color w:val="auto"/>
        </w:rPr>
      </w:pPr>
      <w:r>
        <w:rPr>
          <w:rFonts w:ascii="Arial" w:cs="Arial" w:eastAsia="Arial" w:hAnsi="Arial"/>
          <w:sz w:val="17"/>
          <w:szCs w:val="17"/>
          <w:i w:val="1"/>
          <w:iCs w:val="1"/>
          <w:color w:val="auto"/>
        </w:rPr>
        <w:t xml:space="preserve">OREO. </w:t>
      </w:r>
      <w:r>
        <w:rPr>
          <w:rFonts w:ascii="Arial" w:cs="Arial" w:eastAsia="Arial" w:hAnsi="Arial"/>
          <w:sz w:val="17"/>
          <w:szCs w:val="17"/>
          <w:color w:val="auto"/>
        </w:rPr>
        <w:t>Non-financial assets and non-financial liabilities measured at fair value include OREO (upon initial recognition or</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impairment). OREO properties are measured using a combination of observable inputs, including recent appraisals, and unobservable inputs based on customized discounting criteria. Due to the significance of the unobservable inputs, all OREO fair values have been classified as level 3 in ASC Topic 820.</w:t>
      </w:r>
    </w:p>
    <w:p>
      <w:pPr>
        <w:spacing w:after="0" w:line="122"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i w:val="1"/>
          <w:iCs w:val="1"/>
          <w:color w:val="auto"/>
        </w:rPr>
        <w:t xml:space="preserve">Bank Property Held for Sale. </w:t>
      </w:r>
      <w:r>
        <w:rPr>
          <w:rFonts w:ascii="Arial" w:cs="Arial" w:eastAsia="Arial" w:hAnsi="Arial"/>
          <w:sz w:val="16"/>
          <w:szCs w:val="16"/>
          <w:color w:val="auto"/>
        </w:rPr>
        <w:t>Bank property held for sale represents certain banking center office buildings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has closed and consolidated with other existing banking centers. Bank property held for sale is measured at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40"/>
        <w:spacing w:after="0" w:line="224" w:lineRule="auto"/>
        <w:rPr>
          <w:sz w:val="20"/>
          <w:szCs w:val="20"/>
          <w:color w:val="auto"/>
        </w:rPr>
      </w:pPr>
      <w:r>
        <w:rPr>
          <w:rFonts w:ascii="Arial" w:cs="Arial" w:eastAsia="Arial" w:hAnsi="Arial"/>
          <w:sz w:val="18"/>
          <w:szCs w:val="18"/>
          <w:color w:val="auto"/>
        </w:rPr>
        <w:t>lower of amortized cost or fair value less estimated costs to sell. The fair values were based upon appraisals or real estate listing price. Due to the significance of the unobservable inputs, all bank property held for sale fair values have been classified as level 3 in ASC Topic 820.</w:t>
      </w:r>
    </w:p>
    <w:p>
      <w:pPr>
        <w:spacing w:after="0" w:line="123" w:lineRule="exact"/>
        <w:rPr>
          <w:sz w:val="20"/>
          <w:szCs w:val="20"/>
          <w:color w:val="auto"/>
        </w:rPr>
      </w:pPr>
    </w:p>
    <w:p>
      <w:pPr>
        <w:ind w:right="340"/>
        <w:spacing w:after="0" w:line="224" w:lineRule="auto"/>
        <w:rPr>
          <w:sz w:val="20"/>
          <w:szCs w:val="20"/>
          <w:color w:val="auto"/>
        </w:rPr>
      </w:pPr>
      <w:r>
        <w:rPr>
          <w:rFonts w:ascii="Arial" w:cs="Arial" w:eastAsia="Arial" w:hAnsi="Arial"/>
          <w:sz w:val="18"/>
          <w:szCs w:val="18"/>
          <w:color w:val="auto"/>
        </w:rPr>
        <w:t xml:space="preserve">The following table summarizes assets and liabilities measured at fair value on a non-recurring basis as of September 30, 2018 and December 31, 2017,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4"/>
                <w:szCs w:val="14"/>
                <w:color w:val="auto"/>
              </w:rPr>
            </w:pPr>
          </w:p>
        </w:tc>
        <w:tc>
          <w:tcPr>
            <w:tcW w:w="1020" w:type="dxa"/>
            <w:vAlign w:val="bottom"/>
          </w:tcPr>
          <w:p>
            <w:pPr>
              <w:ind w:left="540"/>
              <w:spacing w:after="0"/>
              <w:rPr>
                <w:sz w:val="20"/>
                <w:szCs w:val="20"/>
                <w:color w:val="auto"/>
              </w:rPr>
            </w:pPr>
            <w:r>
              <w:rPr>
                <w:rFonts w:ascii="Arial" w:cs="Arial" w:eastAsia="Arial" w:hAnsi="Arial"/>
                <w:sz w:val="14"/>
                <w:szCs w:val="14"/>
                <w:b w:val="1"/>
                <w:bCs w:val="1"/>
                <w:color w:val="auto"/>
                <w:w w:val="96"/>
              </w:rPr>
              <w:t>Level 2</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375"/>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Total</w:t>
            </w:r>
          </w:p>
        </w:tc>
      </w:tr>
      <w:tr>
        <w:trPr>
          <w:trHeight w:val="171"/>
        </w:trPr>
        <w:tc>
          <w:tcPr>
            <w:tcW w:w="22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Inputs</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Inputs</w:t>
            </w: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Inputs</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36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September 30, 2018</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9"/>
        </w:trPr>
        <w:tc>
          <w:tcPr>
            <w:tcW w:w="3600" w:type="dxa"/>
            <w:vAlign w:val="bottom"/>
            <w:gridSpan w:val="2"/>
          </w:tcPr>
          <w:p>
            <w:pPr>
              <w:spacing w:after="0" w:line="189" w:lineRule="exact"/>
              <w:rPr>
                <w:sz w:val="20"/>
                <w:szCs w:val="20"/>
                <w:color w:val="auto"/>
              </w:rPr>
            </w:pPr>
            <w:r>
              <w:rPr>
                <w:rFonts w:ascii="Arial" w:cs="Arial" w:eastAsia="Arial" w:hAnsi="Arial"/>
                <w:sz w:val="18"/>
                <w:szCs w:val="18"/>
                <w:color w:val="auto"/>
              </w:rPr>
              <w:t>Impaired loans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6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659"/>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ind w:left="80"/>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5"/>
              <w:spacing w:after="0" w:line="189" w:lineRule="exact"/>
              <w:rPr>
                <w:sz w:val="20"/>
                <w:szCs w:val="20"/>
                <w:color w:val="auto"/>
              </w:rPr>
            </w:pPr>
            <w:r>
              <w:rPr>
                <w:rFonts w:ascii="Arial" w:cs="Arial" w:eastAsia="Arial" w:hAnsi="Arial"/>
                <w:sz w:val="18"/>
                <w:szCs w:val="18"/>
                <w:color w:val="auto"/>
              </w:rPr>
              <w:t>12,647</w:t>
            </w:r>
          </w:p>
        </w:tc>
        <w:tc>
          <w:tcPr>
            <w:tcW w:w="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12,647</w:t>
            </w:r>
          </w:p>
        </w:tc>
      </w:tr>
      <w:tr>
        <w:trPr>
          <w:trHeight w:val="189"/>
        </w:trPr>
        <w:tc>
          <w:tcPr>
            <w:tcW w:w="3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OREO</w:t>
            </w: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55</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Bank property held for sale</w:t>
            </w:r>
          </w:p>
        </w:tc>
        <w:tc>
          <w:tcPr>
            <w:tcW w:w="86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3,711</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3,711</w:t>
            </w:r>
          </w:p>
        </w:tc>
      </w:tr>
      <w:tr>
        <w:trPr>
          <w:trHeight w:val="148"/>
        </w:trPr>
        <w:tc>
          <w:tcPr>
            <w:tcW w:w="2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9"/>
        </w:trPr>
        <w:tc>
          <w:tcPr>
            <w:tcW w:w="3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2017</w:t>
            </w: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3600" w:type="dxa"/>
            <w:vAlign w:val="bottom"/>
            <w:gridSpan w:val="2"/>
          </w:tcPr>
          <w:p>
            <w:pPr>
              <w:spacing w:after="0" w:line="189" w:lineRule="exact"/>
              <w:rPr>
                <w:sz w:val="20"/>
                <w:szCs w:val="20"/>
                <w:color w:val="auto"/>
              </w:rPr>
            </w:pPr>
            <w:r>
              <w:rPr>
                <w:rFonts w:ascii="Arial" w:cs="Arial" w:eastAsia="Arial" w:hAnsi="Arial"/>
                <w:sz w:val="18"/>
                <w:szCs w:val="18"/>
                <w:color w:val="auto"/>
              </w:rPr>
              <w:t>Impaired loans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4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679"/>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ind w:left="60"/>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5"/>
              <w:spacing w:after="0" w:line="189" w:lineRule="exact"/>
              <w:rPr>
                <w:sz w:val="20"/>
                <w:szCs w:val="20"/>
                <w:color w:val="auto"/>
              </w:rPr>
            </w:pPr>
            <w:r>
              <w:rPr>
                <w:rFonts w:ascii="Arial" w:cs="Arial" w:eastAsia="Arial" w:hAnsi="Arial"/>
                <w:sz w:val="18"/>
                <w:szCs w:val="18"/>
                <w:color w:val="auto"/>
              </w:rPr>
              <w:t>1,313</w:t>
            </w:r>
          </w:p>
        </w:tc>
        <w:tc>
          <w:tcPr>
            <w:tcW w:w="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1,313</w:t>
            </w:r>
          </w:p>
        </w:tc>
      </w:tr>
      <w:tr>
        <w:trPr>
          <w:trHeight w:val="189"/>
        </w:trPr>
        <w:tc>
          <w:tcPr>
            <w:tcW w:w="3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OREO(1)</w:t>
            </w: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08"/>
        </w:trPr>
        <w:tc>
          <w:tcPr>
            <w:tcW w:w="228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OREO fair value was less than one thousand dollars.</w:t>
      </w:r>
    </w:p>
    <w:p>
      <w:pPr>
        <w:spacing w:after="0" w:line="14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40" w:type="dxa"/>
            <w:vAlign w:val="bottom"/>
            <w:tcBorders>
              <w:bottom w:val="single" w:sz="8" w:color="auto"/>
            </w:tcBorders>
            <w:gridSpan w:val="3"/>
          </w:tcPr>
          <w:p>
            <w:pPr>
              <w:jc w:val="right"/>
              <w:ind w:right="1293"/>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r>
      <w:tr>
        <w:trPr>
          <w:trHeight w:val="119"/>
        </w:trPr>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Fair Value</w:t>
            </w:r>
          </w:p>
        </w:tc>
        <w:tc>
          <w:tcPr>
            <w:tcW w:w="1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Valuation</w:t>
            </w:r>
          </w:p>
        </w:tc>
        <w:tc>
          <w:tcPr>
            <w:tcW w:w="2040" w:type="dxa"/>
            <w:vAlign w:val="bottom"/>
          </w:tcPr>
          <w:p>
            <w:pPr>
              <w:ind w:left="560"/>
              <w:spacing w:after="0" w:line="119" w:lineRule="exact"/>
              <w:rPr>
                <w:sz w:val="20"/>
                <w:szCs w:val="20"/>
                <w:color w:val="auto"/>
              </w:rPr>
            </w:pPr>
            <w:r>
              <w:rPr>
                <w:rFonts w:ascii="Arial" w:cs="Arial" w:eastAsia="Arial" w:hAnsi="Arial"/>
                <w:sz w:val="13"/>
                <w:szCs w:val="13"/>
                <w:b w:val="1"/>
                <w:bCs w:val="1"/>
                <w:color w:val="auto"/>
              </w:rPr>
              <w:t>Unobservable</w:t>
            </w:r>
          </w:p>
        </w:tc>
        <w:tc>
          <w:tcPr>
            <w:tcW w:w="1940" w:type="dxa"/>
            <w:vAlign w:val="bottom"/>
          </w:tcPr>
          <w:p>
            <w:pPr>
              <w:jc w:val="right"/>
              <w:ind w:right="673"/>
              <w:spacing w:after="0" w:line="119" w:lineRule="exact"/>
              <w:rPr>
                <w:sz w:val="20"/>
                <w:szCs w:val="20"/>
                <w:color w:val="auto"/>
              </w:rPr>
            </w:pPr>
            <w:r>
              <w:rPr>
                <w:rFonts w:ascii="Arial" w:cs="Arial" w:eastAsia="Arial" w:hAnsi="Arial"/>
                <w:sz w:val="13"/>
                <w:szCs w:val="13"/>
                <w:b w:val="1"/>
                <w:bCs w:val="1"/>
                <w:color w:val="auto"/>
              </w:rPr>
              <w:t>Range</w:t>
            </w:r>
          </w:p>
        </w:tc>
      </w:tr>
      <w:tr>
        <w:trPr>
          <w:trHeight w:val="171"/>
        </w:trPr>
        <w:tc>
          <w:tcPr>
            <w:tcW w:w="2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Estimate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Techniques</w:t>
            </w:r>
          </w:p>
        </w:tc>
        <w:tc>
          <w:tcPr>
            <w:tcW w:w="20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Input</w:t>
            </w:r>
          </w:p>
        </w:tc>
        <w:tc>
          <w:tcPr>
            <w:tcW w:w="19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(Weighted Average)</w:t>
            </w:r>
          </w:p>
        </w:tc>
      </w:tr>
      <w:tr>
        <w:trPr>
          <w:trHeight w:val="183"/>
        </w:trPr>
        <w:tc>
          <w:tcPr>
            <w:tcW w:w="21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September 30, 2018</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189"/>
        </w:trPr>
        <w:tc>
          <w:tcPr>
            <w:tcW w:w="2100" w:type="dxa"/>
            <w:vAlign w:val="bottom"/>
          </w:tcPr>
          <w:p>
            <w:pPr>
              <w:spacing w:after="0" w:line="189" w:lineRule="exact"/>
              <w:rPr>
                <w:sz w:val="20"/>
                <w:szCs w:val="20"/>
                <w:color w:val="auto"/>
              </w:rPr>
            </w:pPr>
            <w:r>
              <w:rPr>
                <w:rFonts w:ascii="Arial" w:cs="Arial" w:eastAsia="Arial" w:hAnsi="Arial"/>
                <w:sz w:val="18"/>
                <w:szCs w:val="18"/>
                <w:color w:val="auto"/>
              </w:rPr>
              <w:t>Impaired loans</w:t>
            </w:r>
          </w:p>
        </w:tc>
        <w:tc>
          <w:tcPr>
            <w:tcW w:w="24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76"/>
              <w:spacing w:after="0" w:line="189" w:lineRule="exact"/>
              <w:rPr>
                <w:sz w:val="20"/>
                <w:szCs w:val="20"/>
                <w:color w:val="auto"/>
              </w:rPr>
            </w:pPr>
            <w:r>
              <w:rPr>
                <w:rFonts w:ascii="Arial" w:cs="Arial" w:eastAsia="Arial" w:hAnsi="Arial"/>
                <w:sz w:val="18"/>
                <w:szCs w:val="18"/>
                <w:color w:val="auto"/>
              </w:rPr>
              <w:t>12,647</w:t>
            </w: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92"/>
              </w:rPr>
              <w:t>Appraisal of collateral</w:t>
            </w:r>
          </w:p>
        </w:tc>
        <w:tc>
          <w:tcPr>
            <w:tcW w:w="2040" w:type="dxa"/>
            <w:vAlign w:val="bottom"/>
          </w:tcPr>
          <w:p>
            <w:pPr>
              <w:ind w:left="120"/>
              <w:spacing w:after="0" w:line="189" w:lineRule="exact"/>
              <w:rPr>
                <w:sz w:val="20"/>
                <w:szCs w:val="20"/>
                <w:color w:val="auto"/>
              </w:rPr>
            </w:pPr>
            <w:r>
              <w:rPr>
                <w:rFonts w:ascii="Arial" w:cs="Arial" w:eastAsia="Arial" w:hAnsi="Arial"/>
                <w:sz w:val="18"/>
                <w:szCs w:val="18"/>
                <w:color w:val="auto"/>
              </w:rPr>
              <w:t>Appraisal adjustments</w:t>
            </w:r>
          </w:p>
        </w:tc>
        <w:tc>
          <w:tcPr>
            <w:tcW w:w="1940" w:type="dxa"/>
            <w:vAlign w:val="bottom"/>
          </w:tcPr>
          <w:p>
            <w:pPr>
              <w:jc w:val="right"/>
              <w:spacing w:after="0" w:line="189" w:lineRule="exact"/>
              <w:rPr>
                <w:sz w:val="20"/>
                <w:szCs w:val="20"/>
                <w:color w:val="auto"/>
              </w:rPr>
            </w:pPr>
            <w:r>
              <w:rPr>
                <w:rFonts w:ascii="Arial" w:cs="Arial" w:eastAsia="Arial" w:hAnsi="Arial"/>
                <w:sz w:val="18"/>
                <w:szCs w:val="18"/>
                <w:color w:val="auto"/>
              </w:rPr>
              <w:t>- 2.3 % to - 100.0 %</w:t>
            </w:r>
          </w:p>
        </w:tc>
      </w:tr>
      <w:tr>
        <w:trPr>
          <w:trHeight w:val="189"/>
        </w:trPr>
        <w:tc>
          <w:tcPr>
            <w:tcW w:w="2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(-20.3)%</w:t>
            </w:r>
          </w:p>
        </w:tc>
      </w:tr>
      <w:tr>
        <w:trPr>
          <w:trHeight w:val="189"/>
        </w:trPr>
        <w:tc>
          <w:tcPr>
            <w:tcW w:w="2100" w:type="dxa"/>
            <w:vAlign w:val="bottom"/>
          </w:tcPr>
          <w:p>
            <w:pPr>
              <w:spacing w:after="0" w:line="189" w:lineRule="exact"/>
              <w:rPr>
                <w:sz w:val="20"/>
                <w:szCs w:val="20"/>
                <w:color w:val="auto"/>
              </w:rPr>
            </w:pPr>
            <w:r>
              <w:rPr>
                <w:rFonts w:ascii="Arial" w:cs="Arial" w:eastAsia="Arial" w:hAnsi="Arial"/>
                <w:sz w:val="18"/>
                <w:szCs w:val="18"/>
                <w:color w:val="auto"/>
              </w:rPr>
              <w:t>OREO</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right"/>
              <w:ind w:right="76"/>
              <w:spacing w:after="0" w:line="189" w:lineRule="exact"/>
              <w:rPr>
                <w:sz w:val="20"/>
                <w:szCs w:val="20"/>
                <w:color w:val="auto"/>
              </w:rPr>
            </w:pPr>
            <w:r>
              <w:rPr>
                <w:rFonts w:ascii="Arial" w:cs="Arial" w:eastAsia="Arial" w:hAnsi="Arial"/>
                <w:sz w:val="18"/>
                <w:szCs w:val="18"/>
                <w:color w:val="auto"/>
              </w:rPr>
              <w:t>55</w:t>
            </w: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92"/>
              </w:rPr>
              <w:t>Appraisal of collateral</w:t>
            </w:r>
          </w:p>
        </w:tc>
        <w:tc>
          <w:tcPr>
            <w:tcW w:w="2040" w:type="dxa"/>
            <w:vAlign w:val="bottom"/>
          </w:tcPr>
          <w:p>
            <w:pPr>
              <w:ind w:left="160"/>
              <w:spacing w:after="0" w:line="189" w:lineRule="exact"/>
              <w:rPr>
                <w:sz w:val="20"/>
                <w:szCs w:val="20"/>
                <w:color w:val="auto"/>
              </w:rPr>
            </w:pPr>
            <w:r>
              <w:rPr>
                <w:rFonts w:ascii="Arial" w:cs="Arial" w:eastAsia="Arial" w:hAnsi="Arial"/>
                <w:sz w:val="18"/>
                <w:szCs w:val="18"/>
                <w:color w:val="auto"/>
              </w:rPr>
              <w:t>Appraisal adjustments</w:t>
            </w:r>
          </w:p>
        </w:tc>
        <w:tc>
          <w:tcPr>
            <w:tcW w:w="1940" w:type="dxa"/>
            <w:vAlign w:val="bottom"/>
          </w:tcPr>
          <w:p>
            <w:pPr>
              <w:jc w:val="right"/>
              <w:spacing w:after="0" w:line="189" w:lineRule="exact"/>
              <w:rPr>
                <w:sz w:val="20"/>
                <w:szCs w:val="20"/>
                <w:color w:val="auto"/>
              </w:rPr>
            </w:pPr>
            <w:r>
              <w:rPr>
                <w:rFonts w:ascii="Arial" w:cs="Arial" w:eastAsia="Arial" w:hAnsi="Arial"/>
                <w:sz w:val="18"/>
                <w:szCs w:val="18"/>
                <w:color w:val="auto"/>
              </w:rPr>
              <w:t>- 25.0 % to - 100.0 %</w:t>
            </w:r>
          </w:p>
        </w:tc>
      </w:tr>
      <w:tr>
        <w:trPr>
          <w:trHeight w:val="189"/>
        </w:trPr>
        <w:tc>
          <w:tcPr>
            <w:tcW w:w="2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(-65.0)%</w:t>
            </w:r>
          </w:p>
        </w:tc>
      </w:tr>
      <w:tr>
        <w:trPr>
          <w:trHeight w:val="161"/>
        </w:trPr>
        <w:tc>
          <w:tcPr>
            <w:tcW w:w="2100" w:type="dxa"/>
            <w:vAlign w:val="bottom"/>
          </w:tcPr>
          <w:p>
            <w:pPr>
              <w:spacing w:after="0" w:line="161" w:lineRule="exact"/>
              <w:rPr>
                <w:sz w:val="20"/>
                <w:szCs w:val="20"/>
                <w:color w:val="auto"/>
              </w:rPr>
            </w:pPr>
            <w:r>
              <w:rPr>
                <w:rFonts w:ascii="Arial" w:cs="Arial" w:eastAsia="Arial" w:hAnsi="Arial"/>
                <w:sz w:val="18"/>
                <w:szCs w:val="18"/>
                <w:color w:val="auto"/>
                <w:w w:val="96"/>
              </w:rPr>
              <w:t>Bank property held for sale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76"/>
              <w:spacing w:after="0" w:line="161" w:lineRule="exact"/>
              <w:rPr>
                <w:sz w:val="20"/>
                <w:szCs w:val="20"/>
                <w:color w:val="auto"/>
              </w:rPr>
            </w:pPr>
            <w:r>
              <w:rPr>
                <w:rFonts w:ascii="Arial" w:cs="Arial" w:eastAsia="Arial" w:hAnsi="Arial"/>
                <w:sz w:val="18"/>
                <w:szCs w:val="18"/>
                <w:color w:val="auto"/>
              </w:rPr>
              <w:t>3,711</w:t>
            </w:r>
          </w:p>
        </w:tc>
        <w:tc>
          <w:tcPr>
            <w:tcW w:w="1860" w:type="dxa"/>
            <w:vAlign w:val="bottom"/>
          </w:tcPr>
          <w:p>
            <w:pPr>
              <w:jc w:val="center"/>
              <w:spacing w:after="0" w:line="161" w:lineRule="exact"/>
              <w:rPr>
                <w:sz w:val="20"/>
                <w:szCs w:val="20"/>
                <w:color w:val="auto"/>
              </w:rPr>
            </w:pPr>
            <w:r>
              <w:rPr>
                <w:rFonts w:ascii="Arial" w:cs="Arial" w:eastAsia="Arial" w:hAnsi="Arial"/>
                <w:sz w:val="18"/>
                <w:szCs w:val="18"/>
                <w:color w:val="auto"/>
                <w:w w:val="92"/>
              </w:rPr>
              <w:t>Appraisal of collateral</w:t>
            </w:r>
          </w:p>
        </w:tc>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89"/>
        </w:trPr>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89"/>
              </w:rPr>
              <w:t>or real estate listing</w:t>
            </w:r>
          </w:p>
        </w:tc>
        <w:tc>
          <w:tcPr>
            <w:tcW w:w="2040" w:type="dxa"/>
            <w:vAlign w:val="bottom"/>
          </w:tcPr>
          <w:p>
            <w:pPr>
              <w:ind w:left="120"/>
              <w:spacing w:after="0" w:line="189" w:lineRule="exact"/>
              <w:rPr>
                <w:sz w:val="20"/>
                <w:szCs w:val="20"/>
                <w:color w:val="auto"/>
              </w:rPr>
            </w:pPr>
            <w:r>
              <w:rPr>
                <w:rFonts w:ascii="Arial" w:cs="Arial" w:eastAsia="Arial" w:hAnsi="Arial"/>
                <w:sz w:val="18"/>
                <w:szCs w:val="18"/>
                <w:color w:val="auto"/>
              </w:rPr>
              <w:t>Appraisal adjustments</w:t>
            </w:r>
          </w:p>
        </w:tc>
        <w:tc>
          <w:tcPr>
            <w:tcW w:w="1940" w:type="dxa"/>
            <w:vAlign w:val="bottom"/>
          </w:tcPr>
          <w:p>
            <w:pPr>
              <w:jc w:val="right"/>
              <w:spacing w:after="0" w:line="189" w:lineRule="exact"/>
              <w:rPr>
                <w:sz w:val="20"/>
                <w:szCs w:val="20"/>
                <w:color w:val="auto"/>
              </w:rPr>
            </w:pPr>
            <w:r>
              <w:rPr>
                <w:rFonts w:ascii="Arial" w:cs="Arial" w:eastAsia="Arial" w:hAnsi="Arial"/>
                <w:sz w:val="18"/>
                <w:szCs w:val="18"/>
                <w:color w:val="auto"/>
              </w:rPr>
              <w:t>- 0.0 % to  - 35.1 %</w:t>
            </w:r>
          </w:p>
        </w:tc>
      </w:tr>
      <w:tr>
        <w:trPr>
          <w:trHeight w:val="217"/>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89"/>
        </w:trPr>
        <w:tc>
          <w:tcPr>
            <w:tcW w:w="2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(-18.0)%</w:t>
            </w:r>
          </w:p>
        </w:tc>
      </w:tr>
      <w:tr>
        <w:trPr>
          <w:trHeight w:val="189"/>
        </w:trPr>
        <w:tc>
          <w:tcPr>
            <w:tcW w:w="2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r>
      <w:tr>
        <w:trPr>
          <w:trHeight w:val="183"/>
        </w:trPr>
        <w:tc>
          <w:tcPr>
            <w:tcW w:w="21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December 31, 2017</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189"/>
        </w:trPr>
        <w:tc>
          <w:tcPr>
            <w:tcW w:w="2100" w:type="dxa"/>
            <w:vAlign w:val="bottom"/>
          </w:tcPr>
          <w:p>
            <w:pPr>
              <w:spacing w:after="0" w:line="189" w:lineRule="exact"/>
              <w:rPr>
                <w:sz w:val="20"/>
                <w:szCs w:val="20"/>
                <w:color w:val="auto"/>
              </w:rPr>
            </w:pPr>
            <w:r>
              <w:rPr>
                <w:rFonts w:ascii="Arial" w:cs="Arial" w:eastAsia="Arial" w:hAnsi="Arial"/>
                <w:sz w:val="18"/>
                <w:szCs w:val="18"/>
                <w:color w:val="auto"/>
              </w:rPr>
              <w:t>Impaired loans</w:t>
            </w:r>
          </w:p>
        </w:tc>
        <w:tc>
          <w:tcPr>
            <w:tcW w:w="24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76"/>
              <w:spacing w:after="0" w:line="189" w:lineRule="exact"/>
              <w:rPr>
                <w:sz w:val="20"/>
                <w:szCs w:val="20"/>
                <w:color w:val="auto"/>
              </w:rPr>
            </w:pPr>
            <w:r>
              <w:rPr>
                <w:rFonts w:ascii="Arial" w:cs="Arial" w:eastAsia="Arial" w:hAnsi="Arial"/>
                <w:sz w:val="18"/>
                <w:szCs w:val="18"/>
                <w:color w:val="auto"/>
              </w:rPr>
              <w:t>1,313</w:t>
            </w: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92"/>
              </w:rPr>
              <w:t>Appraisal of collateral</w:t>
            </w:r>
          </w:p>
        </w:tc>
        <w:tc>
          <w:tcPr>
            <w:tcW w:w="2040" w:type="dxa"/>
            <w:vAlign w:val="bottom"/>
          </w:tcPr>
          <w:p>
            <w:pPr>
              <w:ind w:left="120"/>
              <w:spacing w:after="0" w:line="189" w:lineRule="exact"/>
              <w:rPr>
                <w:sz w:val="20"/>
                <w:szCs w:val="20"/>
                <w:color w:val="auto"/>
              </w:rPr>
            </w:pPr>
            <w:r>
              <w:rPr>
                <w:rFonts w:ascii="Arial" w:cs="Arial" w:eastAsia="Arial" w:hAnsi="Arial"/>
                <w:sz w:val="18"/>
                <w:szCs w:val="18"/>
                <w:color w:val="auto"/>
              </w:rPr>
              <w:t>Appraisal adjustments</w:t>
            </w:r>
          </w:p>
        </w:tc>
        <w:tc>
          <w:tcPr>
            <w:tcW w:w="1940" w:type="dxa"/>
            <w:vAlign w:val="bottom"/>
          </w:tcPr>
          <w:p>
            <w:pPr>
              <w:jc w:val="right"/>
              <w:spacing w:after="0" w:line="189" w:lineRule="exact"/>
              <w:rPr>
                <w:sz w:val="20"/>
                <w:szCs w:val="20"/>
                <w:color w:val="auto"/>
              </w:rPr>
            </w:pPr>
            <w:r>
              <w:rPr>
                <w:rFonts w:ascii="Arial" w:cs="Arial" w:eastAsia="Arial" w:hAnsi="Arial"/>
                <w:sz w:val="18"/>
                <w:szCs w:val="18"/>
                <w:color w:val="auto"/>
              </w:rPr>
              <w:t>- 20.3 % to - 100.0 %</w:t>
            </w:r>
          </w:p>
        </w:tc>
      </w:tr>
      <w:tr>
        <w:trPr>
          <w:trHeight w:val="189"/>
        </w:trPr>
        <w:tc>
          <w:tcPr>
            <w:tcW w:w="2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(-30.8)%</w:t>
            </w:r>
          </w:p>
        </w:tc>
      </w:tr>
      <w:tr>
        <w:trPr>
          <w:trHeight w:val="189"/>
        </w:trPr>
        <w:tc>
          <w:tcPr>
            <w:tcW w:w="2100" w:type="dxa"/>
            <w:vAlign w:val="bottom"/>
          </w:tcPr>
          <w:p>
            <w:pPr>
              <w:spacing w:after="0" w:line="189" w:lineRule="exact"/>
              <w:rPr>
                <w:sz w:val="20"/>
                <w:szCs w:val="20"/>
                <w:color w:val="auto"/>
              </w:rPr>
            </w:pPr>
            <w:r>
              <w:rPr>
                <w:rFonts w:ascii="Arial" w:cs="Arial" w:eastAsia="Arial" w:hAnsi="Arial"/>
                <w:sz w:val="18"/>
                <w:szCs w:val="18"/>
                <w:color w:val="auto"/>
              </w:rPr>
              <w:t>OREO(1)</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right"/>
              <w:ind w:right="76"/>
              <w:spacing w:after="0" w:line="189" w:lineRule="exact"/>
              <w:rPr>
                <w:sz w:val="20"/>
                <w:szCs w:val="20"/>
                <w:color w:val="auto"/>
              </w:rPr>
            </w:pPr>
            <w:r>
              <w:rPr>
                <w:rFonts w:ascii="Arial" w:cs="Arial" w:eastAsia="Arial" w:hAnsi="Arial"/>
                <w:sz w:val="18"/>
                <w:szCs w:val="18"/>
                <w:color w:val="auto"/>
              </w:rPr>
              <w:t>—</w:t>
            </w: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92"/>
              </w:rPr>
              <w:t>Appraisal of collateral</w:t>
            </w:r>
          </w:p>
        </w:tc>
        <w:tc>
          <w:tcPr>
            <w:tcW w:w="2040" w:type="dxa"/>
            <w:vAlign w:val="bottom"/>
          </w:tcPr>
          <w:p>
            <w:pPr>
              <w:ind w:left="160"/>
              <w:spacing w:after="0" w:line="189" w:lineRule="exact"/>
              <w:rPr>
                <w:sz w:val="20"/>
                <w:szCs w:val="20"/>
                <w:color w:val="auto"/>
              </w:rPr>
            </w:pPr>
            <w:r>
              <w:rPr>
                <w:rFonts w:ascii="Arial" w:cs="Arial" w:eastAsia="Arial" w:hAnsi="Arial"/>
                <w:sz w:val="18"/>
                <w:szCs w:val="18"/>
                <w:color w:val="auto"/>
              </w:rPr>
              <w:t>Appraisal adjustments</w:t>
            </w:r>
          </w:p>
        </w:tc>
        <w:tc>
          <w:tcPr>
            <w:tcW w:w="1940" w:type="dxa"/>
            <w:vAlign w:val="bottom"/>
          </w:tcPr>
          <w:p>
            <w:pPr>
              <w:jc w:val="center"/>
              <w:spacing w:after="0" w:line="189" w:lineRule="exact"/>
              <w:rPr>
                <w:sz w:val="20"/>
                <w:szCs w:val="20"/>
                <w:color w:val="auto"/>
              </w:rPr>
            </w:pPr>
            <w:r>
              <w:rPr>
                <w:rFonts w:ascii="Arial" w:cs="Arial" w:eastAsia="Arial" w:hAnsi="Arial"/>
                <w:sz w:val="18"/>
                <w:szCs w:val="18"/>
                <w:color w:val="auto"/>
                <w:w w:val="89"/>
              </w:rPr>
              <w:t>-100.0%</w:t>
            </w:r>
          </w:p>
        </w:tc>
      </w:tr>
      <w:tr>
        <w:trPr>
          <w:trHeight w:val="189"/>
        </w:trPr>
        <w:tc>
          <w:tcPr>
            <w:tcW w:w="2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(-100.0)%</w:t>
            </w:r>
          </w:p>
        </w:tc>
      </w:tr>
      <w:tr>
        <w:trPr>
          <w:trHeight w:val="115"/>
        </w:trPr>
        <w:tc>
          <w:tcPr>
            <w:tcW w:w="2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OREO fair value was less than one thousand dollars.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8"/>
        </w:trPr>
        <w:tc>
          <w:tcPr>
            <w:tcW w:w="22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5"/>
          </w:tcPr>
          <w:p>
            <w:pPr>
              <w:ind w:left="360"/>
              <w:spacing w:after="0" w:line="158" w:lineRule="exact"/>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3"/>
                <w:szCs w:val="13"/>
                <w:color w:val="auto"/>
              </w:rPr>
            </w:pPr>
          </w:p>
        </w:tc>
        <w:tc>
          <w:tcPr>
            <w:tcW w:w="2000" w:type="dxa"/>
            <w:vAlign w:val="bottom"/>
            <w:gridSpan w:val="4"/>
          </w:tcPr>
          <w:p>
            <w:pPr>
              <w:jc w:val="right"/>
              <w:ind w:right="392"/>
              <w:spacing w:after="0" w:line="158" w:lineRule="exact"/>
              <w:rPr>
                <w:sz w:val="20"/>
                <w:szCs w:val="20"/>
                <w:color w:val="auto"/>
              </w:rPr>
            </w:pPr>
            <w:r>
              <w:rPr>
                <w:rFonts w:ascii="Arial" w:cs="Arial" w:eastAsia="Arial" w:hAnsi="Arial"/>
                <w:sz w:val="14"/>
                <w:szCs w:val="14"/>
                <w:b w:val="1"/>
                <w:bCs w:val="1"/>
                <w:color w:val="auto"/>
              </w:rPr>
              <w:t>December 31, 2017</w:t>
            </w:r>
          </w:p>
        </w:tc>
      </w:tr>
      <w:tr>
        <w:trPr>
          <w:trHeight w:val="119"/>
        </w:trPr>
        <w:tc>
          <w:tcPr>
            <w:tcW w:w="2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2"/>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13"/>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52"/>
              <w:spacing w:after="0" w:line="119" w:lineRule="exact"/>
              <w:rPr>
                <w:sz w:val="20"/>
                <w:szCs w:val="20"/>
                <w:color w:val="auto"/>
              </w:rPr>
            </w:pPr>
            <w:r>
              <w:rPr>
                <w:rFonts w:ascii="Arial" w:cs="Arial" w:eastAsia="Arial" w:hAnsi="Arial"/>
                <w:sz w:val="13"/>
                <w:szCs w:val="13"/>
                <w:b w:val="1"/>
                <w:bCs w:val="1"/>
                <w:color w:val="auto"/>
              </w:rPr>
              <w:t>Fair</w:t>
            </w:r>
          </w:p>
        </w:tc>
      </w:tr>
      <w:tr>
        <w:trPr>
          <w:trHeight w:val="171"/>
        </w:trPr>
        <w:tc>
          <w:tcPr>
            <w:tcW w:w="2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84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Value</w:t>
            </w:r>
          </w:p>
        </w:tc>
      </w:tr>
      <w:tr>
        <w:trPr>
          <w:trHeight w:val="183"/>
        </w:trPr>
        <w:tc>
          <w:tcPr>
            <w:tcW w:w="43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Financial assets:</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189"/>
        </w:trPr>
        <w:tc>
          <w:tcPr>
            <w:tcW w:w="4340" w:type="dxa"/>
            <w:vAlign w:val="bottom"/>
            <w:gridSpan w:val="2"/>
          </w:tcPr>
          <w:p>
            <w:pPr>
              <w:spacing w:after="0" w:line="189" w:lineRule="exact"/>
              <w:rPr>
                <w:sz w:val="20"/>
                <w:szCs w:val="20"/>
                <w:color w:val="auto"/>
              </w:rPr>
            </w:pPr>
            <w:r>
              <w:rPr>
                <w:rFonts w:ascii="Arial" w:cs="Arial" w:eastAsia="Arial" w:hAnsi="Arial"/>
                <w:sz w:val="18"/>
                <w:szCs w:val="18"/>
                <w:color w:val="auto"/>
              </w:rPr>
              <w:t>Level 1 inputs: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4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160,652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160,652</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353,272</w:t>
            </w: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353,272</w:t>
            </w:r>
          </w:p>
        </w:tc>
      </w:tr>
      <w:tr>
        <w:trPr>
          <w:trHeight w:val="189"/>
        </w:trPr>
        <w:tc>
          <w:tcPr>
            <w:tcW w:w="4340" w:type="dxa"/>
            <w:vAlign w:val="bottom"/>
            <w:gridSpan w:val="2"/>
          </w:tcPr>
          <w:p>
            <w:pPr>
              <w:spacing w:after="0" w:line="189" w:lineRule="exact"/>
              <w:rPr>
                <w:sz w:val="20"/>
                <w:szCs w:val="20"/>
                <w:color w:val="auto"/>
              </w:rPr>
            </w:pPr>
            <w:r>
              <w:rPr>
                <w:rFonts w:ascii="Arial" w:cs="Arial" w:eastAsia="Arial" w:hAnsi="Arial"/>
                <w:sz w:val="18"/>
                <w:szCs w:val="18"/>
                <w:color w:val="auto"/>
              </w:rPr>
              <w:t>Level 2 inputs: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4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Securities held to maturity</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626,250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611,302</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443,550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441,052</w:t>
            </w:r>
          </w:p>
        </w:tc>
      </w:tr>
      <w:tr>
        <w:trPr>
          <w:trHeight w:val="189"/>
        </w:trPr>
        <w:tc>
          <w:tcPr>
            <w:tcW w:w="43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25,321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25,321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22,591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22,591</w:t>
            </w:r>
          </w:p>
        </w:tc>
      </w:tr>
      <w:tr>
        <w:trPr>
          <w:trHeight w:val="189"/>
        </w:trPr>
        <w:tc>
          <w:tcPr>
            <w:tcW w:w="4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Level 3 inputs: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43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Portfolio loans, net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w w:val="94"/>
              </w:rPr>
              <w:t>5,570,998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94"/>
              </w:rPr>
              <w:t>5,424,280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w w:val="94"/>
              </w:rPr>
              <w:t>5,465,918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w w:val="92"/>
              </w:rPr>
              <w:t>5,361,406</w:t>
            </w:r>
          </w:p>
        </w:tc>
      </w:tr>
      <w:tr>
        <w:trPr>
          <w:trHeight w:val="189"/>
        </w:trPr>
        <w:tc>
          <w:tcPr>
            <w:tcW w:w="4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Mortgage servicing rights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3,456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11,147</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3,680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8,635</w:t>
            </w:r>
          </w:p>
        </w:tc>
      </w:tr>
      <w:tr>
        <w:trPr>
          <w:trHeight w:val="189"/>
        </w:trPr>
        <w:tc>
          <w:tcPr>
            <w:tcW w:w="43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Other servicing rights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616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1,236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280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901</w:t>
            </w:r>
          </w:p>
        </w:tc>
      </w:tr>
      <w:tr>
        <w:trPr>
          <w:trHeight w:val="189"/>
        </w:trPr>
        <w:tc>
          <w:tcPr>
            <w:tcW w:w="22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4340" w:type="dxa"/>
            <w:vAlign w:val="bottom"/>
            <w:gridSpan w:val="2"/>
          </w:tcPr>
          <w:p>
            <w:pPr>
              <w:spacing w:after="0" w:line="189" w:lineRule="exact"/>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4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Level 2 inputs: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43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Time deposits(2)</w:t>
            </w:r>
          </w:p>
        </w:tc>
        <w:tc>
          <w:tcPr>
            <w:tcW w:w="3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w w:val="94"/>
              </w:rPr>
              <w:t>1,552,283</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94"/>
              </w:rPr>
              <w:t>1,536,729</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Deposits(2)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6,125,965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6,119,135</w:t>
            </w:r>
          </w:p>
        </w:tc>
      </w:tr>
      <w:tr>
        <w:trPr>
          <w:trHeight w:val="189"/>
        </w:trPr>
        <w:tc>
          <w:tcPr>
            <w:tcW w:w="43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Securities sold under agreements to repurchase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255,906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255,906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304,566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304,566</w:t>
            </w:r>
          </w:p>
        </w:tc>
      </w:tr>
      <w:tr>
        <w:trPr>
          <w:trHeight w:val="189"/>
        </w:trPr>
        <w:tc>
          <w:tcPr>
            <w:tcW w:w="4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200,000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200,000</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220,000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220,000</w:t>
            </w:r>
          </w:p>
        </w:tc>
      </w:tr>
      <w:tr>
        <w:trPr>
          <w:trHeight w:val="189"/>
        </w:trPr>
        <w:tc>
          <w:tcPr>
            <w:tcW w:w="43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50,000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49,562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50,000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50,000</w:t>
            </w:r>
          </w:p>
        </w:tc>
      </w:tr>
      <w:tr>
        <w:trPr>
          <w:trHeight w:val="189"/>
        </w:trPr>
        <w:tc>
          <w:tcPr>
            <w:tcW w:w="4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w w:val="92"/>
              </w:rPr>
              <w:t>Junior subordinated debt owed to unconsolidated trusts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71,118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71,118</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71,008</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71,008</w:t>
            </w:r>
          </w:p>
        </w:tc>
      </w:tr>
      <w:tr>
        <w:trPr>
          <w:trHeight w:val="189"/>
        </w:trPr>
        <w:tc>
          <w:tcPr>
            <w:tcW w:w="43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6,731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6,731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2,581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2,581</w:t>
            </w:r>
          </w:p>
        </w:tc>
      </w:tr>
      <w:tr>
        <w:trPr>
          <w:trHeight w:val="189"/>
        </w:trPr>
        <w:tc>
          <w:tcPr>
            <w:tcW w:w="4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Level 3 inputs: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43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Senior notes, net of unamortized issuance costs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39,505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38,382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39,404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39,104</w:t>
            </w:r>
          </w:p>
        </w:tc>
      </w:tr>
      <w:tr>
        <w:trPr>
          <w:trHeight w:val="189"/>
        </w:trPr>
        <w:tc>
          <w:tcPr>
            <w:tcW w:w="4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w w:val="93"/>
              </w:rPr>
              <w:t>Subordinated notes, net of unamortized issuance costs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59,121</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57,470</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64,715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64,350</w:t>
            </w:r>
          </w:p>
        </w:tc>
      </w:tr>
      <w:tr>
        <w:trPr>
          <w:trHeight w:val="108"/>
        </w:trPr>
        <w:tc>
          <w:tcPr>
            <w:tcW w:w="228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r>
    </w:tbl>
    <w:p>
      <w:pPr>
        <w:spacing w:after="0" w:line="80" w:lineRule="exact"/>
        <w:rPr>
          <w:sz w:val="20"/>
          <w:szCs w:val="20"/>
          <w:color w:val="auto"/>
        </w:rPr>
      </w:pPr>
    </w:p>
    <w:p>
      <w:pPr>
        <w:ind w:left="660" w:right="340"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connection with the adoption of ASU 2016-01 in 2018, only deposits with stated maturities are required to be disclosed.</w:t>
      </w:r>
    </w:p>
    <w:p>
      <w:pPr>
        <w:spacing w:after="0" w:line="12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 the fair value of financial instruments is set forth in the Company’s Annual Report on Form 10-K for the year ended December 31, 2017.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Liability for Loans Sold</w:t>
      </w:r>
    </w:p>
    <w:p>
      <w:pPr>
        <w:spacing w:after="0" w:line="148" w:lineRule="exact"/>
        <w:rPr>
          <w:sz w:val="20"/>
          <w:szCs w:val="20"/>
          <w:color w:val="auto"/>
        </w:rPr>
      </w:pPr>
    </w:p>
    <w:p>
      <w:pPr>
        <w:ind w:right="100"/>
        <w:spacing w:after="0" w:line="222" w:lineRule="auto"/>
        <w:rPr>
          <w:sz w:val="20"/>
          <w:szCs w:val="20"/>
          <w:color w:val="auto"/>
        </w:rPr>
      </w:pPr>
      <w:r>
        <w:rPr>
          <w:rFonts w:ascii="Arial" w:cs="Arial" w:eastAsia="Arial" w:hAnsi="Arial"/>
          <w:sz w:val="17"/>
          <w:szCs w:val="17"/>
          <w:color w:val="auto"/>
        </w:rPr>
        <w:t>Under standard representations and warranties and early payment default clauses in the Company’s mortgage sale agreements, the Company could be required to repurchase mortgage loans sold to investors or reimburse the investors for losses incurred on loans in the event of borrower default within a defined period after origination (generally 90 days), or in the event of breaches of contractual representations or warranties made at the time of sale that are not remedied within a defined period after the Company receives notice of such breaches (generally 90 days). In addition, the Company may be required to refund the profit received from the sale of a loan to an investor if the borrower pays off the loan within a defined period after origination, which is generally 120 days. The Company records an estimated liability for probable amounts due to the Company’s loan investors under these obligations. This repurchase liability is determined based on a combination of factors including the volume of loans sold in current and previous periods; borrower default expectations; historical investor repurchase demand and appeals success rates; and estimated loss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20"/>
        <w:spacing w:after="0" w:line="226" w:lineRule="auto"/>
        <w:rPr>
          <w:sz w:val="20"/>
          <w:szCs w:val="20"/>
          <w:color w:val="auto"/>
        </w:rPr>
      </w:pPr>
      <w:r>
        <w:rPr>
          <w:rFonts w:ascii="Arial" w:cs="Arial" w:eastAsia="Arial" w:hAnsi="Arial"/>
          <w:sz w:val="17"/>
          <w:szCs w:val="17"/>
          <w:color w:val="auto"/>
        </w:rPr>
        <w:t>severity. Payments made to investors as reimbursement for losses incurred are charged against the mortgage repurchase liability. Loans repurchased from investors are initially recorded at fair value, which becomes the Company’s new accounting basis. The difference between the loan’s fair value and the payment made to investors as reimbursement for losses incurred is charged to the mortgage repurchase liability. Subsequent to repurchase, such loans are carried as portfolio loans on the Company’s Consolidated Balance Sheets. Loans repurchased with deteriorated credit quality at the date of repurchase are accounted for under ASC Topic 310-30.</w:t>
      </w:r>
    </w:p>
    <w:p>
      <w:pPr>
        <w:spacing w:after="0" w:line="12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liability for loans sold of $2.0 million and $2.1 million at September 30, 2018 and December 31, 2017, respectively, represents the Company’s best estimate of the probable losses that the Company will incur for various early default provisions and contractual representations and warranties associated with the sales of mortgage loans and is included in other liabilities in the accompanying Consolidated Balance Sheets. Because the level of mortgage loan repurchase losses depends upon economic factors, investor demand strategies and other external conditions that may change over the life of the underlying loans, the level of the liability for mortgage loan repurchase losses is difficult to estimate and requires considerable management judgment. In addition, the Company generally does not service the loans that it has sold to investors and is generally unable to track the remaining unpaid balances or delinquency status after sale. As a result, there may be a range of possible losses in excess of the estimated liability that cannot be estimated. Management maintains regular contact with the Company’s investors to monitor and address their repurchase demand practices and concerns.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left="1440" w:right="60"/>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2"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following is management’s discussion and analysis of the financial condition of First Busey at September 30, 2018 (unaudited), as compared with December 31, 2017 and September 30, 2017 (unaudited), and the results of operations for the three and nine months ended September 30, 2018 (unaudited) and 2017 (unaudited), and the three months ended June 30, 2018 (unaudited) when applicable. Management’s discussion and analysis should be read in conjunction with the Company’s unaudited Consolidated Financial Statements and notes thereto appearing elsewhere in this Quarterly Report on Form 10-Q, as well as the Company’s Annual Report on Form 10-K for the year ended December 31, 2017.</w:t>
      </w:r>
    </w:p>
    <w:p>
      <w:pPr>
        <w:spacing w:after="0" w:line="120"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On August 21, 2018, the Company entered into the Merger Agreement with Banc Ed, the holding company for TheBANK, pursuant to which Banc Ed will merge into the Company, with the Company as the surviving corporation. The operating results of Banc Ed and TheBANK are not included in the Company’s unaudited Consolidated Financial Statements included herein.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144"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The Company’s net income for the third quarter of 2018 was $26.9 million, or $0.55 per diluted common share, an increase compared to net income of $24.9 million, or $0.51 per diluted common share, for the second quarter of 2018 and net income of $18.8 million, or $0.41 per diluted common share, for the third quarter of 2017. Adjusted net income(1) for the third quarter of 2018 was $27.0 million, or $0.55 per diluted common share, an increase compared to $25.6 million, or $0.52 per diluted common share, for the second quarter of 2018 and $20.6 million, or $0.45 per diluted common share, for the third quarter of 2017.</w:t>
      </w:r>
    </w:p>
    <w:p>
      <w:pPr>
        <w:spacing w:after="0" w:line="122"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Year-to-date net income through September 30, 2018 was $73.6 million, or $1.50 per diluted common share, an increase over net income of $50.4 million, or $1.23 per diluted common share, for the comparable period of 2017. Year-to-date adjusted net income(1) for the first nine months of 2018 was $77.5 million, or $1.58 per diluted common share, an increase compared to $53.1 million, or $1.29 per diluted common share, for the comparable period of 2017. The results were favorably impacted by the acquisition of First Community, since the closing of the transaction on July 2, 2017, and Mid Illinois, since the closing of the transaction on October 1, 2017.</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For the third quarter of 2018, return on average assets and return on average tangible common equity were 1.37% and</w:t>
      </w:r>
    </w:p>
    <w:p>
      <w:pPr>
        <w:ind w:right="120"/>
        <w:spacing w:after="0" w:line="229" w:lineRule="auto"/>
        <w:rPr>
          <w:sz w:val="20"/>
          <w:szCs w:val="20"/>
          <w:color w:val="auto"/>
        </w:rPr>
      </w:pPr>
      <w:r>
        <w:rPr>
          <w:rFonts w:ascii="Arial" w:cs="Arial" w:eastAsia="Arial" w:hAnsi="Arial"/>
          <w:sz w:val="16"/>
          <w:szCs w:val="16"/>
          <w:color w:val="auto"/>
        </w:rPr>
        <w:t>16.17%, respectively. Based on adjusted net income(1), return on average assets was 1.37% and return on average tangible common equity was 16.26% for the same period. For the nine months ended September 30, 2018, return on average assets was 1.28%, an increase from 1.15% for the same period of 2017. Based on adjusted net income(1), return on average assets for the first nine months of 2018 was 1.34% compared to 1.22% for the comparable period of 2017. Return on average tangible common equity was 15.34% for the first nine months of 2018 compared to 13.15% for the same period of</w:t>
      </w:r>
    </w:p>
    <w:p>
      <w:pPr>
        <w:spacing w:after="0" w:line="229" w:lineRule="auto"/>
        <w:rPr>
          <w:sz w:val="20"/>
          <w:szCs w:val="20"/>
          <w:color w:val="auto"/>
        </w:rPr>
      </w:pPr>
      <w:r>
        <w:rPr>
          <w:rFonts w:ascii="Arial" w:cs="Arial" w:eastAsia="Arial" w:hAnsi="Arial"/>
          <w:sz w:val="16"/>
          <w:szCs w:val="16"/>
          <w:color w:val="auto"/>
        </w:rPr>
        <w:t>2017. Return on average tangible common equity based on adjusted net income(1) was 16.15% for the first nine months of</w:t>
      </w:r>
    </w:p>
    <w:p>
      <w:pPr>
        <w:spacing w:after="0"/>
        <w:rPr>
          <w:sz w:val="20"/>
          <w:szCs w:val="20"/>
          <w:color w:val="auto"/>
        </w:rPr>
      </w:pPr>
      <w:r>
        <w:rPr>
          <w:rFonts w:ascii="Arial" w:cs="Arial" w:eastAsia="Arial" w:hAnsi="Arial"/>
          <w:sz w:val="18"/>
          <w:szCs w:val="18"/>
          <w:color w:val="auto"/>
        </w:rPr>
        <w:t>2018 compared to 13.86% for the same period of 2017.</w:t>
      </w:r>
    </w:p>
    <w:p>
      <w:pPr>
        <w:spacing w:after="0" w:line="128" w:lineRule="exact"/>
        <w:rPr>
          <w:sz w:val="20"/>
          <w:szCs w:val="20"/>
          <w:color w:val="auto"/>
        </w:rPr>
      </w:pPr>
    </w:p>
    <w:p>
      <w:pPr>
        <w:jc w:val="both"/>
        <w:ind w:right="80"/>
        <w:spacing w:after="0" w:line="224" w:lineRule="auto"/>
        <w:rPr>
          <w:sz w:val="20"/>
          <w:szCs w:val="20"/>
          <w:color w:val="auto"/>
        </w:rPr>
      </w:pPr>
      <w:r>
        <w:rPr>
          <w:rFonts w:ascii="Arial" w:cs="Arial" w:eastAsia="Arial" w:hAnsi="Arial"/>
          <w:sz w:val="18"/>
          <w:szCs w:val="18"/>
          <w:color w:val="auto"/>
        </w:rPr>
        <w:t>The Company views certain non-operating items including, but not limited to, acquisition-related and restructuring charges, as adjustments to net income. Non-operating adjustments for the third quarter of 2018 were $0.2 million of expenses related to acquisitions.</w:t>
      </w:r>
    </w:p>
    <w:p>
      <w:pPr>
        <w:spacing w:after="0" w:line="123" w:lineRule="exact"/>
        <w:rPr>
          <w:sz w:val="20"/>
          <w:szCs w:val="20"/>
          <w:color w:val="auto"/>
        </w:rPr>
      </w:pPr>
    </w:p>
    <w:p>
      <w:pPr>
        <w:ind w:right="220"/>
        <w:spacing w:after="0" w:line="229" w:lineRule="auto"/>
        <w:rPr>
          <w:sz w:val="20"/>
          <w:szCs w:val="20"/>
          <w:color w:val="auto"/>
        </w:rPr>
      </w:pPr>
      <w:r>
        <w:rPr>
          <w:rFonts w:ascii="Arial" w:cs="Arial" w:eastAsia="Arial" w:hAnsi="Arial"/>
          <w:sz w:val="17"/>
          <w:szCs w:val="17"/>
          <w:color w:val="auto"/>
        </w:rPr>
        <w:t>Revenues from trust fees, commissions and brokers’ fees, and remittance processing activities represented 49.6% of the Company’s non-interest income for the quarter ended September 30, 2018, providing a balance to revenue from traditional banking activities. Two of the Company’s acquisitions, Pulaski and First Community, had no legacy fee income in these businesses; therefore, the addition of these fee-based service offerings in the corresponding acquired bank markets is expected to continue providing attractive growth opportunities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14408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63" w:lineRule="exact"/>
        <w:rPr>
          <w:sz w:val="20"/>
          <w:szCs w:val="20"/>
          <w:color w:val="auto"/>
        </w:rPr>
      </w:pPr>
    </w:p>
    <w:p>
      <w:pPr>
        <w:ind w:left="320" w:right="280" w:hanging="317"/>
        <w:spacing w:after="0" w:line="235"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 reconciliation of adjusted net income, a non-GAAP financial measure, see “Non-GAAP Financial Information” included in this Quarterly Report on Form 10-Q.</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60"/>
        <w:spacing w:after="0" w:line="216" w:lineRule="auto"/>
        <w:rPr>
          <w:sz w:val="20"/>
          <w:szCs w:val="20"/>
          <w:color w:val="auto"/>
        </w:rPr>
      </w:pPr>
      <w:r>
        <w:rPr>
          <w:rFonts w:ascii="Arial" w:cs="Arial" w:eastAsia="Arial" w:hAnsi="Arial"/>
          <w:sz w:val="18"/>
          <w:szCs w:val="18"/>
          <w:color w:val="auto"/>
        </w:rPr>
        <w:t>The pending Banc Ed transaction fits with our acquisition strategy as the addition of TheBANK will grow the Company’s current geographic footprint, allowing the Company to further serve customers in the St. Louis Missouri-Illinois Metropolitan Statistical Area and significantly adding to the Company’s wealth management business. First Busey and TheBANK have similar risk philosophies and the combined entity will continue to be built upon capital strength and solid credit practices.</w:t>
      </w:r>
    </w:p>
    <w:p>
      <w:pPr>
        <w:spacing w:after="0" w:line="122"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The reconciliation of non-GAAP measures (including adjusted net income and return on average assets, adjusted net interest margin, adjusted efficiency ratio, tangible common equity to tangible assets, tangible book value per share and return on average tangible common equity), which the Company believes facilitates the assessment of its banking operations and peer comparability, is included in tabular form in this Quarterly Report on Form 10-Q in the “Non-GAAP Financial Information” section.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144" w:lineRule="exact"/>
        <w:rPr>
          <w:sz w:val="20"/>
          <w:szCs w:val="20"/>
          <w:color w:val="auto"/>
        </w:rPr>
      </w:pPr>
    </w:p>
    <w:p>
      <w:pPr>
        <w:jc w:val="both"/>
        <w:ind w:right="60"/>
        <w:spacing w:after="0" w:line="235" w:lineRule="auto"/>
        <w:rPr>
          <w:sz w:val="20"/>
          <w:szCs w:val="20"/>
          <w:color w:val="auto"/>
        </w:rPr>
      </w:pPr>
      <w:r>
        <w:rPr>
          <w:rFonts w:ascii="Arial" w:cs="Arial" w:eastAsia="Arial" w:hAnsi="Arial"/>
          <w:sz w:val="16"/>
          <w:szCs w:val="16"/>
          <w:color w:val="auto"/>
        </w:rPr>
        <w:t>We remain committed to our focus on quality balance sheet growth and our credit metrics remain solid. As of September 30, 2018, non-performing loans increased to $40.8 million, compared to $26.4 million as of June 30, 2018, and $27.9 million as of September 30, 2017. Non-performing loans were 0.72% of total portfolio loans as of September 30, 2018, compared to</w:t>
      </w:r>
    </w:p>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0.47% as of June 30, 2018 and 0.55% as of September 30, 2017. The increase in non-performing loans for the third quarter of 2018 was driven primarily by two commercial credits. The Company has created specific reserves for these credits.</w:t>
      </w:r>
    </w:p>
    <w:p>
      <w:pPr>
        <w:spacing w:after="0" w:line="100" w:lineRule="exact"/>
        <w:rPr>
          <w:sz w:val="20"/>
          <w:szCs w:val="20"/>
          <w:color w:val="auto"/>
        </w:rPr>
      </w:pPr>
    </w:p>
    <w:p>
      <w:pPr>
        <w:ind w:right="100"/>
        <w:spacing w:after="0" w:line="235" w:lineRule="auto"/>
        <w:rPr>
          <w:sz w:val="20"/>
          <w:szCs w:val="20"/>
          <w:color w:val="auto"/>
        </w:rPr>
      </w:pPr>
      <w:r>
        <w:rPr>
          <w:rFonts w:ascii="Arial" w:cs="Arial" w:eastAsia="Arial" w:hAnsi="Arial"/>
          <w:sz w:val="16"/>
          <w:szCs w:val="16"/>
          <w:color w:val="auto"/>
        </w:rPr>
        <w:t>The Company recorded net charge-offs of $1.3 million for the third quarter of 2018, a decrease compared to $1.6 million for the second quarter of 2018, and an increase compared to net recoveries of $0.3 million for the third quarter of 2017. The allowance for loan loss as a percentage of portfolio loans was 0.94% at September 30, 2018 as compared to 0.96% at</w:t>
      </w:r>
    </w:p>
    <w:p>
      <w:pPr>
        <w:spacing w:after="0" w:line="2"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June 30, 2018 and 1.00% at September 30, 2017. As a result of acquisitions, the Company is holding acquired loans that are carried net of a fair value adjustment for credit and interest rate marks and are only included in the allowance calculation to the extent that the reserve requirement exceeds the fair value adjustment. The Company recorded provision for loan losses of $0.8 million in the third quarter of 2018, compared to $2.3 million in the second quarter of 2018 and $1.5 million in the third quarter of 2017. The Company recorded provision for loan losses of $4.0 million in the first nine months of 2018 and $2.5 million in the first nine months of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key metrics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8"/>
        </w:trPr>
        <w:tc>
          <w:tcPr>
            <w:tcW w:w="40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5"/>
          </w:tcPr>
          <w:p>
            <w:pPr>
              <w:jc w:val="right"/>
              <w:ind w:right="180"/>
              <w:spacing w:after="0" w:line="159" w:lineRule="exact"/>
              <w:rPr>
                <w:sz w:val="20"/>
                <w:szCs w:val="20"/>
                <w:color w:val="auto"/>
              </w:rPr>
            </w:pPr>
            <w:r>
              <w:rPr>
                <w:rFonts w:ascii="Arial" w:cs="Arial" w:eastAsia="Arial" w:hAnsi="Arial"/>
                <w:sz w:val="14"/>
                <w:szCs w:val="14"/>
                <w:b w:val="1"/>
                <w:bCs w:val="1"/>
                <w:color w:val="auto"/>
                <w:w w:val="96"/>
              </w:rPr>
              <w:t>As of and for the Three Months Ended</w:t>
            </w:r>
          </w:p>
        </w:tc>
        <w:tc>
          <w:tcPr>
            <w:tcW w:w="9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19"/>
        </w:trPr>
        <w:tc>
          <w:tcPr>
            <w:tcW w:w="4080" w:type="dxa"/>
            <w:vAlign w:val="bottom"/>
          </w:tcPr>
          <w:p>
            <w:pPr>
              <w:spacing w:after="0"/>
              <w:rPr>
                <w:sz w:val="10"/>
                <w:szCs w:val="10"/>
                <w:color w:val="auto"/>
              </w:rPr>
            </w:pPr>
          </w:p>
        </w:tc>
        <w:tc>
          <w:tcPr>
            <w:tcW w:w="1340" w:type="dxa"/>
            <w:vAlign w:val="bottom"/>
            <w:gridSpan w:val="2"/>
          </w:tcPr>
          <w:p>
            <w:pPr>
              <w:jc w:val="right"/>
              <w:ind w:right="308"/>
              <w:spacing w:after="0" w:line="119" w:lineRule="exact"/>
              <w:rPr>
                <w:sz w:val="20"/>
                <w:szCs w:val="20"/>
                <w:color w:val="auto"/>
              </w:rPr>
            </w:pPr>
            <w:r>
              <w:rPr>
                <w:rFonts w:ascii="Arial" w:cs="Arial" w:eastAsia="Arial" w:hAnsi="Arial"/>
                <w:sz w:val="13"/>
                <w:szCs w:val="13"/>
                <w:b w:val="1"/>
                <w:bCs w:val="1"/>
                <w:color w:val="auto"/>
              </w:rPr>
              <w:t>September 30,</w:t>
            </w:r>
          </w:p>
        </w:tc>
        <w:tc>
          <w:tcPr>
            <w:tcW w:w="11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June 30,</w:t>
            </w:r>
          </w:p>
        </w:tc>
        <w:tc>
          <w:tcPr>
            <w:tcW w:w="12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9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0"/>
                <w:szCs w:val="10"/>
                <w:color w:val="auto"/>
              </w:rPr>
            </w:pPr>
          </w:p>
        </w:tc>
      </w:tr>
      <w:tr>
        <w:trPr>
          <w:trHeight w:val="171"/>
        </w:trPr>
        <w:tc>
          <w:tcPr>
            <w:tcW w:w="40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r>
      <w:tr>
        <w:trPr>
          <w:trHeight w:val="183"/>
        </w:trPr>
        <w:tc>
          <w:tcPr>
            <w:tcW w:w="4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Portfolio loans</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7"/>
              </w:rPr>
              <w:t>$   5,623,741</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$ 5,555,287</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  5,531,453</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1"/>
              </w:rPr>
              <w:t>$  5,519,500</w:t>
            </w:r>
          </w:p>
        </w:tc>
        <w:tc>
          <w:tcPr>
            <w:tcW w:w="260" w:type="dxa"/>
            <w:vAlign w:val="bottom"/>
            <w:shd w:val="clear" w:color="auto" w:fill="CCEEFF"/>
          </w:tcPr>
          <w:p>
            <w:pPr>
              <w:spacing w:after="0"/>
              <w:rPr>
                <w:sz w:val="15"/>
                <w:szCs w:val="15"/>
                <w:color w:val="auto"/>
              </w:rPr>
            </w:pP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8"/>
                <w:szCs w:val="18"/>
                <w:color w:val="auto"/>
              </w:rPr>
              <w:t>Commercial loans(1)</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4,141,816</w:t>
            </w:r>
          </w:p>
        </w:tc>
        <w:tc>
          <w:tcPr>
            <w:tcW w:w="2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4,076,253</w:t>
            </w: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4,061,453</w:t>
            </w:r>
          </w:p>
        </w:tc>
        <w:tc>
          <w:tcPr>
            <w:tcW w:w="2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4,030,821</w:t>
            </w:r>
          </w:p>
        </w:tc>
        <w:tc>
          <w:tcPr>
            <w:tcW w:w="260" w:type="dxa"/>
            <w:vAlign w:val="bottom"/>
          </w:tcPr>
          <w:p>
            <w:pPr>
              <w:spacing w:after="0"/>
              <w:rPr>
                <w:sz w:val="16"/>
                <w:szCs w:val="16"/>
                <w:color w:val="auto"/>
              </w:rPr>
            </w:pPr>
          </w:p>
        </w:tc>
      </w:tr>
      <w:tr>
        <w:trPr>
          <w:trHeight w:val="189"/>
        </w:trPr>
        <w:tc>
          <w:tcPr>
            <w:tcW w:w="4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Allowance for loan losses</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52,743</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53,305</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52,649</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53,582</w:t>
            </w:r>
          </w:p>
        </w:tc>
        <w:tc>
          <w:tcPr>
            <w:tcW w:w="260" w:type="dxa"/>
            <w:vAlign w:val="bottom"/>
            <w:shd w:val="clear" w:color="auto" w:fill="CCEEFF"/>
          </w:tcPr>
          <w:p>
            <w:pPr>
              <w:spacing w:after="0"/>
              <w:rPr>
                <w:sz w:val="16"/>
                <w:szCs w:val="16"/>
                <w:color w:val="auto"/>
              </w:rPr>
            </w:pP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8"/>
                <w:szCs w:val="18"/>
                <w:color w:val="auto"/>
              </w:rPr>
              <w:t>Non-performing loans</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0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Non-accrual loans</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40,395</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23,215</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32,588</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24,624</w:t>
            </w:r>
          </w:p>
        </w:tc>
        <w:tc>
          <w:tcPr>
            <w:tcW w:w="260" w:type="dxa"/>
            <w:vAlign w:val="bottom"/>
            <w:shd w:val="clear" w:color="auto" w:fill="CCEEFF"/>
          </w:tcPr>
          <w:p>
            <w:pPr>
              <w:spacing w:after="0"/>
              <w:rPr>
                <w:sz w:val="16"/>
                <w:szCs w:val="16"/>
                <w:color w:val="auto"/>
              </w:rPr>
            </w:pP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8"/>
                <w:szCs w:val="18"/>
                <w:color w:val="auto"/>
              </w:rPr>
              <w:t>Loans 90+ days past due</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364</w:t>
            </w:r>
          </w:p>
        </w:tc>
        <w:tc>
          <w:tcPr>
            <w:tcW w:w="2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1,142</w:t>
            </w: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995</w:t>
            </w:r>
          </w:p>
        </w:tc>
        <w:tc>
          <w:tcPr>
            <w:tcW w:w="2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2,741</w:t>
            </w:r>
          </w:p>
        </w:tc>
        <w:tc>
          <w:tcPr>
            <w:tcW w:w="260" w:type="dxa"/>
            <w:vAlign w:val="bottom"/>
          </w:tcPr>
          <w:p>
            <w:pPr>
              <w:spacing w:after="0"/>
              <w:rPr>
                <w:sz w:val="16"/>
                <w:szCs w:val="16"/>
                <w:color w:val="auto"/>
              </w:rPr>
            </w:pPr>
          </w:p>
        </w:tc>
      </w:tr>
      <w:tr>
        <w:trPr>
          <w:trHeight w:val="189"/>
        </w:trPr>
        <w:tc>
          <w:tcPr>
            <w:tcW w:w="4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Loans 30-89 days past due</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8,189</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10,017</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9,506</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12,897</w:t>
            </w:r>
          </w:p>
        </w:tc>
        <w:tc>
          <w:tcPr>
            <w:tcW w:w="260" w:type="dxa"/>
            <w:vAlign w:val="bottom"/>
            <w:shd w:val="clear" w:color="auto" w:fill="CCEEFF"/>
          </w:tcPr>
          <w:p>
            <w:pPr>
              <w:spacing w:after="0"/>
              <w:rPr>
                <w:sz w:val="16"/>
                <w:szCs w:val="16"/>
                <w:color w:val="auto"/>
              </w:rPr>
            </w:pP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8"/>
                <w:szCs w:val="18"/>
                <w:color w:val="auto"/>
              </w:rPr>
              <w:t>Other non-performing assets</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1,093</w:t>
            </w:r>
          </w:p>
        </w:tc>
        <w:tc>
          <w:tcPr>
            <w:tcW w:w="2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3,694</w:t>
            </w: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1,001</w:t>
            </w:r>
          </w:p>
        </w:tc>
        <w:tc>
          <w:tcPr>
            <w:tcW w:w="2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1,283</w:t>
            </w:r>
          </w:p>
        </w:tc>
        <w:tc>
          <w:tcPr>
            <w:tcW w:w="260" w:type="dxa"/>
            <w:vAlign w:val="bottom"/>
          </w:tcPr>
          <w:p>
            <w:pPr>
              <w:spacing w:after="0"/>
              <w:rPr>
                <w:sz w:val="16"/>
                <w:szCs w:val="16"/>
                <w:color w:val="auto"/>
              </w:rPr>
            </w:pPr>
          </w:p>
        </w:tc>
      </w:tr>
      <w:tr>
        <w:trPr>
          <w:trHeight w:val="161"/>
        </w:trPr>
        <w:tc>
          <w:tcPr>
            <w:tcW w:w="40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Allowance as a percentage of non-performing</w:t>
            </w: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217"/>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loans</w:t>
            </w:r>
          </w:p>
        </w:tc>
        <w:tc>
          <w:tcPr>
            <w:tcW w:w="1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129.4 %</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202.2 %</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156.8 %</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195.8 %</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Allowance for loan losses to portfolio loans</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0.94 %</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0.96 %</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0.95 %</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14408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40" w:lineRule="exact"/>
        <w:rPr>
          <w:sz w:val="20"/>
          <w:szCs w:val="20"/>
          <w:color w:val="auto"/>
        </w:rPr>
      </w:pPr>
    </w:p>
    <w:p>
      <w:pPr>
        <w:ind w:left="4440" w:right="1980" w:hanging="4437"/>
        <w:spacing w:after="0" w:line="935"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loans categorized as commercial, commercial real estate and real estate construction.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144"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 Company has 44 banking centers serving Illinois. Our primary Illinois markets of Champaign, Macon, McLean and Peoria counties are anchored by several strong, well-recognized and stable organizations. Those organizations, coupled with a large agricultural sector, anchor the communities in which they are located, and have provided a comparatively stable foundation for housing, employment and small business. The First Community acquisition provided the Company entrance into the demographically and economically attractive southwest suburban markets of the greater Chicagoland area and is part of the Company’s strategy of expanding into markets with both population and commercial density in the Midwest.</w:t>
      </w:r>
    </w:p>
    <w:p>
      <w:pPr>
        <w:spacing w:after="0" w:line="120"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The State of Illinois, where a large portion of the Company’s customer base is located, continues to be one of the most troubled of any state in the United States with pension under-funding, continued budget deficits and a declining credit outlook. Additionally, the Company is located in markets with significant universities and healthcare companies, which rely heavily on state funding and contracts. Any possible payment lapses by the State of Illinois to its vendors and government sponsored entities may have negative effects on our primary market areas.</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Busey Bank has 13 banking centers serving the St. Louis metropolitan area, all of which are located in the city of St. Louis, or the adjacent counties of St. Louis County and St. Charles County. St. Louis, Missouri is the largest metropolitan area in Missouri and the twentieth largest in the United States. The bi-state metropolitan area includes seven counties in Missouri and eight counties in Illinois. The Company’s geographic concentration in only three of the 15 counties included in the St. Louis metropolitan area gives the Company tremendous expansion opportunities into neighboring counties. St. Louis has a diverse economy with major employment sectors including health care, financial services, professional and business services, and retail. St. Charles County has been one of the fastest-growing counties in the country for decades and features a cross-section of industry, as well as extensive retail and some agriculture.</w:t>
      </w:r>
    </w:p>
    <w:p>
      <w:pPr>
        <w:spacing w:after="0" w:line="12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Busey Bank has five banking centers in southwest Florida. Southwest Florida has shown continuing signs of improvement in areas such as job growth and the housing market over the last several years.</w:t>
      </w:r>
    </w:p>
    <w:p>
      <w:pPr>
        <w:spacing w:after="0" w:line="121" w:lineRule="exact"/>
        <w:rPr>
          <w:sz w:val="20"/>
          <w:szCs w:val="20"/>
          <w:color w:val="auto"/>
        </w:rPr>
      </w:pPr>
    </w:p>
    <w:p>
      <w:pPr>
        <w:ind w:right="380"/>
        <w:spacing w:after="0" w:line="224"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Many large corporations are headquartered in Indianapolis and it is host to numerous conventions and sporting events annually.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2" w:lineRule="exact"/>
        <w:rPr>
          <w:sz w:val="20"/>
          <w:szCs w:val="20"/>
          <w:color w:val="auto"/>
        </w:rPr>
      </w:pPr>
    </w:p>
    <w:p>
      <w:pPr>
        <w:ind w:firstLine="45"/>
        <w:spacing w:after="0" w:line="239" w:lineRule="auto"/>
        <w:rPr>
          <w:sz w:val="20"/>
          <w:szCs w:val="20"/>
          <w:color w:val="auto"/>
        </w:rPr>
      </w:pPr>
      <w:r>
        <w:rPr>
          <w:rFonts w:ascii="Arial" w:cs="Arial" w:eastAsia="Arial" w:hAnsi="Arial"/>
          <w:sz w:val="16"/>
          <w:szCs w:val="16"/>
          <w:color w:val="auto"/>
        </w:rPr>
        <w:t>Certain assets with tax favorable treatment are evaluated on a tax-equivalent basis. Tax-equivalent basis assumes an income tax rate of 21% in 2018 and 35% in 2017.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21"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 xml:space="preserve">The following tables </w:t>
      </w:r>
      <w:r>
        <w:rPr>
          <w:rFonts w:ascii="Arial" w:cs="Arial" w:eastAsia="Arial" w:hAnsi="Arial"/>
          <w:sz w:val="17"/>
          <w:szCs w:val="17"/>
          <w:i w:val="1"/>
          <w:iCs w:val="1"/>
          <w:color w:val="auto"/>
        </w:rPr>
        <w:t>(dollars in thousands)</w:t>
      </w:r>
      <w:r>
        <w:rPr>
          <w:rFonts w:ascii="Arial" w:cs="Arial" w:eastAsia="Arial" w:hAnsi="Arial"/>
          <w:sz w:val="17"/>
          <w:szCs w:val="17"/>
          <w:color w:val="auto"/>
        </w:rPr>
        <w:t xml:space="preserve">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For purposes of this table, changes attributable to both rate and volume, which cannot be segregated, have been allocated proportionately, based on changes due to rate and changes due to volume. All average information is provided on a daily average basis.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line="219" w:lineRule="auto"/>
        <w:rPr>
          <w:sz w:val="20"/>
          <w:szCs w:val="20"/>
          <w:color w:val="auto"/>
        </w:rPr>
      </w:pPr>
      <w:r>
        <w:rPr>
          <w:rFonts w:ascii="Arial" w:cs="Arial" w:eastAsia="Arial" w:hAnsi="Arial"/>
          <w:sz w:val="18"/>
          <w:szCs w:val="18"/>
          <w:b w:val="1"/>
          <w:bCs w:val="1"/>
          <w:color w:val="auto"/>
        </w:rPr>
        <w:t>CONSOLIDATED AVERAGE BALANCE SHEETS AND INTEREST RATES THREE MONTHS ENDED SEPTEMBER 30, 2018 AND 2017 (UNAUDITED)</w:t>
      </w:r>
    </w:p>
    <w:tbl>
      <w:tblPr>
        <w:tblLayout w:type="fixed"/>
        <w:tblInd w:w="0" w:type="dxa"/>
        <w:tblCellMar>
          <w:top w:w="0" w:type="dxa"/>
          <w:left w:w="0" w:type="dxa"/>
          <w:bottom w:w="0" w:type="dxa"/>
          <w:right w:w="0" w:type="dxa"/>
        </w:tblCellMar>
      </w:tblPr>
      <w:tr>
        <w:trPr>
          <w:trHeight w:val="122"/>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5"/>
          </w:tcPr>
          <w:p>
            <w:pPr>
              <w:jc w:val="right"/>
              <w:spacing w:after="0" w:line="123" w:lineRule="exact"/>
              <w:rPr>
                <w:sz w:val="20"/>
                <w:szCs w:val="20"/>
                <w:color w:val="auto"/>
              </w:rPr>
            </w:pPr>
            <w:r>
              <w:rPr>
                <w:rFonts w:ascii="Arial" w:cs="Arial" w:eastAsia="Arial" w:hAnsi="Arial"/>
                <w:sz w:val="13"/>
                <w:szCs w:val="13"/>
                <w:b w:val="1"/>
                <w:bCs w:val="1"/>
                <w:color w:val="auto"/>
              </w:rPr>
              <w:t>Change in income/</w:t>
            </w:r>
          </w:p>
        </w:tc>
        <w:tc>
          <w:tcPr>
            <w:tcW w:w="520" w:type="dxa"/>
            <w:vAlign w:val="bottom"/>
          </w:tcPr>
          <w:p>
            <w:pPr>
              <w:spacing w:after="0"/>
              <w:rPr>
                <w:sz w:val="10"/>
                <w:szCs w:val="10"/>
                <w:color w:val="auto"/>
              </w:rPr>
            </w:pPr>
          </w:p>
        </w:tc>
      </w:tr>
      <w:tr>
        <w:trPr>
          <w:trHeight w:val="153"/>
        </w:trPr>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expense due to(1)</w:t>
            </w:r>
          </w:p>
        </w:tc>
        <w:tc>
          <w:tcPr>
            <w:tcW w:w="520" w:type="dxa"/>
            <w:vAlign w:val="bottom"/>
            <w:tcBorders>
              <w:bottom w:val="single" w:sz="8" w:color="auto"/>
            </w:tcBorders>
          </w:tcPr>
          <w:p>
            <w:pPr>
              <w:spacing w:after="0"/>
              <w:rPr>
                <w:sz w:val="13"/>
                <w:szCs w:val="13"/>
                <w:color w:val="auto"/>
              </w:rPr>
            </w:pPr>
          </w:p>
        </w:tc>
      </w:tr>
      <w:tr>
        <w:trPr>
          <w:trHeight w:val="110"/>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Average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Income/</w:t>
            </w:r>
          </w:p>
        </w:tc>
        <w:tc>
          <w:tcPr>
            <w:tcW w:w="52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rPr>
              <w:t>Yield/</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9"/>
                <w:szCs w:val="9"/>
                <w:color w:val="auto"/>
              </w:rPr>
            </w:pPr>
          </w:p>
        </w:tc>
        <w:tc>
          <w:tcPr>
            <w:tcW w:w="72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Income/</w:t>
            </w:r>
          </w:p>
        </w:tc>
        <w:tc>
          <w:tcPr>
            <w:tcW w:w="52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rPr>
              <w:t>Yield/</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tcPr>
          <w:p>
            <w:pPr>
              <w:jc w:val="right"/>
              <w:ind w:right="240"/>
              <w:spacing w:after="0" w:line="110" w:lineRule="exact"/>
              <w:rPr>
                <w:sz w:val="20"/>
                <w:szCs w:val="20"/>
                <w:color w:val="auto"/>
              </w:rPr>
            </w:pPr>
            <w:r>
              <w:rPr>
                <w:rFonts w:ascii="Arial" w:cs="Arial" w:eastAsia="Arial" w:hAnsi="Arial"/>
                <w:sz w:val="12"/>
                <w:szCs w:val="12"/>
                <w:b w:val="1"/>
                <w:bCs w:val="1"/>
                <w:color w:val="auto"/>
                <w:w w:val="92"/>
              </w:rPr>
              <w:t>Average</w:t>
            </w:r>
          </w:p>
        </w:tc>
        <w:tc>
          <w:tcPr>
            <w:tcW w:w="80" w:type="dxa"/>
            <w:vAlign w:val="bottom"/>
          </w:tcPr>
          <w:p>
            <w:pPr>
              <w:spacing w:after="0"/>
              <w:rPr>
                <w:sz w:val="9"/>
                <w:szCs w:val="9"/>
                <w:color w:val="auto"/>
              </w:rPr>
            </w:pPr>
          </w:p>
        </w:tc>
        <w:tc>
          <w:tcPr>
            <w:tcW w:w="54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w w:val="88"/>
              </w:rPr>
              <w:t>Average</w:t>
            </w:r>
          </w:p>
        </w:tc>
        <w:tc>
          <w:tcPr>
            <w:tcW w:w="160" w:type="dxa"/>
            <w:vAlign w:val="bottom"/>
          </w:tcPr>
          <w:p>
            <w:pPr>
              <w:spacing w:after="0"/>
              <w:rPr>
                <w:sz w:val="9"/>
                <w:szCs w:val="9"/>
                <w:color w:val="auto"/>
              </w:rPr>
            </w:pPr>
          </w:p>
        </w:tc>
        <w:tc>
          <w:tcPr>
            <w:tcW w:w="520" w:type="dxa"/>
            <w:vAlign w:val="bottom"/>
          </w:tcPr>
          <w:p>
            <w:pPr>
              <w:jc w:val="right"/>
              <w:ind w:right="57"/>
              <w:spacing w:after="0" w:line="110" w:lineRule="exact"/>
              <w:rPr>
                <w:sz w:val="20"/>
                <w:szCs w:val="20"/>
                <w:color w:val="auto"/>
              </w:rPr>
            </w:pPr>
            <w:r>
              <w:rPr>
                <w:rFonts w:ascii="Arial" w:cs="Arial" w:eastAsia="Arial" w:hAnsi="Arial"/>
                <w:sz w:val="12"/>
                <w:szCs w:val="12"/>
                <w:b w:val="1"/>
                <w:bCs w:val="1"/>
                <w:color w:val="auto"/>
              </w:rPr>
              <w:t>Total</w:t>
            </w:r>
          </w:p>
        </w:tc>
      </w:tr>
      <w:tr>
        <w:trPr>
          <w:trHeight w:val="153"/>
        </w:trPr>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Expense</w:t>
            </w:r>
          </w:p>
        </w:tc>
        <w:tc>
          <w:tcPr>
            <w:tcW w:w="66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w w:val="99"/>
              </w:rPr>
              <w:t>Rate(6)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Balance</w:t>
            </w:r>
          </w:p>
        </w:tc>
        <w:tc>
          <w:tcPr>
            <w:tcW w:w="6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Expense</w:t>
            </w:r>
          </w:p>
        </w:tc>
        <w:tc>
          <w:tcPr>
            <w:tcW w:w="700" w:type="dxa"/>
            <w:vAlign w:val="bottom"/>
            <w:gridSpan w:val="2"/>
          </w:tcPr>
          <w:p>
            <w:pPr>
              <w:jc w:val="right"/>
              <w:ind w:right="182"/>
              <w:spacing w:after="0"/>
              <w:rPr>
                <w:sz w:val="20"/>
                <w:szCs w:val="20"/>
                <w:color w:val="auto"/>
              </w:rPr>
            </w:pPr>
            <w:r>
              <w:rPr>
                <w:rFonts w:ascii="Arial" w:cs="Arial" w:eastAsia="Arial" w:hAnsi="Arial"/>
                <w:sz w:val="13"/>
                <w:szCs w:val="13"/>
                <w:b w:val="1"/>
                <w:bCs w:val="1"/>
                <w:color w:val="auto"/>
                <w:w w:val="99"/>
              </w:rPr>
              <w:t>Rate(6)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5"/>
              </w:rPr>
              <w:t>Volume</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Yield/Rate</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2"/>
              </w:rPr>
              <w:t>Change</w:t>
            </w:r>
          </w:p>
        </w:tc>
      </w:tr>
      <w:tr>
        <w:trPr>
          <w:trHeight w:val="129"/>
        </w:trPr>
        <w:tc>
          <w:tcPr>
            <w:tcW w:w="24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r>
      <w:tr>
        <w:trPr>
          <w:trHeight w:val="121"/>
        </w:trPr>
        <w:tc>
          <w:tcPr>
            <w:tcW w:w="2400" w:type="dxa"/>
            <w:vAlign w:val="bottom"/>
            <w:gridSpan w:val="2"/>
          </w:tcPr>
          <w:p>
            <w:pPr>
              <w:spacing w:after="0" w:line="121" w:lineRule="exact"/>
              <w:rPr>
                <w:sz w:val="20"/>
                <w:szCs w:val="20"/>
                <w:color w:val="auto"/>
              </w:rPr>
            </w:pPr>
            <w:r>
              <w:rPr>
                <w:rFonts w:ascii="Arial" w:cs="Arial" w:eastAsia="Arial" w:hAnsi="Arial"/>
                <w:sz w:val="13"/>
                <w:szCs w:val="13"/>
                <w:color w:val="auto"/>
                <w:w w:val="97"/>
              </w:rPr>
              <w:t>Interest-bearing bank deposits and federal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9"/>
        </w:trPr>
        <w:tc>
          <w:tcPr>
            <w:tcW w:w="2400" w:type="dxa"/>
            <w:vAlign w:val="bottom"/>
            <w:gridSpan w:val="2"/>
          </w:tcPr>
          <w:p>
            <w:pPr>
              <w:ind w:left="60"/>
              <w:spacing w:after="0"/>
              <w:rPr>
                <w:sz w:val="20"/>
                <w:szCs w:val="20"/>
                <w:color w:val="auto"/>
              </w:rPr>
            </w:pPr>
            <w:r>
              <w:rPr>
                <w:rFonts w:ascii="Arial" w:cs="Arial" w:eastAsia="Arial" w:hAnsi="Arial"/>
                <w:sz w:val="13"/>
                <w:szCs w:val="13"/>
                <w:color w:val="auto"/>
              </w:rPr>
              <w:t>funds sold</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134,202</w:t>
            </w:r>
          </w:p>
        </w:tc>
        <w:tc>
          <w:tcPr>
            <w:tcW w:w="8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649</w:t>
            </w:r>
          </w:p>
        </w:tc>
        <w:tc>
          <w:tcPr>
            <w:tcW w:w="16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1.92 %</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110,976</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348</w:t>
            </w:r>
          </w:p>
        </w:tc>
        <w:tc>
          <w:tcPr>
            <w:tcW w:w="160" w:type="dxa"/>
            <w:vAlign w:val="bottom"/>
          </w:tcPr>
          <w:p>
            <w:pPr>
              <w:spacing w:after="0"/>
              <w:rPr>
                <w:sz w:val="12"/>
                <w:szCs w:val="12"/>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3"/>
                <w:szCs w:val="13"/>
                <w:color w:val="auto"/>
              </w:rPr>
              <w:t>1.24 %</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84</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217</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301</w:t>
            </w: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Investment securities: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4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U.S. Government obligations</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152,865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632</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1.64 %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135,404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564</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1.65 %</w:t>
            </w: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68</w:t>
            </w:r>
          </w:p>
        </w:tc>
      </w:tr>
      <w:tr>
        <w:trPr>
          <w:trHeight w:val="121"/>
        </w:trPr>
        <w:tc>
          <w:tcPr>
            <w:tcW w:w="2400" w:type="dxa"/>
            <w:vAlign w:val="bottom"/>
            <w:gridSpan w:val="2"/>
            <w:shd w:val="clear" w:color="auto" w:fill="CCEEFF"/>
          </w:tcPr>
          <w:p>
            <w:pPr>
              <w:ind w:left="320"/>
              <w:spacing w:after="0" w:line="121" w:lineRule="exact"/>
              <w:rPr>
                <w:sz w:val="20"/>
                <w:szCs w:val="20"/>
                <w:color w:val="auto"/>
              </w:rPr>
            </w:pPr>
            <w:r>
              <w:rPr>
                <w:rFonts w:ascii="Arial" w:cs="Arial" w:eastAsia="Arial" w:hAnsi="Arial"/>
                <w:sz w:val="13"/>
                <w:szCs w:val="13"/>
                <w:color w:val="auto"/>
              </w:rPr>
              <w:t>Obligations of states and political</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9"/>
        </w:trPr>
        <w:tc>
          <w:tcPr>
            <w:tcW w:w="24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subdivisions(1)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1,816</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2.57 %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260,421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2.92 %</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r>
      <w:tr>
        <w:trPr>
          <w:trHeight w:val="135"/>
        </w:trPr>
        <w:tc>
          <w:tcPr>
            <w:tcW w:w="24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Other securities</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984,802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6,384</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2.57 %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613,530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3,502</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2.26 %</w:t>
            </w: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2,354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528</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2,882</w:t>
            </w: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Loans held for sale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28,661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317</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4.39 %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127,369</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1,205</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3.75 %</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(1,063)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(888)</w:t>
            </w:r>
          </w:p>
        </w:tc>
      </w:tr>
      <w:tr>
        <w:trPr>
          <w:trHeight w:val="135"/>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Portfolio loans(1), (2)</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6"/>
              </w:rPr>
              <w:t>5,551,753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63,537</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4.54 %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5,035,025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55,971</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4.41 %</w:t>
            </w: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5,876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1,690</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7,566</w:t>
            </w:r>
          </w:p>
        </w:tc>
      </w:tr>
      <w:tr>
        <w:trPr>
          <w:trHeight w:val="136"/>
        </w:trPr>
        <w:tc>
          <w:tcPr>
            <w:tcW w:w="24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interest-earning assets(1), (3)</w:t>
            </w:r>
          </w:p>
        </w:tc>
        <w:tc>
          <w:tcPr>
            <w:tcW w:w="1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7,132,324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73,335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4.08</w:t>
            </w:r>
          </w:p>
        </w:tc>
        <w:tc>
          <w:tcPr>
            <w:tcW w:w="14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6,282,725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63,509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4.01</w:t>
            </w:r>
          </w:p>
        </w:tc>
        <w:tc>
          <w:tcPr>
            <w:tcW w:w="180" w:type="dxa"/>
            <w:vAlign w:val="bottom"/>
            <w:tcBorders>
              <w:top w:val="single" w:sz="8" w:color="CCEEFF"/>
              <w:bottom w:val="single" w:sz="8" w:color="CCEEFF"/>
            </w:tcBorders>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w w:val="74"/>
              </w:rPr>
              <w:t>%</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7,461</w:t>
            </w: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2,365</w:t>
            </w:r>
          </w:p>
        </w:tc>
        <w:tc>
          <w:tcPr>
            <w:tcW w:w="1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9,826</w:t>
            </w:r>
          </w:p>
        </w:tc>
      </w:tr>
      <w:tr>
        <w:trPr>
          <w:trHeight w:val="135"/>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Cash and due from banks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103,798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Premises and equipment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119,773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99,284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Allowance for loan losses</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(54,017)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(51,380)</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40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500,430</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430,744</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r>
      <w:tr>
        <w:trPr>
          <w:trHeight w:val="136"/>
        </w:trPr>
        <w:tc>
          <w:tcPr>
            <w:tcW w:w="240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assets</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7,802,308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6,861,377</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r>
      <w:tr>
        <w:trPr>
          <w:trHeight w:val="135"/>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Interest-bearing transaction deposits</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6"/>
              </w:rPr>
              <w:t>1,294,628</w:t>
            </w:r>
          </w:p>
        </w:tc>
        <w:tc>
          <w:tcPr>
            <w:tcW w:w="8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1,305</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0.40 %</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1,204,141</w:t>
            </w:r>
          </w:p>
        </w:tc>
        <w:tc>
          <w:tcPr>
            <w:tcW w:w="1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703</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0.23 %</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57</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545</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602</w:t>
            </w: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Savings and money market deposits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1,913,838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1,650</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0.34 %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1,867,388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1,093</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0.23 %</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586</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557</w:t>
            </w:r>
          </w:p>
        </w:tc>
      </w:tr>
      <w:tr>
        <w:trPr>
          <w:trHeight w:val="135"/>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Time deposits</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6"/>
              </w:rPr>
              <w:t>1,576,191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5,991</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1.51 %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1,010,224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2,055</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0.81 %</w:t>
            </w: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1,543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2,393</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3,936</w:t>
            </w: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Short-term borrowings: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21"/>
        </w:trPr>
        <w:tc>
          <w:tcPr>
            <w:tcW w:w="2400" w:type="dxa"/>
            <w:vAlign w:val="bottom"/>
            <w:gridSpan w:val="2"/>
          </w:tcPr>
          <w:p>
            <w:pPr>
              <w:ind w:left="320"/>
              <w:spacing w:after="0" w:line="121" w:lineRule="exact"/>
              <w:rPr>
                <w:sz w:val="20"/>
                <w:szCs w:val="20"/>
                <w:color w:val="auto"/>
              </w:rPr>
            </w:pPr>
            <w:r>
              <w:rPr>
                <w:rFonts w:ascii="Arial" w:cs="Arial" w:eastAsia="Arial" w:hAnsi="Arial"/>
                <w:sz w:val="13"/>
                <w:szCs w:val="13"/>
                <w:color w:val="auto"/>
              </w:rPr>
              <w:t>Federal funds purchased and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9"/>
        </w:trPr>
        <w:tc>
          <w:tcPr>
            <w:tcW w:w="2400" w:type="dxa"/>
            <w:vAlign w:val="bottom"/>
            <w:gridSpan w:val="2"/>
          </w:tcPr>
          <w:p>
            <w:pPr>
              <w:ind w:left="400"/>
              <w:spacing w:after="0"/>
              <w:rPr>
                <w:sz w:val="20"/>
                <w:szCs w:val="20"/>
                <w:color w:val="auto"/>
              </w:rPr>
            </w:pPr>
            <w:r>
              <w:rPr>
                <w:rFonts w:ascii="Arial" w:cs="Arial" w:eastAsia="Arial" w:hAnsi="Arial"/>
                <w:sz w:val="13"/>
                <w:szCs w:val="13"/>
                <w:color w:val="auto"/>
              </w:rPr>
              <w:t>repurchase agreements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234,729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426</w:t>
            </w:r>
          </w:p>
        </w:tc>
        <w:tc>
          <w:tcPr>
            <w:tcW w:w="16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0.72 %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215,776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291</w:t>
            </w:r>
          </w:p>
        </w:tc>
        <w:tc>
          <w:tcPr>
            <w:tcW w:w="160" w:type="dxa"/>
            <w:vAlign w:val="bottom"/>
          </w:tcPr>
          <w:p>
            <w:pPr>
              <w:spacing w:after="0"/>
              <w:rPr>
                <w:sz w:val="12"/>
                <w:szCs w:val="12"/>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3"/>
                <w:szCs w:val="13"/>
                <w:color w:val="auto"/>
              </w:rPr>
              <w:t>0.54 %</w:t>
            </w:r>
          </w:p>
        </w:tc>
        <w:tc>
          <w:tcPr>
            <w:tcW w:w="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108</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135</w:t>
            </w:r>
          </w:p>
        </w:tc>
      </w:tr>
      <w:tr>
        <w:trPr>
          <w:trHeight w:val="135"/>
        </w:trPr>
        <w:tc>
          <w:tcPr>
            <w:tcW w:w="240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Other(4)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59,457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324</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2.16 %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139,204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447</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1.27 %</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214</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(123)</w:t>
            </w:r>
          </w:p>
        </w:tc>
      </w:tr>
      <w:tr>
        <w:trPr>
          <w:trHeight w:val="135"/>
        </w:trPr>
        <w:tc>
          <w:tcPr>
            <w:tcW w:w="24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Long-term debt(5)</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153,707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1,437</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3.71 %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158,267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1,340</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3.36 %</w:t>
            </w:r>
          </w:p>
        </w:tc>
        <w:tc>
          <w:tcPr>
            <w:tcW w:w="60" w:type="dxa"/>
            <w:vAlign w:val="bottom"/>
          </w:tcPr>
          <w:p>
            <w:pPr>
              <w:spacing w:after="0"/>
              <w:rPr>
                <w:sz w:val="11"/>
                <w:szCs w:val="11"/>
                <w:color w:val="auto"/>
              </w:rPr>
            </w:pP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(39)</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136</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97</w:t>
            </w:r>
          </w:p>
        </w:tc>
      </w:tr>
      <w:tr>
        <w:trPr>
          <w:trHeight w:val="121"/>
        </w:trPr>
        <w:tc>
          <w:tcPr>
            <w:tcW w:w="2400" w:type="dxa"/>
            <w:vAlign w:val="bottom"/>
            <w:gridSpan w:val="2"/>
            <w:shd w:val="clear" w:color="auto" w:fill="CCEEFF"/>
          </w:tcPr>
          <w:p>
            <w:pPr>
              <w:ind w:left="320"/>
              <w:spacing w:after="0" w:line="121" w:lineRule="exact"/>
              <w:rPr>
                <w:sz w:val="20"/>
                <w:szCs w:val="20"/>
                <w:color w:val="auto"/>
              </w:rPr>
            </w:pPr>
            <w:r>
              <w:rPr>
                <w:rFonts w:ascii="Arial" w:cs="Arial" w:eastAsia="Arial" w:hAnsi="Arial"/>
                <w:sz w:val="13"/>
                <w:szCs w:val="13"/>
                <w:color w:val="auto"/>
              </w:rPr>
              <w:t>Junior subordinated debt issued to</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9"/>
        </w:trPr>
        <w:tc>
          <w:tcPr>
            <w:tcW w:w="24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unconsolidated trusts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4.77 %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70,939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3.63 %</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r>
      <w:tr>
        <w:trPr>
          <w:trHeight w:val="136"/>
        </w:trPr>
        <w:tc>
          <w:tcPr>
            <w:tcW w:w="240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Total interest-bearing liabilities</w:t>
            </w:r>
          </w:p>
        </w:tc>
        <w:tc>
          <w:tcPr>
            <w:tcW w:w="10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w w:val="86"/>
              </w:rPr>
              <w:t>5,303,632</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11,987</w:t>
            </w:r>
          </w:p>
        </w:tc>
        <w:tc>
          <w:tcPr>
            <w:tcW w:w="1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0.90</w:t>
            </w:r>
          </w:p>
        </w:tc>
        <w:tc>
          <w:tcPr>
            <w:tcW w:w="1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color w:val="auto"/>
                <w:w w:val="86"/>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w w:val="89"/>
              </w:rPr>
              <w:t>4,665,939</w:t>
            </w:r>
          </w:p>
        </w:tc>
        <w:tc>
          <w:tcPr>
            <w:tcW w:w="1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6,578</w:t>
            </w:r>
          </w:p>
        </w:tc>
        <w:tc>
          <w:tcPr>
            <w:tcW w:w="1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0.56</w:t>
            </w:r>
          </w:p>
        </w:tc>
        <w:tc>
          <w:tcPr>
            <w:tcW w:w="180" w:type="dxa"/>
            <w:vAlign w:val="bottom"/>
            <w:tcBorders>
              <w:bottom w:val="single" w:sz="8" w:color="CCEEFF"/>
            </w:tcBorders>
          </w:tcPr>
          <w:p>
            <w:pPr>
              <w:jc w:val="right"/>
              <w:ind w:right="22"/>
              <w:spacing w:after="0" w:line="129" w:lineRule="exact"/>
              <w:rPr>
                <w:sz w:val="20"/>
                <w:szCs w:val="20"/>
                <w:color w:val="auto"/>
              </w:rPr>
            </w:pPr>
            <w:r>
              <w:rPr>
                <w:rFonts w:ascii="Arial" w:cs="Arial" w:eastAsia="Arial" w:hAnsi="Arial"/>
                <w:sz w:val="12"/>
                <w:szCs w:val="12"/>
                <w:color w:val="auto"/>
                <w:w w:val="74"/>
              </w:rPr>
              <w:t>%</w:t>
            </w:r>
          </w:p>
        </w:tc>
        <w:tc>
          <w:tcPr>
            <w:tcW w:w="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CCEEFF"/>
            </w:tcBorders>
            <w:gridSpan w:val="2"/>
          </w:tcPr>
          <w:p>
            <w:pPr>
              <w:jc w:val="right"/>
              <w:spacing w:after="0" w:line="129" w:lineRule="exact"/>
              <w:rPr>
                <w:sz w:val="20"/>
                <w:szCs w:val="20"/>
                <w:color w:val="auto"/>
              </w:rPr>
            </w:pPr>
            <w:r>
              <w:rPr>
                <w:rFonts w:ascii="Arial" w:cs="Arial" w:eastAsia="Arial" w:hAnsi="Arial"/>
                <w:sz w:val="13"/>
                <w:szCs w:val="13"/>
                <w:color w:val="auto"/>
              </w:rPr>
              <w:t>1,223</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4,186</w:t>
            </w:r>
          </w:p>
        </w:tc>
        <w:tc>
          <w:tcPr>
            <w:tcW w:w="160" w:type="dxa"/>
            <w:vAlign w:val="bottom"/>
            <w:tcBorders>
              <w:top w:val="single" w:sz="8" w:color="auto"/>
              <w:bottom w:val="single" w:sz="8" w:color="CCEEFF"/>
            </w:tcBorders>
          </w:tcPr>
          <w:p>
            <w:pPr>
              <w:jc w:val="right"/>
              <w:ind w:right="5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5,409</w:t>
            </w:r>
          </w:p>
        </w:tc>
      </w:tr>
      <w:tr>
        <w:trPr>
          <w:trHeight w:val="135"/>
        </w:trPr>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42"/>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Net interest spread(1)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3.18 %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3.45 %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r>
      <w:tr>
        <w:trPr>
          <w:trHeight w:val="135"/>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Noninterest-bearing deposits</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6"/>
              </w:rPr>
              <w:t>1,492,709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1,328,770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44,143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44,453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40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Stockholders’ equity</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961,824</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822,215</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r>
      <w:tr>
        <w:trPr>
          <w:trHeight w:val="136"/>
        </w:trPr>
        <w:tc>
          <w:tcPr>
            <w:tcW w:w="240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liabilities and stockholders’ equity</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7,802,308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6,861,377</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r>
      <w:tr>
        <w:trPr>
          <w:trHeight w:val="135"/>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Interest income / earning assets(1), (3)</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6"/>
              </w:rPr>
              <w:t>7,132,324</w:t>
            </w:r>
          </w:p>
        </w:tc>
        <w:tc>
          <w:tcPr>
            <w:tcW w:w="8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73,335</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4.08 %</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6,282,725</w:t>
            </w:r>
          </w:p>
        </w:tc>
        <w:tc>
          <w:tcPr>
            <w:tcW w:w="1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63,509</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4.01 %</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Interest expense / earning assets</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7,132,324</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11,987</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0.67 %</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6,282,725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6,578</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0.41 %</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6"/>
        </w:trPr>
        <w:tc>
          <w:tcPr>
            <w:tcW w:w="2400" w:type="dxa"/>
            <w:vAlign w:val="bottom"/>
            <w:gridSpan w:val="2"/>
          </w:tcPr>
          <w:p>
            <w:pPr>
              <w:spacing w:after="0" w:line="129" w:lineRule="exact"/>
              <w:rPr>
                <w:sz w:val="20"/>
                <w:szCs w:val="20"/>
                <w:color w:val="auto"/>
              </w:rPr>
            </w:pPr>
            <w:r>
              <w:rPr>
                <w:rFonts w:ascii="Arial" w:cs="Arial" w:eastAsia="Arial" w:hAnsi="Arial"/>
                <w:sz w:val="13"/>
                <w:szCs w:val="13"/>
                <w:color w:val="auto"/>
              </w:rPr>
              <w:t>Net interest margin(1)</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61,348</w:t>
            </w:r>
          </w:p>
        </w:tc>
        <w:tc>
          <w:tcPr>
            <w:tcW w:w="1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3.41</w:t>
            </w: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w w:val="86"/>
              </w:rPr>
              <w:t>%</w:t>
            </w: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56,931</w:t>
            </w:r>
          </w:p>
        </w:tc>
        <w:tc>
          <w:tcPr>
            <w:tcW w:w="1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3.60</w:t>
            </w:r>
          </w:p>
        </w:tc>
        <w:tc>
          <w:tcPr>
            <w:tcW w:w="180" w:type="dxa"/>
            <w:vAlign w:val="bottom"/>
          </w:tcPr>
          <w:p>
            <w:pPr>
              <w:jc w:val="right"/>
              <w:ind w:right="22"/>
              <w:spacing w:after="0" w:line="129" w:lineRule="exact"/>
              <w:rPr>
                <w:sz w:val="20"/>
                <w:szCs w:val="20"/>
                <w:color w:val="auto"/>
              </w:rPr>
            </w:pPr>
            <w:r>
              <w:rPr>
                <w:rFonts w:ascii="Arial" w:cs="Arial" w:eastAsia="Arial" w:hAnsi="Arial"/>
                <w:sz w:val="12"/>
                <w:szCs w:val="12"/>
                <w:color w:val="auto"/>
                <w:w w:val="74"/>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6,238</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gridSpan w:val="2"/>
          </w:tcPr>
          <w:p>
            <w:pPr>
              <w:jc w:val="right"/>
              <w:ind w:right="53"/>
              <w:spacing w:after="0" w:line="129" w:lineRule="exact"/>
              <w:rPr>
                <w:sz w:val="20"/>
                <w:szCs w:val="20"/>
                <w:color w:val="auto"/>
              </w:rPr>
            </w:pPr>
            <w:r>
              <w:rPr>
                <w:rFonts w:ascii="Arial" w:cs="Arial" w:eastAsia="Arial" w:hAnsi="Arial"/>
                <w:sz w:val="13"/>
                <w:szCs w:val="13"/>
                <w:color w:val="auto"/>
              </w:rPr>
              <w:t>(1,821)$</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4,417</w:t>
            </w:r>
          </w:p>
        </w:tc>
      </w:tr>
      <w:tr>
        <w:trPr>
          <w:trHeight w:val="108"/>
        </w:trPr>
        <w:tc>
          <w:tcPr>
            <w:tcW w:w="2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r>
    </w:tbl>
    <w:p>
      <w:pPr>
        <w:spacing w:after="0" w:line="65" w:lineRule="exact"/>
        <w:rPr>
          <w:sz w:val="20"/>
          <w:szCs w:val="20"/>
          <w:color w:val="auto"/>
        </w:rPr>
      </w:pPr>
    </w:p>
    <w:p>
      <w:pPr>
        <w:ind w:left="320" w:hanging="317"/>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 tax-equivalent basis assuming an income tax rate of 21% in 2018 and 35% in 2017.</w:t>
      </w:r>
    </w:p>
    <w:p>
      <w:pPr>
        <w:ind w:left="320" w:hanging="317"/>
        <w:spacing w:after="0" w:line="203"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Non-accrual loans have been included in average portfolio loans.</w:t>
      </w:r>
    </w:p>
    <w:p>
      <w:pPr>
        <w:ind w:left="320" w:right="620" w:hanging="317"/>
        <w:spacing w:after="0" w:line="203"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income includes a tax-equivalent adjustment of $0.6 million and $1.0 million for the three months ended September 30, 2018 and 2017, respectively.</w:t>
      </w:r>
    </w:p>
    <w:p>
      <w:pPr>
        <w:ind w:left="320" w:right="200" w:hanging="317"/>
        <w:spacing w:after="0" w:line="203"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federal funds purchased, FHLB advances and a revolving loan. Interest expense includes a non-usage fee on the revolving loan.</w:t>
      </w:r>
    </w:p>
    <w:p>
      <w:pPr>
        <w:ind w:left="320" w:hanging="317"/>
        <w:spacing w:after="0" w:line="203"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FHLB long-term debt, senior notes and subordinated notes.</w:t>
      </w:r>
    </w:p>
    <w:p>
      <w:pPr>
        <w:ind w:left="320" w:hanging="317"/>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line="219" w:lineRule="auto"/>
        <w:rPr>
          <w:sz w:val="20"/>
          <w:szCs w:val="20"/>
          <w:color w:val="auto"/>
        </w:rPr>
      </w:pPr>
      <w:r>
        <w:rPr>
          <w:rFonts w:ascii="Arial" w:cs="Arial" w:eastAsia="Arial" w:hAnsi="Arial"/>
          <w:sz w:val="18"/>
          <w:szCs w:val="18"/>
          <w:b w:val="1"/>
          <w:bCs w:val="1"/>
          <w:color w:val="auto"/>
        </w:rPr>
        <w:t>CONSOLIDATED AVERAGE BALANCE SHEETS AND INTEREST RATES NINE MONTHS ENDED SEPTEMBER 30, 2018 AND 2017 (UNAUDITED)</w:t>
      </w:r>
    </w:p>
    <w:tbl>
      <w:tblPr>
        <w:tblLayout w:type="fixed"/>
        <w:tblInd w:w="0" w:type="dxa"/>
        <w:tblCellMar>
          <w:top w:w="0" w:type="dxa"/>
          <w:left w:w="0" w:type="dxa"/>
          <w:bottom w:w="0" w:type="dxa"/>
          <w:right w:w="0" w:type="dxa"/>
        </w:tblCellMar>
      </w:tblPr>
      <w:tr>
        <w:trPr>
          <w:trHeight w:val="122"/>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5"/>
          </w:tcPr>
          <w:p>
            <w:pPr>
              <w:jc w:val="right"/>
              <w:spacing w:after="0" w:line="123" w:lineRule="exact"/>
              <w:rPr>
                <w:sz w:val="20"/>
                <w:szCs w:val="20"/>
                <w:color w:val="auto"/>
              </w:rPr>
            </w:pPr>
            <w:r>
              <w:rPr>
                <w:rFonts w:ascii="Arial" w:cs="Arial" w:eastAsia="Arial" w:hAnsi="Arial"/>
                <w:sz w:val="13"/>
                <w:szCs w:val="13"/>
                <w:b w:val="1"/>
                <w:bCs w:val="1"/>
                <w:color w:val="auto"/>
              </w:rPr>
              <w:t>Change in income/</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expense due to(1)</w:t>
            </w:r>
          </w:p>
        </w:tc>
        <w:tc>
          <w:tcPr>
            <w:tcW w:w="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Total</w:t>
            </w:r>
          </w:p>
        </w:tc>
        <w:tc>
          <w:tcPr>
            <w:tcW w:w="20" w:type="dxa"/>
            <w:vAlign w:val="bottom"/>
          </w:tcPr>
          <w:p>
            <w:pPr>
              <w:spacing w:after="0"/>
              <w:rPr>
                <w:sz w:val="9"/>
                <w:szCs w:val="9"/>
                <w:color w:val="auto"/>
              </w:rPr>
            </w:pPr>
          </w:p>
        </w:tc>
      </w:tr>
      <w:tr>
        <w:trPr>
          <w:trHeight w:val="135"/>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Income/</w:t>
            </w:r>
          </w:p>
        </w:tc>
        <w:tc>
          <w:tcPr>
            <w:tcW w:w="66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Yield/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Income/</w:t>
            </w:r>
          </w:p>
        </w:tc>
        <w:tc>
          <w:tcPr>
            <w:tcW w:w="700" w:type="dxa"/>
            <w:vAlign w:val="bottom"/>
            <w:gridSpan w:val="2"/>
          </w:tcPr>
          <w:p>
            <w:pPr>
              <w:jc w:val="right"/>
              <w:ind w:right="222"/>
              <w:spacing w:after="0" w:line="135" w:lineRule="exact"/>
              <w:rPr>
                <w:sz w:val="20"/>
                <w:szCs w:val="20"/>
                <w:color w:val="auto"/>
              </w:rPr>
            </w:pPr>
            <w:r>
              <w:rPr>
                <w:rFonts w:ascii="Arial" w:cs="Arial" w:eastAsia="Arial" w:hAnsi="Arial"/>
                <w:sz w:val="13"/>
                <w:szCs w:val="13"/>
                <w:b w:val="1"/>
                <w:bCs w:val="1"/>
                <w:color w:val="auto"/>
              </w:rPr>
              <w:t>Yield/</w:t>
            </w:r>
          </w:p>
        </w:tc>
        <w:tc>
          <w:tcPr>
            <w:tcW w:w="60" w:type="dxa"/>
            <w:vAlign w:val="bottom"/>
          </w:tcPr>
          <w:p>
            <w:pPr>
              <w:spacing w:after="0"/>
              <w:rPr>
                <w:sz w:val="11"/>
                <w:szCs w:val="11"/>
                <w:color w:val="auto"/>
              </w:rPr>
            </w:pPr>
          </w:p>
        </w:tc>
        <w:tc>
          <w:tcPr>
            <w:tcW w:w="70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80" w:type="dxa"/>
            <w:vAlign w:val="bottom"/>
          </w:tcPr>
          <w:p>
            <w:pPr>
              <w:spacing w:after="0"/>
              <w:rPr>
                <w:sz w:val="11"/>
                <w:szCs w:val="11"/>
                <w:color w:val="auto"/>
              </w:rPr>
            </w:pPr>
          </w:p>
        </w:tc>
        <w:tc>
          <w:tcPr>
            <w:tcW w:w="5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81"/>
              </w:rPr>
              <w:t>Average</w:t>
            </w:r>
          </w:p>
        </w:tc>
        <w:tc>
          <w:tcPr>
            <w:tcW w:w="160" w:type="dxa"/>
            <w:vAlign w:val="bottom"/>
          </w:tcPr>
          <w:p>
            <w:pPr>
              <w:spacing w:after="0"/>
              <w:rPr>
                <w:sz w:val="11"/>
                <w:szCs w:val="11"/>
                <w:color w:val="auto"/>
              </w:rPr>
            </w:pPr>
          </w:p>
        </w:tc>
        <w:tc>
          <w:tcPr>
            <w:tcW w:w="54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3"/>
              </w:rPr>
              <w:t>Change</w:t>
            </w:r>
          </w:p>
        </w:tc>
      </w:tr>
      <w:tr>
        <w:trPr>
          <w:trHeight w:val="153"/>
        </w:trPr>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Expense</w:t>
            </w:r>
          </w:p>
        </w:tc>
        <w:tc>
          <w:tcPr>
            <w:tcW w:w="66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w w:val="99"/>
              </w:rPr>
              <w:t>Rate(6)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Balance</w:t>
            </w:r>
          </w:p>
        </w:tc>
        <w:tc>
          <w:tcPr>
            <w:tcW w:w="6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Expense</w:t>
            </w:r>
          </w:p>
        </w:tc>
        <w:tc>
          <w:tcPr>
            <w:tcW w:w="700" w:type="dxa"/>
            <w:vAlign w:val="bottom"/>
            <w:gridSpan w:val="2"/>
          </w:tcPr>
          <w:p>
            <w:pPr>
              <w:jc w:val="right"/>
              <w:ind w:right="182"/>
              <w:spacing w:after="0"/>
              <w:rPr>
                <w:sz w:val="20"/>
                <w:szCs w:val="20"/>
                <w:color w:val="auto"/>
              </w:rPr>
            </w:pPr>
            <w:r>
              <w:rPr>
                <w:rFonts w:ascii="Arial" w:cs="Arial" w:eastAsia="Arial" w:hAnsi="Arial"/>
                <w:sz w:val="13"/>
                <w:szCs w:val="13"/>
                <w:b w:val="1"/>
                <w:bCs w:val="1"/>
                <w:color w:val="auto"/>
                <w:w w:val="99"/>
              </w:rPr>
              <w:t>Rate(6)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5"/>
              </w:rPr>
              <w:t>Volume</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Yield/Rate</w:t>
            </w:r>
          </w:p>
        </w:tc>
        <w:tc>
          <w:tcPr>
            <w:tcW w:w="160" w:type="dxa"/>
            <w:vAlign w:val="bottom"/>
          </w:tcPr>
          <w:p>
            <w:pPr>
              <w:spacing w:after="0"/>
              <w:rPr>
                <w:sz w:val="13"/>
                <w:szCs w:val="13"/>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3"/>
              </w:rPr>
              <w:t>Change</w:t>
            </w:r>
          </w:p>
        </w:tc>
      </w:tr>
      <w:tr>
        <w:trPr>
          <w:trHeight w:val="129"/>
        </w:trPr>
        <w:tc>
          <w:tcPr>
            <w:tcW w:w="24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21"/>
        </w:trPr>
        <w:tc>
          <w:tcPr>
            <w:tcW w:w="2400" w:type="dxa"/>
            <w:vAlign w:val="bottom"/>
            <w:gridSpan w:val="2"/>
          </w:tcPr>
          <w:p>
            <w:pPr>
              <w:spacing w:after="0" w:line="121" w:lineRule="exact"/>
              <w:rPr>
                <w:sz w:val="20"/>
                <w:szCs w:val="20"/>
                <w:color w:val="auto"/>
              </w:rPr>
            </w:pPr>
            <w:r>
              <w:rPr>
                <w:rFonts w:ascii="Arial" w:cs="Arial" w:eastAsia="Arial" w:hAnsi="Arial"/>
                <w:sz w:val="13"/>
                <w:szCs w:val="13"/>
                <w:color w:val="auto"/>
                <w:w w:val="97"/>
              </w:rPr>
              <w:t>Interest-bearing bank deposits and federal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400" w:type="dxa"/>
            <w:vAlign w:val="bottom"/>
            <w:gridSpan w:val="2"/>
          </w:tcPr>
          <w:p>
            <w:pPr>
              <w:ind w:left="60"/>
              <w:spacing w:after="0"/>
              <w:rPr>
                <w:sz w:val="20"/>
                <w:szCs w:val="20"/>
                <w:color w:val="auto"/>
              </w:rPr>
            </w:pPr>
            <w:r>
              <w:rPr>
                <w:rFonts w:ascii="Arial" w:cs="Arial" w:eastAsia="Arial" w:hAnsi="Arial"/>
                <w:sz w:val="13"/>
                <w:szCs w:val="13"/>
                <w:color w:val="auto"/>
              </w:rPr>
              <w:t>funds sold</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122,768</w:t>
            </w:r>
          </w:p>
        </w:tc>
        <w:tc>
          <w:tcPr>
            <w:tcW w:w="8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1,580</w:t>
            </w:r>
          </w:p>
        </w:tc>
        <w:tc>
          <w:tcPr>
            <w:tcW w:w="16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1.72 %</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128,835</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980</w:t>
            </w:r>
          </w:p>
        </w:tc>
        <w:tc>
          <w:tcPr>
            <w:tcW w:w="160" w:type="dxa"/>
            <w:vAlign w:val="bottom"/>
          </w:tcPr>
          <w:p>
            <w:pPr>
              <w:spacing w:after="0"/>
              <w:rPr>
                <w:sz w:val="12"/>
                <w:szCs w:val="12"/>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3"/>
                <w:szCs w:val="13"/>
                <w:color w:val="auto"/>
              </w:rPr>
              <w:t>1.02 %</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3"/>
          </w:tcPr>
          <w:p>
            <w:pPr>
              <w:jc w:val="right"/>
              <w:ind w:right="140"/>
              <w:spacing w:after="0"/>
              <w:rPr>
                <w:sz w:val="20"/>
                <w:szCs w:val="20"/>
                <w:color w:val="auto"/>
              </w:rPr>
            </w:pPr>
            <w:r>
              <w:rPr>
                <w:rFonts w:ascii="Arial" w:cs="Arial" w:eastAsia="Arial" w:hAnsi="Arial"/>
                <w:sz w:val="13"/>
                <w:szCs w:val="13"/>
                <w:color w:val="auto"/>
              </w:rPr>
              <w:t>(62)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662</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600</w:t>
            </w:r>
          </w:p>
        </w:tc>
        <w:tc>
          <w:tcPr>
            <w:tcW w:w="20" w:type="dxa"/>
            <w:vAlign w:val="bottom"/>
          </w:tcPr>
          <w:p>
            <w:pPr>
              <w:spacing w:after="0"/>
              <w:rPr>
                <w:sz w:val="12"/>
                <w:szCs w:val="12"/>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Investment securities: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4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U.S. Government obligations</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156,450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1,917</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1.64 %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142,377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1,504</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1.41 %</w:t>
            </w: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255</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413</w:t>
            </w:r>
          </w:p>
        </w:tc>
        <w:tc>
          <w:tcPr>
            <w:tcW w:w="20" w:type="dxa"/>
            <w:vAlign w:val="bottom"/>
          </w:tcPr>
          <w:p>
            <w:pPr>
              <w:spacing w:after="0"/>
              <w:rPr>
                <w:sz w:val="11"/>
                <w:szCs w:val="11"/>
                <w:color w:val="auto"/>
              </w:rPr>
            </w:pPr>
          </w:p>
        </w:tc>
      </w:tr>
      <w:tr>
        <w:trPr>
          <w:trHeight w:val="121"/>
        </w:trPr>
        <w:tc>
          <w:tcPr>
            <w:tcW w:w="2400" w:type="dxa"/>
            <w:vAlign w:val="bottom"/>
            <w:gridSpan w:val="2"/>
            <w:shd w:val="clear" w:color="auto" w:fill="CCEEFF"/>
          </w:tcPr>
          <w:p>
            <w:pPr>
              <w:ind w:left="320"/>
              <w:spacing w:after="0" w:line="121" w:lineRule="exact"/>
              <w:rPr>
                <w:sz w:val="20"/>
                <w:szCs w:val="20"/>
                <w:color w:val="auto"/>
              </w:rPr>
            </w:pPr>
            <w:r>
              <w:rPr>
                <w:rFonts w:ascii="Arial" w:cs="Arial" w:eastAsia="Arial" w:hAnsi="Arial"/>
                <w:sz w:val="13"/>
                <w:szCs w:val="13"/>
                <w:color w:val="auto"/>
              </w:rPr>
              <w:t>Obligations of states and political</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4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subdivisions(1)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293,258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5,677</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2.59 %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214,264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4,762</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2.97 %</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20" w:type="dxa"/>
            <w:vAlign w:val="bottom"/>
          </w:tcPr>
          <w:p>
            <w:pPr>
              <w:spacing w:after="0"/>
              <w:rPr>
                <w:sz w:val="12"/>
                <w:szCs w:val="12"/>
                <w:color w:val="auto"/>
              </w:rPr>
            </w:pPr>
          </w:p>
        </w:tc>
      </w:tr>
      <w:tr>
        <w:trPr>
          <w:trHeight w:val="135"/>
        </w:trPr>
        <w:tc>
          <w:tcPr>
            <w:tcW w:w="24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Other securities</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896,288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16,670</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2.49 %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521,044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8,971</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2.30 %</w:t>
            </w: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6,927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772</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7,699</w:t>
            </w:r>
          </w:p>
        </w:tc>
        <w:tc>
          <w:tcPr>
            <w:tcW w:w="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Loans held for sale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31,785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966</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4.06 %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123,508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3,443</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3.73 %</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(2,763)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286</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(2,477)</w:t>
            </w:r>
          </w:p>
        </w:tc>
        <w:tc>
          <w:tcPr>
            <w:tcW w:w="20" w:type="dxa"/>
            <w:vAlign w:val="bottom"/>
          </w:tcPr>
          <w:p>
            <w:pPr>
              <w:spacing w:after="0"/>
              <w:rPr>
                <w:sz w:val="11"/>
                <w:szCs w:val="11"/>
                <w:color w:val="auto"/>
              </w:rPr>
            </w:pPr>
          </w:p>
        </w:tc>
      </w:tr>
      <w:tr>
        <w:trPr>
          <w:trHeight w:val="135"/>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Portfolio loans(1), (2)</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6"/>
              </w:rPr>
              <w:t>5,531,087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186,622</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4.51 %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4,267,393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136,260</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4.27 %</w:t>
            </w: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42,270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8,092</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50,362</w:t>
            </w:r>
          </w:p>
        </w:tc>
        <w:tc>
          <w:tcPr>
            <w:tcW w:w="20" w:type="dxa"/>
            <w:vAlign w:val="bottom"/>
          </w:tcPr>
          <w:p>
            <w:pPr>
              <w:spacing w:after="0"/>
              <w:rPr>
                <w:sz w:val="11"/>
                <w:szCs w:val="11"/>
                <w:color w:val="auto"/>
              </w:rPr>
            </w:pPr>
          </w:p>
        </w:tc>
      </w:tr>
      <w:tr>
        <w:trPr>
          <w:trHeight w:val="136"/>
        </w:trPr>
        <w:tc>
          <w:tcPr>
            <w:tcW w:w="24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interest-earning assets(1), (3)</w:t>
            </w:r>
          </w:p>
        </w:tc>
        <w:tc>
          <w:tcPr>
            <w:tcW w:w="1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7,031,636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213,432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4.06</w:t>
            </w:r>
          </w:p>
        </w:tc>
        <w:tc>
          <w:tcPr>
            <w:tcW w:w="14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5,397,421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155,920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3.86</w:t>
            </w:r>
          </w:p>
        </w:tc>
        <w:tc>
          <w:tcPr>
            <w:tcW w:w="180" w:type="dxa"/>
            <w:vAlign w:val="bottom"/>
            <w:tcBorders>
              <w:top w:val="single" w:sz="8" w:color="CCEEFF"/>
              <w:bottom w:val="single" w:sz="8" w:color="CCEEFF"/>
            </w:tcBorders>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w w:val="74"/>
              </w:rPr>
              <w:t>%</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48,118</w:t>
            </w: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9,394</w:t>
            </w:r>
          </w:p>
        </w:tc>
        <w:tc>
          <w:tcPr>
            <w:tcW w:w="1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57,512</w:t>
            </w:r>
          </w:p>
        </w:tc>
        <w:tc>
          <w:tcPr>
            <w:tcW w:w="20" w:type="dxa"/>
            <w:vAlign w:val="bottom"/>
          </w:tcPr>
          <w:p>
            <w:pPr>
              <w:spacing w:after="0"/>
              <w:rPr>
                <w:sz w:val="11"/>
                <w:szCs w:val="11"/>
                <w:color w:val="auto"/>
              </w:rPr>
            </w:pPr>
          </w:p>
        </w:tc>
      </w:tr>
      <w:tr>
        <w:trPr>
          <w:trHeight w:val="135"/>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Cash and due from banks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105,038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85,037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Premises and equipment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119,580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85,507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Allowance for loan losses</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(54,056)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(49,793)</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40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504,892</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325,061</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240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assets</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7,707,090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5,843,233</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Interest-bearing transaction deposits</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6"/>
              </w:rPr>
              <w:t>1,224,545</w:t>
            </w:r>
          </w:p>
        </w:tc>
        <w:tc>
          <w:tcPr>
            <w:tcW w:w="8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2,758</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0.30 %</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1,081,515</w:t>
            </w:r>
          </w:p>
        </w:tc>
        <w:tc>
          <w:tcPr>
            <w:tcW w:w="1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1,316</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0.16 %</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194</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1,248</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1,442</w:t>
            </w:r>
          </w:p>
        </w:tc>
        <w:tc>
          <w:tcPr>
            <w:tcW w:w="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Savings and money market deposits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1,981,281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4,811</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0.32 %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1,606,943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2,349</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0.20 %</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1,982</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2,462</w:t>
            </w:r>
          </w:p>
        </w:tc>
        <w:tc>
          <w:tcPr>
            <w:tcW w:w="20" w:type="dxa"/>
            <w:vAlign w:val="bottom"/>
          </w:tcPr>
          <w:p>
            <w:pPr>
              <w:spacing w:after="0"/>
              <w:rPr>
                <w:sz w:val="11"/>
                <w:szCs w:val="11"/>
                <w:color w:val="auto"/>
              </w:rPr>
            </w:pPr>
          </w:p>
        </w:tc>
      </w:tr>
      <w:tr>
        <w:trPr>
          <w:trHeight w:val="135"/>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Time deposits</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6"/>
              </w:rPr>
              <w:t>1,452,477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14,268</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1.31 %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844,874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4,393</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0.70 %</w:t>
            </w: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4,415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5,460</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9,875</w:t>
            </w:r>
          </w:p>
        </w:tc>
        <w:tc>
          <w:tcPr>
            <w:tcW w:w="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Short-term borrowings: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21"/>
        </w:trPr>
        <w:tc>
          <w:tcPr>
            <w:tcW w:w="2400" w:type="dxa"/>
            <w:vAlign w:val="bottom"/>
            <w:gridSpan w:val="2"/>
          </w:tcPr>
          <w:p>
            <w:pPr>
              <w:ind w:left="320"/>
              <w:spacing w:after="0" w:line="121" w:lineRule="exact"/>
              <w:rPr>
                <w:sz w:val="20"/>
                <w:szCs w:val="20"/>
                <w:color w:val="auto"/>
              </w:rPr>
            </w:pPr>
            <w:r>
              <w:rPr>
                <w:rFonts w:ascii="Arial" w:cs="Arial" w:eastAsia="Arial" w:hAnsi="Arial"/>
                <w:sz w:val="13"/>
                <w:szCs w:val="13"/>
                <w:color w:val="auto"/>
              </w:rPr>
              <w:t>Federal funds purchased and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400" w:type="dxa"/>
            <w:vAlign w:val="bottom"/>
            <w:gridSpan w:val="2"/>
          </w:tcPr>
          <w:p>
            <w:pPr>
              <w:ind w:left="400"/>
              <w:spacing w:after="0"/>
              <w:rPr>
                <w:sz w:val="20"/>
                <w:szCs w:val="20"/>
                <w:color w:val="auto"/>
              </w:rPr>
            </w:pPr>
            <w:r>
              <w:rPr>
                <w:rFonts w:ascii="Arial" w:cs="Arial" w:eastAsia="Arial" w:hAnsi="Arial"/>
                <w:sz w:val="13"/>
                <w:szCs w:val="13"/>
                <w:color w:val="auto"/>
              </w:rPr>
              <w:t>repurchase agreements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242,733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1,139</w:t>
            </w:r>
          </w:p>
        </w:tc>
        <w:tc>
          <w:tcPr>
            <w:tcW w:w="16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0.63 %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186,282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618</w:t>
            </w:r>
          </w:p>
        </w:tc>
        <w:tc>
          <w:tcPr>
            <w:tcW w:w="160" w:type="dxa"/>
            <w:vAlign w:val="bottom"/>
          </w:tcPr>
          <w:p>
            <w:pPr>
              <w:spacing w:after="0"/>
              <w:rPr>
                <w:sz w:val="12"/>
                <w:szCs w:val="12"/>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3"/>
                <w:szCs w:val="13"/>
                <w:color w:val="auto"/>
              </w:rPr>
              <w:t>0.44 %</w:t>
            </w:r>
          </w:p>
        </w:tc>
        <w:tc>
          <w:tcPr>
            <w:tcW w:w="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303</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521</w:t>
            </w:r>
          </w:p>
        </w:tc>
        <w:tc>
          <w:tcPr>
            <w:tcW w:w="20" w:type="dxa"/>
            <w:vAlign w:val="bottom"/>
          </w:tcPr>
          <w:p>
            <w:pPr>
              <w:spacing w:after="0"/>
              <w:rPr>
                <w:sz w:val="12"/>
                <w:szCs w:val="12"/>
                <w:color w:val="auto"/>
              </w:rPr>
            </w:pPr>
          </w:p>
        </w:tc>
      </w:tr>
      <w:tr>
        <w:trPr>
          <w:trHeight w:val="135"/>
        </w:trPr>
        <w:tc>
          <w:tcPr>
            <w:tcW w:w="240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Other(4)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93,022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1,257</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1.81 %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54,329</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521</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1.28 %</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269</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736</w:t>
            </w:r>
          </w:p>
        </w:tc>
        <w:tc>
          <w:tcPr>
            <w:tcW w:w="20" w:type="dxa"/>
            <w:vAlign w:val="bottom"/>
          </w:tcPr>
          <w:p>
            <w:pPr>
              <w:spacing w:after="0"/>
              <w:rPr>
                <w:sz w:val="11"/>
                <w:szCs w:val="11"/>
                <w:color w:val="auto"/>
              </w:rPr>
            </w:pPr>
          </w:p>
        </w:tc>
      </w:tr>
      <w:tr>
        <w:trPr>
          <w:trHeight w:val="135"/>
        </w:trPr>
        <w:tc>
          <w:tcPr>
            <w:tcW w:w="24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Long-term debt(5)</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153,982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4,200</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3.65 %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119,756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2,081</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2.32 %</w:t>
            </w:r>
          </w:p>
        </w:tc>
        <w:tc>
          <w:tcPr>
            <w:tcW w:w="6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1,411</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2,119</w:t>
            </w:r>
          </w:p>
        </w:tc>
        <w:tc>
          <w:tcPr>
            <w:tcW w:w="20" w:type="dxa"/>
            <w:vAlign w:val="bottom"/>
          </w:tcPr>
          <w:p>
            <w:pPr>
              <w:spacing w:after="0"/>
              <w:rPr>
                <w:sz w:val="11"/>
                <w:szCs w:val="11"/>
                <w:color w:val="auto"/>
              </w:rPr>
            </w:pPr>
          </w:p>
        </w:tc>
      </w:tr>
      <w:tr>
        <w:trPr>
          <w:trHeight w:val="121"/>
        </w:trPr>
        <w:tc>
          <w:tcPr>
            <w:tcW w:w="2400" w:type="dxa"/>
            <w:vAlign w:val="bottom"/>
            <w:gridSpan w:val="2"/>
            <w:shd w:val="clear" w:color="auto" w:fill="CCEEFF"/>
          </w:tcPr>
          <w:p>
            <w:pPr>
              <w:ind w:left="320"/>
              <w:spacing w:after="0" w:line="121" w:lineRule="exact"/>
              <w:rPr>
                <w:sz w:val="20"/>
                <w:szCs w:val="20"/>
                <w:color w:val="auto"/>
              </w:rPr>
            </w:pPr>
            <w:r>
              <w:rPr>
                <w:rFonts w:ascii="Arial" w:cs="Arial" w:eastAsia="Arial" w:hAnsi="Arial"/>
                <w:sz w:val="13"/>
                <w:szCs w:val="13"/>
                <w:color w:val="auto"/>
              </w:rPr>
              <w:t>Junior subordinated debt issued to</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4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unconsolidated trusts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2,383</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4.48 %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70,904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1,857</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3.50 %</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20" w:type="dxa"/>
            <w:vAlign w:val="bottom"/>
          </w:tcPr>
          <w:p>
            <w:pPr>
              <w:spacing w:after="0"/>
              <w:rPr>
                <w:sz w:val="12"/>
                <w:szCs w:val="12"/>
                <w:color w:val="auto"/>
              </w:rPr>
            </w:pPr>
          </w:p>
        </w:tc>
      </w:tr>
      <w:tr>
        <w:trPr>
          <w:trHeight w:val="136"/>
        </w:trPr>
        <w:tc>
          <w:tcPr>
            <w:tcW w:w="240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Total interest-bearing liabilities</w:t>
            </w:r>
          </w:p>
        </w:tc>
        <w:tc>
          <w:tcPr>
            <w:tcW w:w="10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w w:val="86"/>
              </w:rPr>
              <w:t>5,219,086</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30,816</w:t>
            </w:r>
          </w:p>
        </w:tc>
        <w:tc>
          <w:tcPr>
            <w:tcW w:w="1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0.79</w:t>
            </w:r>
          </w:p>
        </w:tc>
        <w:tc>
          <w:tcPr>
            <w:tcW w:w="1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color w:val="auto"/>
                <w:w w:val="86"/>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w w:val="89"/>
              </w:rPr>
              <w:t>3,964,603</w:t>
            </w:r>
          </w:p>
        </w:tc>
        <w:tc>
          <w:tcPr>
            <w:tcW w:w="1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13,135</w:t>
            </w:r>
          </w:p>
        </w:tc>
        <w:tc>
          <w:tcPr>
            <w:tcW w:w="1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0.44</w:t>
            </w:r>
          </w:p>
        </w:tc>
        <w:tc>
          <w:tcPr>
            <w:tcW w:w="180" w:type="dxa"/>
            <w:vAlign w:val="bottom"/>
            <w:tcBorders>
              <w:bottom w:val="single" w:sz="8" w:color="CCEEFF"/>
            </w:tcBorders>
          </w:tcPr>
          <w:p>
            <w:pPr>
              <w:jc w:val="right"/>
              <w:ind w:right="22"/>
              <w:spacing w:after="0" w:line="129" w:lineRule="exact"/>
              <w:rPr>
                <w:sz w:val="20"/>
                <w:szCs w:val="20"/>
                <w:color w:val="auto"/>
              </w:rPr>
            </w:pPr>
            <w:r>
              <w:rPr>
                <w:rFonts w:ascii="Arial" w:cs="Arial" w:eastAsia="Arial" w:hAnsi="Arial"/>
                <w:sz w:val="12"/>
                <w:szCs w:val="12"/>
                <w:color w:val="auto"/>
                <w:w w:val="74"/>
              </w:rPr>
              <w:t>%</w:t>
            </w:r>
          </w:p>
        </w:tc>
        <w:tc>
          <w:tcPr>
            <w:tcW w:w="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CCEEFF"/>
            </w:tcBorders>
            <w:gridSpan w:val="2"/>
          </w:tcPr>
          <w:p>
            <w:pPr>
              <w:jc w:val="right"/>
              <w:spacing w:after="0" w:line="129" w:lineRule="exact"/>
              <w:rPr>
                <w:sz w:val="20"/>
                <w:szCs w:val="20"/>
                <w:color w:val="auto"/>
              </w:rPr>
            </w:pPr>
            <w:r>
              <w:rPr>
                <w:rFonts w:ascii="Arial" w:cs="Arial" w:eastAsia="Arial" w:hAnsi="Arial"/>
                <w:sz w:val="13"/>
                <w:szCs w:val="13"/>
                <w:color w:val="auto"/>
              </w:rPr>
              <w:t>6,486</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11,195</w:t>
            </w:r>
          </w:p>
        </w:tc>
        <w:tc>
          <w:tcPr>
            <w:tcW w:w="160" w:type="dxa"/>
            <w:vAlign w:val="bottom"/>
            <w:tcBorders>
              <w:top w:val="single" w:sz="8" w:color="auto"/>
              <w:bottom w:val="single" w:sz="8" w:color="CCEEFF"/>
            </w:tcBorders>
          </w:tcPr>
          <w:p>
            <w:pPr>
              <w:jc w:val="right"/>
              <w:ind w:right="5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17,681</w:t>
            </w:r>
          </w:p>
        </w:tc>
        <w:tc>
          <w:tcPr>
            <w:tcW w:w="20" w:type="dxa"/>
            <w:vAlign w:val="bottom"/>
          </w:tcPr>
          <w:p>
            <w:pPr>
              <w:spacing w:after="0"/>
              <w:rPr>
                <w:sz w:val="11"/>
                <w:szCs w:val="11"/>
                <w:color w:val="auto"/>
              </w:rPr>
            </w:pPr>
          </w:p>
        </w:tc>
      </w:tr>
      <w:tr>
        <w:trPr>
          <w:trHeight w:val="135"/>
        </w:trPr>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Net interest spread(1)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3.27 %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3.42 %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2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Noninterest-bearing deposits</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6"/>
              </w:rPr>
              <w:t>1,494,016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1,163,440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47,313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40,188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40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Stockholders’ equity</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946,675</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675,002</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240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liabilities and stockholders’ equity</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7,707,090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5,843,233</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Interest income / earning assets(1), (3)</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6"/>
              </w:rPr>
              <w:t>7,031,636</w:t>
            </w:r>
          </w:p>
        </w:tc>
        <w:tc>
          <w:tcPr>
            <w:tcW w:w="8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213,432</w:t>
            </w:r>
          </w:p>
        </w:tc>
        <w:tc>
          <w:tcPr>
            <w:tcW w:w="16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4.06 %</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5,397,421</w:t>
            </w:r>
          </w:p>
        </w:tc>
        <w:tc>
          <w:tcPr>
            <w:tcW w:w="1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155,920</w:t>
            </w:r>
          </w:p>
        </w:tc>
        <w:tc>
          <w:tcPr>
            <w:tcW w:w="160" w:type="dxa"/>
            <w:vAlign w:val="bottom"/>
          </w:tcPr>
          <w:p>
            <w:pPr>
              <w:spacing w:after="0"/>
              <w:rPr>
                <w:sz w:val="11"/>
                <w:szCs w:val="11"/>
                <w:color w:val="auto"/>
              </w:rPr>
            </w:pPr>
          </w:p>
        </w:tc>
        <w:tc>
          <w:tcPr>
            <w:tcW w:w="7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3.86 %</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Interest expense / earning assets</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7,031,636</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30,816</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0.59 %</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5,397,421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13,135</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0.32 %</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2400" w:type="dxa"/>
            <w:vAlign w:val="bottom"/>
            <w:gridSpan w:val="2"/>
          </w:tcPr>
          <w:p>
            <w:pPr>
              <w:spacing w:after="0" w:line="129" w:lineRule="exact"/>
              <w:rPr>
                <w:sz w:val="20"/>
                <w:szCs w:val="20"/>
                <w:color w:val="auto"/>
              </w:rPr>
            </w:pPr>
            <w:r>
              <w:rPr>
                <w:rFonts w:ascii="Arial" w:cs="Arial" w:eastAsia="Arial" w:hAnsi="Arial"/>
                <w:sz w:val="13"/>
                <w:szCs w:val="13"/>
                <w:color w:val="auto"/>
              </w:rPr>
              <w:t>Net interest margin(1)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182,616</w:t>
            </w:r>
          </w:p>
        </w:tc>
        <w:tc>
          <w:tcPr>
            <w:tcW w:w="1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3.47</w:t>
            </w: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w w:val="86"/>
              </w:rPr>
              <w:t>%</w:t>
            </w: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142,785</w:t>
            </w:r>
          </w:p>
        </w:tc>
        <w:tc>
          <w:tcPr>
            <w:tcW w:w="1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3.54</w:t>
            </w:r>
          </w:p>
        </w:tc>
        <w:tc>
          <w:tcPr>
            <w:tcW w:w="180" w:type="dxa"/>
            <w:vAlign w:val="bottom"/>
          </w:tcPr>
          <w:p>
            <w:pPr>
              <w:jc w:val="right"/>
              <w:ind w:right="22"/>
              <w:spacing w:after="0" w:line="129" w:lineRule="exact"/>
              <w:rPr>
                <w:sz w:val="20"/>
                <w:szCs w:val="20"/>
                <w:color w:val="auto"/>
              </w:rPr>
            </w:pPr>
            <w:r>
              <w:rPr>
                <w:rFonts w:ascii="Arial" w:cs="Arial" w:eastAsia="Arial" w:hAnsi="Arial"/>
                <w:sz w:val="12"/>
                <w:szCs w:val="12"/>
                <w:color w:val="auto"/>
                <w:w w:val="74"/>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41,632</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gridSpan w:val="2"/>
          </w:tcPr>
          <w:p>
            <w:pPr>
              <w:jc w:val="right"/>
              <w:ind w:right="53"/>
              <w:spacing w:after="0" w:line="129" w:lineRule="exact"/>
              <w:rPr>
                <w:sz w:val="20"/>
                <w:szCs w:val="20"/>
                <w:color w:val="auto"/>
              </w:rPr>
            </w:pPr>
            <w:r>
              <w:rPr>
                <w:rFonts w:ascii="Arial" w:cs="Arial" w:eastAsia="Arial" w:hAnsi="Arial"/>
                <w:sz w:val="13"/>
                <w:szCs w:val="13"/>
                <w:color w:val="auto"/>
              </w:rPr>
              <w:t>(1,801)$</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39,831</w:t>
            </w:r>
          </w:p>
        </w:tc>
        <w:tc>
          <w:tcPr>
            <w:tcW w:w="20" w:type="dxa"/>
            <w:vAlign w:val="bottom"/>
          </w:tcPr>
          <w:p>
            <w:pPr>
              <w:spacing w:after="0"/>
              <w:rPr>
                <w:sz w:val="11"/>
                <w:szCs w:val="1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65" w:lineRule="exact"/>
        <w:rPr>
          <w:sz w:val="20"/>
          <w:szCs w:val="20"/>
          <w:color w:val="auto"/>
        </w:rPr>
      </w:pP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 tax-equivalent basis assuming an income tax rate of 21% in 2018 and 35% in 2017.</w:t>
      </w:r>
    </w:p>
    <w:p>
      <w:pPr>
        <w:ind w:left="320" w:hanging="317"/>
        <w:spacing w:after="0" w:line="203"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Non-accrual loans have been included in average portfolio loans.</w:t>
      </w:r>
    </w:p>
    <w:p>
      <w:pPr>
        <w:ind w:left="320" w:right="160" w:hanging="317"/>
        <w:spacing w:after="0" w:line="203"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income includes a tax-equivalent adjustment of $1.7 million and $2.5 million at September 30, 2018 and 2017, respectively.</w:t>
      </w:r>
    </w:p>
    <w:p>
      <w:pPr>
        <w:ind w:left="320" w:right="200" w:hanging="317"/>
        <w:spacing w:after="0" w:line="203"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federal funds purchased, FHLB advances and a revolving loan. Interest expense includes a non-usage fee on the revolving loan.</w:t>
      </w:r>
    </w:p>
    <w:p>
      <w:pPr>
        <w:ind w:left="320" w:hanging="317"/>
        <w:spacing w:after="0" w:line="203"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FHLB long-term debt, senior notes and subordinated notes.</w:t>
      </w: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Average Balance Sheets and interest rates were impacted by the 2017 acquisitions of First Community and</w:t>
      </w:r>
    </w:p>
    <w:p>
      <w:pPr>
        <w:spacing w:after="0" w:line="224" w:lineRule="auto"/>
        <w:rPr>
          <w:sz w:val="20"/>
          <w:szCs w:val="20"/>
          <w:color w:val="auto"/>
        </w:rPr>
      </w:pPr>
      <w:r>
        <w:rPr>
          <w:rFonts w:ascii="Arial" w:cs="Arial" w:eastAsia="Arial" w:hAnsi="Arial"/>
          <w:sz w:val="17"/>
          <w:szCs w:val="17"/>
          <w:color w:val="auto"/>
        </w:rPr>
        <w:t>Mid Illinois, along with organic growth. Total average interest-earning assets increased $849.6 million, or 13.5%, to $7.1</w:t>
      </w:r>
    </w:p>
    <w:p>
      <w:pPr>
        <w:spacing w:after="0" w:line="229" w:lineRule="auto"/>
        <w:rPr>
          <w:sz w:val="20"/>
          <w:szCs w:val="20"/>
          <w:color w:val="auto"/>
        </w:rPr>
      </w:pPr>
      <w:r>
        <w:rPr>
          <w:rFonts w:ascii="Arial" w:cs="Arial" w:eastAsia="Arial" w:hAnsi="Arial"/>
          <w:sz w:val="16"/>
          <w:szCs w:val="16"/>
          <w:color w:val="auto"/>
        </w:rPr>
        <w:t>billion for the three month period ended September 30, 2018, as compared to $6.3 billion for the same period in 2017. Total</w:t>
      </w:r>
    </w:p>
    <w:p>
      <w:pPr>
        <w:spacing w:after="0" w:line="204" w:lineRule="auto"/>
        <w:rPr>
          <w:sz w:val="20"/>
          <w:szCs w:val="20"/>
          <w:color w:val="auto"/>
        </w:rPr>
      </w:pPr>
      <w:r>
        <w:rPr>
          <w:rFonts w:ascii="Arial" w:cs="Arial" w:eastAsia="Arial" w:hAnsi="Arial"/>
          <w:sz w:val="18"/>
          <w:szCs w:val="18"/>
          <w:color w:val="auto"/>
        </w:rPr>
        <w:t>average interest-earning assets increased $1.6 billion, or 30.3%, to $7.0 billion for the nine month period ended</w:t>
      </w:r>
    </w:p>
    <w:p>
      <w:pPr>
        <w:spacing w:after="0" w:line="229" w:lineRule="auto"/>
        <w:rPr>
          <w:sz w:val="20"/>
          <w:szCs w:val="20"/>
          <w:color w:val="auto"/>
        </w:rPr>
      </w:pPr>
      <w:r>
        <w:rPr>
          <w:rFonts w:ascii="Arial" w:cs="Arial" w:eastAsia="Arial" w:hAnsi="Arial"/>
          <w:sz w:val="16"/>
          <w:szCs w:val="16"/>
          <w:color w:val="auto"/>
        </w:rPr>
        <w:t>September 30, 2018, as compared to $5.4 billion for the same period in 2017. Total average interest-bearing liability balances</w:t>
      </w:r>
    </w:p>
    <w:p>
      <w:pPr>
        <w:spacing w:after="0" w:line="229" w:lineRule="auto"/>
        <w:rPr>
          <w:sz w:val="20"/>
          <w:szCs w:val="20"/>
          <w:color w:val="auto"/>
        </w:rPr>
      </w:pPr>
      <w:r>
        <w:rPr>
          <w:rFonts w:ascii="Arial" w:cs="Arial" w:eastAsia="Arial" w:hAnsi="Arial"/>
          <w:sz w:val="16"/>
          <w:szCs w:val="16"/>
          <w:color w:val="auto"/>
        </w:rPr>
        <w:t>increased $637.7 million, or 13.7%, to $5.3 billion for the three month period ended September 30, 2018, as compared to</w:t>
      </w:r>
    </w:p>
    <w:p>
      <w:pPr>
        <w:ind w:right="60"/>
        <w:spacing w:after="0" w:line="268" w:lineRule="auto"/>
        <w:rPr>
          <w:sz w:val="20"/>
          <w:szCs w:val="20"/>
          <w:color w:val="auto"/>
        </w:rPr>
      </w:pPr>
      <w:r>
        <w:rPr>
          <w:rFonts w:ascii="Arial" w:cs="Arial" w:eastAsia="Arial" w:hAnsi="Arial"/>
          <w:sz w:val="16"/>
          <w:szCs w:val="16"/>
          <w:color w:val="auto"/>
        </w:rPr>
        <w:t>$4.7 billion for the same period in 2017. Total average interest-bearing liability balances increased $1.2 billion, or 31.6%, to $5.2 billion for the nine month period ended September 30, 2018, as compared to $4.0 billion for the same period in 2017.</w:t>
      </w:r>
    </w:p>
    <w:p>
      <w:pPr>
        <w:spacing w:after="0" w:line="100" w:lineRule="exact"/>
        <w:rPr>
          <w:sz w:val="20"/>
          <w:szCs w:val="20"/>
          <w:color w:val="auto"/>
        </w:rPr>
      </w:pPr>
    </w:p>
    <w:p>
      <w:pPr>
        <w:ind w:right="100"/>
        <w:spacing w:after="0" w:line="223" w:lineRule="auto"/>
        <w:rPr>
          <w:sz w:val="20"/>
          <w:szCs w:val="20"/>
          <w:color w:val="auto"/>
        </w:rPr>
      </w:pPr>
      <w:r>
        <w:rPr>
          <w:rFonts w:ascii="Arial" w:cs="Arial" w:eastAsia="Arial" w:hAnsi="Arial"/>
          <w:sz w:val="17"/>
          <w:szCs w:val="17"/>
          <w:color w:val="auto"/>
        </w:rPr>
        <w:t>Interest income, on a tax-equivalent basis, increased $9.8 million, or 15.5%, to $73.3 million for the three month period ended September 30, 2018, as compared to $63.5 million in the same period of 2017. Interest income, on a tax-equivalent basis, increased $57.5 million, or 36.9%, to $213.4 million for the nine month period ended September 30, 2018, as compared to $155.9 million in the same period of 2017. The interest income increases related primarily to the increase in loan volumes. Interest expense increased during the three month period ended September 30, 2018 by $5.4 million to $12.0 million from $6.6 million in the same period of 2017. Interest expense increased during the nine month period ended September 30, 2018 by $17.7 million to $30.8 million from $13.1 million in the same period of 2017. The interest expense increases were the result of increases in deposits and borrowings related to the 2017 acquisitions of First Community and Mid Illinois and rising interest rates.</w:t>
      </w:r>
    </w:p>
    <w:p>
      <w:pPr>
        <w:spacing w:after="0" w:line="162"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Net interest income, on a tax-equivalent basis, increased $4.4 million for the three month period ended September 30, 2018, as compared to the same period of 2017. Net interest income, on a tax-equivalent basis, increased $39.8 million for the nine month period ended September 30, 2018, as compared to the same period of 2017. The Federal Open Market Committee announced that the federal funds rate increased from 1.50% to 1.75% on March 21, 2018, 1.75% to 2.00% on June 13, 2018 and 2.00% to 2.25% on September 26, 2018, for a combined increase of 75 basis points. For comparison, the federal funds rate increased 50 basis points, from 0.75% to 1.25% for the first nine months of 2017. The Company expects the increases in interest rates to be modestly favorable to net interest income for the remainder of 2018; however, rising interest rates could result in decreased demand for first mortgages as well as mortgage refinancing, activities which contribute to a portion of the Company’s mortgage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margin</w:t>
      </w:r>
    </w:p>
    <w:p>
      <w:pPr>
        <w:spacing w:after="0" w:line="225"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Net interest margin, our net interest income expressed as a percentage of average earning assets stated on a tax-equivalent basis, decreased to 3.41% for the three month period ended September 30, 2018, compared to 3.60% for the same period in 2017, and decreased to 3.47% for the nine month period ended September 30, 2018, compared to 3.54% for the same period in 2017. Net of purchase accounting accretion and amortization(1), the net interest margin for the three month period ended September 30, 2018 was 3.29%, a decrease from 3.40% for the same period in 2017, and was 3.31% for the nine month period ended September 30, 2018, a decrease from 3.37% for the same period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1183005</wp:posOffset>
            </wp:positionV>
            <wp:extent cx="14408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0" w:right="60" w:hanging="317"/>
        <w:spacing w:after="0" w:line="258"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a reconciliation of net interest margin net of purchase accounting accretion and amortization, a non-GAAP financial measure, see “Non-GAAP Financial Information”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Quarterly net interest margins for 2018 and 2017 were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140" w:type="dxa"/>
            <w:vAlign w:val="bottom"/>
            <w:gridSpan w:val="2"/>
          </w:tcPr>
          <w:p>
            <w:pPr>
              <w:ind w:left="370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r>
      <w:tr>
        <w:trPr>
          <w:trHeight w:val="183"/>
        </w:trPr>
        <w:tc>
          <w:tcPr>
            <w:tcW w:w="3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First Quarter</w:t>
            </w:r>
          </w:p>
        </w:tc>
        <w:tc>
          <w:tcPr>
            <w:tcW w:w="10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3.52</w:t>
            </w:r>
          </w:p>
        </w:tc>
        <w:tc>
          <w:tcPr>
            <w:tcW w:w="480" w:type="dxa"/>
            <w:vAlign w:val="bottom"/>
            <w:tcBorders>
              <w:top w:val="single" w:sz="8" w:color="CCEEFF"/>
            </w:tcBorders>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4"/>
              </w:rPr>
              <w:t>%</w:t>
            </w:r>
          </w:p>
        </w:tc>
        <w:tc>
          <w:tcPr>
            <w:tcW w:w="1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3.53</w:t>
            </w:r>
          </w:p>
        </w:tc>
        <w:tc>
          <w:tcPr>
            <w:tcW w:w="480" w:type="dxa"/>
            <w:vAlign w:val="bottom"/>
            <w:tcBorders>
              <w:top w:val="single" w:sz="8" w:color="CCEEFF"/>
            </w:tcBorders>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4"/>
              </w:rPr>
              <w:t>%</w:t>
            </w:r>
          </w:p>
        </w:tc>
      </w:tr>
      <w:tr>
        <w:trPr>
          <w:trHeight w:val="189"/>
        </w:trPr>
        <w:tc>
          <w:tcPr>
            <w:tcW w:w="4140" w:type="dxa"/>
            <w:vAlign w:val="bottom"/>
            <w:gridSpan w:val="2"/>
          </w:tcPr>
          <w:p>
            <w:pPr>
              <w:spacing w:after="0" w:line="189" w:lineRule="exact"/>
              <w:rPr>
                <w:sz w:val="20"/>
                <w:szCs w:val="20"/>
                <w:color w:val="auto"/>
              </w:rPr>
            </w:pPr>
            <w:r>
              <w:rPr>
                <w:rFonts w:ascii="Arial" w:cs="Arial" w:eastAsia="Arial" w:hAnsi="Arial"/>
                <w:sz w:val="18"/>
                <w:szCs w:val="18"/>
                <w:color w:val="auto"/>
              </w:rPr>
              <w:t>Second Quarter</w:t>
            </w:r>
          </w:p>
        </w:tc>
        <w:tc>
          <w:tcPr>
            <w:tcW w:w="1000" w:type="dxa"/>
            <w:vAlign w:val="bottom"/>
            <w:gridSpan w:val="2"/>
          </w:tcPr>
          <w:p>
            <w:pPr>
              <w:jc w:val="right"/>
              <w:ind w:right="250"/>
              <w:spacing w:after="0" w:line="189" w:lineRule="exact"/>
              <w:rPr>
                <w:sz w:val="20"/>
                <w:szCs w:val="20"/>
                <w:color w:val="auto"/>
              </w:rPr>
            </w:pPr>
            <w:r>
              <w:rPr>
                <w:rFonts w:ascii="Arial" w:cs="Arial" w:eastAsia="Arial" w:hAnsi="Arial"/>
                <w:sz w:val="18"/>
                <w:szCs w:val="18"/>
                <w:color w:val="auto"/>
              </w:rPr>
              <w:t>3.51 %</w:t>
            </w:r>
          </w:p>
        </w:tc>
        <w:tc>
          <w:tcPr>
            <w:tcW w:w="2100" w:type="dxa"/>
            <w:vAlign w:val="bottom"/>
            <w:gridSpan w:val="2"/>
          </w:tcPr>
          <w:p>
            <w:pPr>
              <w:jc w:val="right"/>
              <w:ind w:right="250"/>
              <w:spacing w:after="0" w:line="189" w:lineRule="exact"/>
              <w:rPr>
                <w:sz w:val="20"/>
                <w:szCs w:val="20"/>
                <w:color w:val="auto"/>
              </w:rPr>
            </w:pPr>
            <w:r>
              <w:rPr>
                <w:rFonts w:ascii="Arial" w:cs="Arial" w:eastAsia="Arial" w:hAnsi="Arial"/>
                <w:sz w:val="18"/>
                <w:szCs w:val="18"/>
                <w:color w:val="auto"/>
              </w:rPr>
              <w:t>3.47 %</w:t>
            </w:r>
          </w:p>
        </w:tc>
      </w:tr>
      <w:tr>
        <w:trPr>
          <w:trHeight w:val="189"/>
        </w:trPr>
        <w:tc>
          <w:tcPr>
            <w:tcW w:w="41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Third Quarter</w:t>
            </w:r>
          </w:p>
        </w:tc>
        <w:tc>
          <w:tcPr>
            <w:tcW w:w="1000" w:type="dxa"/>
            <w:vAlign w:val="bottom"/>
            <w:gridSpan w:val="2"/>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rPr>
              <w:t>3.41 %</w:t>
            </w:r>
          </w:p>
        </w:tc>
        <w:tc>
          <w:tcPr>
            <w:tcW w:w="2100" w:type="dxa"/>
            <w:vAlign w:val="bottom"/>
            <w:gridSpan w:val="2"/>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rPr>
              <w:t>3.60 %</w:t>
            </w: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 %</w:t>
            </w:r>
          </w:p>
        </w:tc>
        <w:tc>
          <w:tcPr>
            <w:tcW w:w="2100" w:type="dxa"/>
            <w:vAlign w:val="bottom"/>
            <w:gridSpan w:val="2"/>
          </w:tcPr>
          <w:p>
            <w:pPr>
              <w:jc w:val="right"/>
              <w:ind w:right="250"/>
              <w:spacing w:after="0"/>
              <w:rPr>
                <w:sz w:val="20"/>
                <w:szCs w:val="20"/>
                <w:color w:val="auto"/>
              </w:rPr>
            </w:pPr>
            <w:r>
              <w:rPr>
                <w:rFonts w:ascii="Arial" w:cs="Arial" w:eastAsia="Arial" w:hAnsi="Arial"/>
                <w:sz w:val="18"/>
                <w:szCs w:val="18"/>
                <w:color w:val="auto"/>
              </w:rPr>
              <w:t>3.68 %</w:t>
            </w:r>
          </w:p>
        </w:tc>
      </w:tr>
    </w:tbl>
    <w:p>
      <w:pPr>
        <w:spacing w:after="0" w:line="106" w:lineRule="exact"/>
        <w:rPr>
          <w:sz w:val="20"/>
          <w:szCs w:val="20"/>
          <w:color w:val="auto"/>
        </w:rPr>
      </w:pPr>
    </w:p>
    <w:p>
      <w:pPr>
        <w:ind w:right="280"/>
        <w:spacing w:after="0" w:line="219" w:lineRule="auto"/>
        <w:rPr>
          <w:sz w:val="20"/>
          <w:szCs w:val="20"/>
          <w:color w:val="auto"/>
        </w:rPr>
      </w:pPr>
      <w:r>
        <w:rPr>
          <w:rFonts w:ascii="Arial" w:cs="Arial" w:eastAsia="Arial" w:hAnsi="Arial"/>
          <w:sz w:val="18"/>
          <w:szCs w:val="18"/>
          <w:color w:val="auto"/>
        </w:rPr>
        <w:t>The net interest spread, which represents the difference between the average rate earned on earning assets and the average rate paid on interest-bearing liabilities, also on a tax-equivalent basis, was 3.18% for the three month period ended September 30, 2018, compared to 3.45% for the same period in 2017, and was 3.27% for the nine month period ended September 30, 2018, compared to 3.42% for the same period in 2017.</w:t>
      </w:r>
    </w:p>
    <w:p>
      <w:pPr>
        <w:spacing w:after="0" w:line="163"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Management attempts to mitigate the effects of the interest-rate environment through effective portfolio management, prudent loan underwriting and operational efficiencies. Please refer to the Notes to Consolidated Financial Statements in the Company’s Annual Report on Form 10-K for the year ended December 31, 2017 for accounting policies underlying the recognition of interest income and expense.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income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8"/>
          </w:tcPr>
          <w:p>
            <w:pPr>
              <w:jc w:val="right"/>
              <w:ind w:right="530"/>
              <w:spacing w:after="0"/>
              <w:rPr>
                <w:sz w:val="20"/>
                <w:szCs w:val="20"/>
                <w:color w:val="auto"/>
              </w:rPr>
            </w:pPr>
            <w:r>
              <w:rPr>
                <w:rFonts w:ascii="Arial" w:cs="Arial" w:eastAsia="Arial" w:hAnsi="Arial"/>
                <w:sz w:val="14"/>
                <w:szCs w:val="14"/>
                <w:b w:val="1"/>
                <w:bCs w:val="1"/>
                <w:color w:val="auto"/>
              </w:rPr>
              <w:t>Three Months Ended September 30,</w:t>
            </w:r>
          </w:p>
        </w:tc>
        <w:tc>
          <w:tcPr>
            <w:tcW w:w="3380" w:type="dxa"/>
            <w:vAlign w:val="bottom"/>
            <w:gridSpan w:val="9"/>
          </w:tcPr>
          <w:p>
            <w:pPr>
              <w:jc w:val="right"/>
              <w:ind w:right="65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tcBorders>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tcBorders>
            <w:gridSpan w:val="2"/>
          </w:tcPr>
          <w:p>
            <w:pPr>
              <w:jc w:val="right"/>
              <w:ind w:right="136"/>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114"/>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66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54"/>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94"/>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7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2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Trust fees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6,324</w:t>
            </w: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  5,071</w:t>
            </w: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$ 1,253</w:t>
            </w: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24.7</w:t>
            </w:r>
          </w:p>
        </w:tc>
        <w:tc>
          <w:tcPr>
            <w:tcW w:w="18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2"/>
              </w:rPr>
              <w:t>$ 20,573</w:t>
            </w: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2"/>
              </w:rPr>
              <w:t>$ 17,088</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3,485</w:t>
            </w: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20.4</w:t>
            </w:r>
          </w:p>
        </w:tc>
        <w:tc>
          <w:tcPr>
            <w:tcW w:w="320" w:type="dxa"/>
            <w:vAlign w:val="bottom"/>
            <w:tcBorders>
              <w:top w:val="single" w:sz="8" w:color="CCEEFF"/>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1"/>
        </w:trPr>
        <w:tc>
          <w:tcPr>
            <w:tcW w:w="2440" w:type="dxa"/>
            <w:vAlign w:val="bottom"/>
          </w:tcPr>
          <w:p>
            <w:pPr>
              <w:spacing w:after="0" w:line="161" w:lineRule="exact"/>
              <w:rPr>
                <w:sz w:val="20"/>
                <w:szCs w:val="20"/>
                <w:color w:val="auto"/>
              </w:rPr>
            </w:pPr>
            <w:r>
              <w:rPr>
                <w:rFonts w:ascii="Arial" w:cs="Arial" w:eastAsia="Arial" w:hAnsi="Arial"/>
                <w:sz w:val="18"/>
                <w:szCs w:val="18"/>
                <w:color w:val="auto"/>
              </w:rPr>
              <w:t>Commissions and brokers’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40" w:type="dxa"/>
            <w:vAlign w:val="bottom"/>
          </w:tcPr>
          <w:p>
            <w:pPr>
              <w:spacing w:after="0" w:line="189" w:lineRule="exact"/>
              <w:rPr>
                <w:sz w:val="20"/>
                <w:szCs w:val="20"/>
                <w:color w:val="auto"/>
              </w:rPr>
            </w:pPr>
            <w:r>
              <w:rPr>
                <w:rFonts w:ascii="Arial" w:cs="Arial" w:eastAsia="Arial" w:hAnsi="Arial"/>
                <w:sz w:val="18"/>
                <w:szCs w:val="18"/>
                <w:color w:val="auto"/>
              </w:rPr>
              <w:t>fees,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40" w:type="dxa"/>
            <w:vAlign w:val="bottom"/>
          </w:tcPr>
          <w:p>
            <w:pPr>
              <w:ind w:left="10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660" w:type="dxa"/>
            <w:vAlign w:val="bottom"/>
          </w:tcPr>
          <w:p>
            <w:pPr>
              <w:jc w:val="right"/>
              <w:spacing w:after="0"/>
              <w:rPr>
                <w:sz w:val="20"/>
                <w:szCs w:val="20"/>
                <w:color w:val="auto"/>
              </w:rPr>
            </w:pPr>
            <w:r>
              <w:rPr>
                <w:rFonts w:ascii="Arial" w:cs="Arial" w:eastAsia="Arial" w:hAnsi="Arial"/>
                <w:sz w:val="18"/>
                <w:szCs w:val="18"/>
                <w:color w:val="auto"/>
              </w:rPr>
              <w:t>2,860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Remittance processing</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3,630</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2,877</w:t>
            </w:r>
          </w:p>
        </w:tc>
        <w:tc>
          <w:tcPr>
            <w:tcW w:w="8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26.2 %</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10,588</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8,581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189"/>
        </w:trPr>
        <w:tc>
          <w:tcPr>
            <w:tcW w:w="2440" w:type="dxa"/>
            <w:vAlign w:val="bottom"/>
          </w:tcPr>
          <w:p>
            <w:pPr>
              <w:spacing w:after="0" w:line="189" w:lineRule="exact"/>
              <w:rPr>
                <w:sz w:val="20"/>
                <w:szCs w:val="20"/>
                <w:color w:val="auto"/>
              </w:rPr>
            </w:pPr>
            <w:r>
              <w:rPr>
                <w:rFonts w:ascii="Arial" w:cs="Arial" w:eastAsia="Arial" w:hAnsi="Arial"/>
                <w:sz w:val="18"/>
                <w:szCs w:val="18"/>
                <w:color w:val="auto"/>
              </w:rPr>
              <w:t>Fees for customer services</w:t>
            </w:r>
          </w:p>
        </w:tc>
        <w:tc>
          <w:tcPr>
            <w:tcW w:w="10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7,340</w:t>
            </w:r>
          </w:p>
        </w:tc>
        <w:tc>
          <w:tcPr>
            <w:tcW w:w="8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6,577</w:t>
            </w: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763</w:t>
            </w:r>
          </w:p>
        </w:tc>
        <w:tc>
          <w:tcPr>
            <w:tcW w:w="180" w:type="dxa"/>
            <w:vAlign w:val="bottom"/>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11.6 %</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21,576</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18,658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2,918</w:t>
            </w:r>
          </w:p>
        </w:tc>
        <w:tc>
          <w:tcPr>
            <w:tcW w:w="160" w:type="dxa"/>
            <w:vAlign w:val="bottom"/>
          </w:tcPr>
          <w:p>
            <w:pPr>
              <w:spacing w:after="0"/>
              <w:rPr>
                <w:sz w:val="16"/>
                <w:szCs w:val="16"/>
                <w:color w:val="auto"/>
              </w:rPr>
            </w:pPr>
          </w:p>
        </w:tc>
        <w:tc>
          <w:tcPr>
            <w:tcW w:w="80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Mortgage revenue</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1,272</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3,526</w:t>
            </w:r>
          </w:p>
        </w:tc>
        <w:tc>
          <w:tcPr>
            <w:tcW w:w="100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(2,254)</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(63.9)%</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4,488</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8,430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(3,942)</w:t>
            </w:r>
          </w:p>
        </w:tc>
        <w:tc>
          <w:tcPr>
            <w:tcW w:w="80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98"/>
              </w:rPr>
              <w:t>(46.8)%</w:t>
            </w:r>
          </w:p>
        </w:tc>
        <w:tc>
          <w:tcPr>
            <w:tcW w:w="0" w:type="dxa"/>
            <w:vAlign w:val="bottom"/>
          </w:tcPr>
          <w:p>
            <w:pPr>
              <w:spacing w:after="0"/>
              <w:rPr>
                <w:sz w:val="1"/>
                <w:szCs w:val="1"/>
                <w:color w:val="auto"/>
              </w:rPr>
            </w:pPr>
          </w:p>
        </w:tc>
      </w:tr>
      <w:tr>
        <w:trPr>
          <w:trHeight w:val="189"/>
        </w:trPr>
        <w:tc>
          <w:tcPr>
            <w:tcW w:w="2440" w:type="dxa"/>
            <w:vAlign w:val="bottom"/>
          </w:tcPr>
          <w:p>
            <w:pPr>
              <w:spacing w:after="0" w:line="189" w:lineRule="exact"/>
              <w:rPr>
                <w:sz w:val="20"/>
                <w:szCs w:val="20"/>
                <w:color w:val="auto"/>
              </w:rPr>
            </w:pPr>
            <w:r>
              <w:rPr>
                <w:rFonts w:ascii="Arial" w:cs="Arial" w:eastAsia="Arial" w:hAnsi="Arial"/>
                <w:sz w:val="18"/>
                <w:szCs w:val="18"/>
                <w:color w:val="auto"/>
              </w:rPr>
              <w:t>Security gains, net</w:t>
            </w:r>
          </w:p>
        </w:tc>
        <w:tc>
          <w:tcPr>
            <w:tcW w:w="10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290</w:t>
            </w:r>
          </w:p>
        </w:tc>
        <w:tc>
          <w:tcPr>
            <w:tcW w:w="1000" w:type="dxa"/>
            <w:vAlign w:val="bottom"/>
            <w:gridSpan w:val="3"/>
          </w:tcPr>
          <w:p>
            <w:pPr>
              <w:jc w:val="right"/>
              <w:ind w:right="180"/>
              <w:spacing w:after="0" w:line="189" w:lineRule="exact"/>
              <w:rPr>
                <w:sz w:val="20"/>
                <w:szCs w:val="20"/>
                <w:color w:val="auto"/>
              </w:rPr>
            </w:pPr>
            <w:r>
              <w:rPr>
                <w:rFonts w:ascii="Arial" w:cs="Arial" w:eastAsia="Arial" w:hAnsi="Arial"/>
                <w:sz w:val="18"/>
                <w:szCs w:val="18"/>
                <w:color w:val="auto"/>
              </w:rPr>
              <w:t>(290)</w:t>
            </w:r>
          </w:p>
        </w:tc>
        <w:tc>
          <w:tcPr>
            <w:tcW w:w="70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87"/>
              </w:rPr>
              <w:t>(100.0)%</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160</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1,143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(983)</w:t>
            </w:r>
          </w:p>
        </w:tc>
        <w:tc>
          <w:tcPr>
            <w:tcW w:w="80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w w:val="98"/>
              </w:rPr>
              <w:t>(86.0)%</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2,406</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1,730</w:t>
            </w:r>
          </w:p>
        </w:tc>
        <w:tc>
          <w:tcPr>
            <w:tcW w:w="8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676</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39.1 %</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6,896</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4,774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2,122</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190"/>
        </w:trPr>
        <w:tc>
          <w:tcPr>
            <w:tcW w:w="2440" w:type="dxa"/>
            <w:vAlign w:val="bottom"/>
          </w:tcPr>
          <w:p>
            <w:pPr>
              <w:ind w:left="220"/>
              <w:spacing w:after="0" w:line="182" w:lineRule="exact"/>
              <w:rPr>
                <w:sz w:val="20"/>
                <w:szCs w:val="20"/>
                <w:color w:val="auto"/>
              </w:rPr>
            </w:pPr>
            <w:r>
              <w:rPr>
                <w:rFonts w:ascii="Arial" w:cs="Arial" w:eastAsia="Arial" w:hAnsi="Arial"/>
                <w:sz w:val="18"/>
                <w:szCs w:val="18"/>
                <w:color w:val="auto"/>
              </w:rPr>
              <w:t>Total non-interest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21,853</w:t>
            </w:r>
          </w:p>
        </w:tc>
        <w:tc>
          <w:tcPr>
            <w:tcW w:w="1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1"/>
              </w:rPr>
              <w:t>$ 20,837</w:t>
            </w:r>
          </w:p>
        </w:tc>
        <w:tc>
          <w:tcPr>
            <w:tcW w:w="1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3"/>
              </w:rPr>
              <w:t>$ 1,016</w:t>
            </w:r>
          </w:p>
        </w:tc>
        <w:tc>
          <w:tcPr>
            <w:tcW w:w="1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67,141</w:t>
            </w:r>
          </w:p>
        </w:tc>
        <w:tc>
          <w:tcPr>
            <w:tcW w:w="1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60,913</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6,228</w:t>
            </w:r>
          </w:p>
        </w:tc>
        <w:tc>
          <w:tcPr>
            <w:tcW w:w="16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w:t>
            </w:r>
          </w:p>
        </w:tc>
        <w:tc>
          <w:tcPr>
            <w:tcW w:w="320" w:type="dxa"/>
            <w:vAlign w:val="bottom"/>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Total non-interest income of $21.9 million for the three month period ended September 30, 2018 increased by 4.9% as compared to $20.8 million for the same period in 2017. Total non-interest income of $67.1 million for the nine month period ended September 30, 2018 increased by 10.2% as compared to $60.9 million for the same period in 2017. The increases reflect organic growth as well as the 2017 acquisitions of First Community and Mid Illinois, offset by a decline in mortgage revenue.</w:t>
      </w:r>
    </w:p>
    <w:p>
      <w:pPr>
        <w:spacing w:after="0" w:line="122" w:lineRule="exact"/>
        <w:rPr>
          <w:sz w:val="20"/>
          <w:szCs w:val="20"/>
          <w:color w:val="auto"/>
        </w:rPr>
      </w:pPr>
    </w:p>
    <w:p>
      <w:pPr>
        <w:ind w:right="120"/>
        <w:spacing w:after="0" w:line="225" w:lineRule="auto"/>
        <w:rPr>
          <w:sz w:val="20"/>
          <w:szCs w:val="20"/>
          <w:color w:val="auto"/>
        </w:rPr>
      </w:pPr>
      <w:r>
        <w:rPr>
          <w:rFonts w:ascii="Arial" w:cs="Arial" w:eastAsia="Arial" w:hAnsi="Arial"/>
          <w:sz w:val="17"/>
          <w:szCs w:val="17"/>
          <w:color w:val="auto"/>
        </w:rPr>
        <w:t>Combined Wealth Management revenue, consisting of trust fees and commissions and brokers’ fees, net, increased to $7.2 million for the three months ended September 30, 2018 compared to $5.8 million for the three months ended September 30, 2017 and increased to $23.4 million for the nine months ended September 30, 2018 compared to $19.3 million for the nine months ended September 30, 2017. Market expansion and increased assets under care drove fee income. Further, two of the Company’s acquisitions, Pulaski and First Community, had no legacy fee income in these businesses; therefore, the addition of these fee-based service offerings in the corresponding acquired bank markets is expected to provide attractive growth opportunities in future periods.</w:t>
      </w:r>
    </w:p>
    <w:p>
      <w:pPr>
        <w:spacing w:after="0" w:line="12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Remittance processing revenue from the Company’s subsidiary, FirsTech, Inc., of $3.6 million for the three months ended September 30, 2018 increased compared to $2.9 million for the same period of 2017. For the first nine months of 2018, remittance processing revenue increased to $10.6 million compared to $8.6 million for the same period of 2017. The positive 2018 results are a reflection of new customer activity and volume increases from existing customers.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720"/>
        <w:spacing w:after="0" w:line="212" w:lineRule="auto"/>
        <w:rPr>
          <w:sz w:val="20"/>
          <w:szCs w:val="20"/>
          <w:color w:val="auto"/>
        </w:rPr>
      </w:pPr>
      <w:r>
        <w:rPr>
          <w:rFonts w:ascii="Arial" w:cs="Arial" w:eastAsia="Arial" w:hAnsi="Arial"/>
          <w:sz w:val="18"/>
          <w:szCs w:val="18"/>
          <w:color w:val="auto"/>
        </w:rPr>
        <w:t>FirsTech, Inc. adds important diversity to our revenue stream while widening our array of service offerings to larger commercial clients within our footprint and nationally.</w:t>
      </w:r>
    </w:p>
    <w:p>
      <w:pPr>
        <w:spacing w:after="0" w:line="230" w:lineRule="auto"/>
        <w:rPr>
          <w:sz w:val="20"/>
          <w:szCs w:val="20"/>
          <w:color w:val="auto"/>
        </w:rPr>
      </w:pPr>
      <w:r>
        <w:rPr>
          <w:rFonts w:ascii="Arial" w:cs="Arial" w:eastAsia="Arial" w:hAnsi="Arial"/>
          <w:sz w:val="16"/>
          <w:szCs w:val="16"/>
          <w:color w:val="auto"/>
        </w:rPr>
        <w:t>Fees for customer services increased to $7.3 million for the three month period ended September 30, 2018 as compared to</w:t>
      </w:r>
    </w:p>
    <w:p>
      <w:pPr>
        <w:spacing w:after="0" w:line="1" w:lineRule="exact"/>
        <w:rPr>
          <w:sz w:val="20"/>
          <w:szCs w:val="20"/>
          <w:color w:val="auto"/>
        </w:rPr>
      </w:pPr>
    </w:p>
    <w:p>
      <w:pPr>
        <w:jc w:val="both"/>
        <w:ind w:right="60"/>
        <w:spacing w:after="0" w:line="218" w:lineRule="auto"/>
        <w:rPr>
          <w:sz w:val="20"/>
          <w:szCs w:val="20"/>
          <w:color w:val="auto"/>
        </w:rPr>
      </w:pPr>
      <w:r>
        <w:rPr>
          <w:rFonts w:ascii="Arial" w:cs="Arial" w:eastAsia="Arial" w:hAnsi="Arial"/>
          <w:sz w:val="18"/>
          <w:szCs w:val="18"/>
          <w:color w:val="auto"/>
        </w:rPr>
        <w:t>$6.6 million for the same period of 2017 and increased to $21.6 million for the nine month period ended September 30, 2018 as compared to $18.7 million for the same period of 2017. Evolving regulation, product changes and changing behaviors by our client base may impact the fees for customer services in future periods.</w:t>
      </w:r>
    </w:p>
    <w:p>
      <w:pPr>
        <w:spacing w:after="0" w:line="122"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Mortgage revenue decreased to $1.3 million for the three month period ended September 30, 2018 compared to $3.5 million for the same period of 2017 and decreased to $4.5 million for the nine month period ended September 30, 2018 compared to $8.4 million for the same period of 2017. 2018 results reflect lower origination volumes and the realignment of mortgage origination resources to the Company’s branch market areas through the sale of certain mortgage origination offices in the fourth quarter of 2017.</w:t>
      </w:r>
    </w:p>
    <w:p>
      <w:pPr>
        <w:spacing w:after="0" w:line="122"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Security gains, net, vary based on the Company’s decisions around selling securities. In the first quarter of 2017, the Company sold 100% risk weighted investments and reinvested in 20% risk weighted investments at higher yields to better manage capital, while also producing higher future returns.</w:t>
      </w:r>
    </w:p>
    <w:p>
      <w:pPr>
        <w:spacing w:after="0" w:line="123"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Other income increased to $2.4 million, or 39.1%, for the three months ended September 30, 2018 compared to $1.7 million for the same period of 2017 and increased to $6.9 million, or 44.4%, for the nine months ended September 30, 2018 compared to $4.8 million for the same period of 2017 across multiple revenue sources.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720" w:type="dxa"/>
            <w:vAlign w:val="bottom"/>
            <w:gridSpan w:val="7"/>
          </w:tcPr>
          <w:p>
            <w:pPr>
              <w:ind w:left="500"/>
              <w:spacing w:after="0"/>
              <w:rPr>
                <w:sz w:val="20"/>
                <w:szCs w:val="20"/>
                <w:color w:val="auto"/>
              </w:rPr>
            </w:pPr>
            <w:r>
              <w:rPr>
                <w:rFonts w:ascii="Arial" w:cs="Arial" w:eastAsia="Arial" w:hAnsi="Arial"/>
                <w:sz w:val="14"/>
                <w:szCs w:val="14"/>
                <w:b w:val="1"/>
                <w:bCs w:val="1"/>
                <w:color w:val="auto"/>
                <w:w w:val="95"/>
              </w:rPr>
              <w:t>Nine Months Ended September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93"/>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94"/>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14"/>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74"/>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1"/>
        </w:trPr>
        <w:tc>
          <w:tcPr>
            <w:tcW w:w="2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Salaries, wages and</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26,024</w:t>
            </w: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$ 25,497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2.1 %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$ 12,867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161"/>
        </w:trPr>
        <w:tc>
          <w:tcPr>
            <w:tcW w:w="2080" w:type="dxa"/>
            <w:vAlign w:val="bottom"/>
          </w:tcPr>
          <w:p>
            <w:pPr>
              <w:spacing w:after="0" w:line="161" w:lineRule="exact"/>
              <w:rPr>
                <w:sz w:val="20"/>
                <w:szCs w:val="20"/>
                <w:color w:val="auto"/>
              </w:rPr>
            </w:pPr>
            <w:r>
              <w:rPr>
                <w:rFonts w:ascii="Arial" w:cs="Arial" w:eastAsia="Arial" w:hAnsi="Arial"/>
                <w:sz w:val="18"/>
                <w:szCs w:val="18"/>
                <w:color w:val="auto"/>
                <w:w w:val="97"/>
              </w:rPr>
              <w:t>Net occupancy expense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20"/>
                <w:szCs w:val="20"/>
                <w:color w:val="auto"/>
              </w:rPr>
            </w:pPr>
            <w:r>
              <w:rPr>
                <w:rFonts w:ascii="Arial" w:cs="Arial" w:eastAsia="Arial" w:hAnsi="Arial"/>
                <w:sz w:val="18"/>
                <w:szCs w:val="18"/>
                <w:color w:val="auto"/>
              </w:rPr>
              <w:t>premises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3,761</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10,025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161"/>
        </w:trPr>
        <w:tc>
          <w:tcPr>
            <w:tcW w:w="20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Furniture and equipment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189"/>
        </w:trPr>
        <w:tc>
          <w:tcPr>
            <w:tcW w:w="2080" w:type="dxa"/>
            <w:vAlign w:val="bottom"/>
          </w:tcPr>
          <w:p>
            <w:pPr>
              <w:spacing w:after="0" w:line="189" w:lineRule="exact"/>
              <w:rPr>
                <w:sz w:val="20"/>
                <w:szCs w:val="20"/>
                <w:color w:val="auto"/>
              </w:rPr>
            </w:pPr>
            <w:r>
              <w:rPr>
                <w:rFonts w:ascii="Arial" w:cs="Arial" w:eastAsia="Arial" w:hAnsi="Arial"/>
                <w:sz w:val="18"/>
                <w:szCs w:val="18"/>
                <w:color w:val="auto"/>
              </w:rPr>
              <w:t>Data processing</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4,016</w:t>
            </w:r>
          </w:p>
        </w:tc>
        <w:tc>
          <w:tcPr>
            <w:tcW w:w="2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5,113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w w:val="91"/>
              </w:rPr>
              <w:t>(1,097)</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5"/>
              </w:rPr>
              <w:t>(21.5)%</w:t>
            </w: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12,391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11,348</w:t>
            </w:r>
          </w:p>
        </w:tc>
        <w:tc>
          <w:tcPr>
            <w:tcW w:w="26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1,043</w:t>
            </w:r>
          </w:p>
        </w:tc>
        <w:tc>
          <w:tcPr>
            <w:tcW w:w="160" w:type="dxa"/>
            <w:vAlign w:val="bottom"/>
          </w:tcPr>
          <w:p>
            <w:pPr>
              <w:spacing w:after="0"/>
              <w:rPr>
                <w:sz w:val="16"/>
                <w:szCs w:val="16"/>
                <w:color w:val="auto"/>
              </w:rPr>
            </w:pP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161"/>
        </w:trPr>
        <w:tc>
          <w:tcPr>
            <w:tcW w:w="20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Amortization of intangible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189"/>
        </w:trPr>
        <w:tc>
          <w:tcPr>
            <w:tcW w:w="2080" w:type="dxa"/>
            <w:vAlign w:val="bottom"/>
          </w:tcPr>
          <w:p>
            <w:pPr>
              <w:spacing w:after="0" w:line="189" w:lineRule="exact"/>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8,968</w:t>
            </w:r>
          </w:p>
        </w:tc>
        <w:tc>
          <w:tcPr>
            <w:tcW w:w="2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9,544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(576)</w:t>
            </w:r>
          </w:p>
        </w:tc>
        <w:tc>
          <w:tcPr>
            <w:tcW w:w="16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30,429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23,707</w:t>
            </w:r>
          </w:p>
        </w:tc>
        <w:tc>
          <w:tcPr>
            <w:tcW w:w="26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6,722</w:t>
            </w:r>
          </w:p>
        </w:tc>
        <w:tc>
          <w:tcPr>
            <w:tcW w:w="160" w:type="dxa"/>
            <w:vAlign w:val="bottom"/>
          </w:tcPr>
          <w:p>
            <w:pPr>
              <w:spacing w:after="0"/>
              <w:rPr>
                <w:sz w:val="16"/>
                <w:szCs w:val="16"/>
                <w:color w:val="auto"/>
              </w:rPr>
            </w:pP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CEEFF"/>
          </w:tcPr>
          <w:p>
            <w:pPr>
              <w:ind w:left="220"/>
              <w:spacing w:after="0" w:line="161" w:lineRule="exact"/>
              <w:rPr>
                <w:sz w:val="20"/>
                <w:szCs w:val="20"/>
                <w:color w:val="auto"/>
              </w:rPr>
            </w:pPr>
            <w:r>
              <w:rPr>
                <w:rFonts w:ascii="Arial" w:cs="Arial" w:eastAsia="Arial" w:hAnsi="Arial"/>
                <w:sz w:val="18"/>
                <w:szCs w:val="18"/>
                <w:color w:val="auto"/>
              </w:rPr>
              <w:t>Total non-interest</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80" w:type="dxa"/>
            <w:vAlign w:val="bottom"/>
            <w:vMerge w:val="continue"/>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45,929</w:t>
            </w: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46,939</w:t>
            </w:r>
          </w:p>
        </w:tc>
        <w:tc>
          <w:tcPr>
            <w:tcW w:w="24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(1,010)</w:t>
            </w:r>
          </w:p>
        </w:tc>
        <w:tc>
          <w:tcPr>
            <w:tcW w:w="14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(2.2)% $ 144,274</w:t>
            </w:r>
          </w:p>
        </w:tc>
        <w:tc>
          <w:tcPr>
            <w:tcW w:w="2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121,326</w:t>
            </w:r>
          </w:p>
        </w:tc>
        <w:tc>
          <w:tcPr>
            <w:tcW w:w="2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22,948</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expense</w:t>
            </w:r>
          </w:p>
        </w:tc>
        <w:tc>
          <w:tcPr>
            <w:tcW w:w="22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420" w:type="dxa"/>
            <w:vAlign w:val="bottom"/>
            <w:gridSpan w:val="4"/>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taxes</w:t>
            </w:r>
          </w:p>
        </w:tc>
        <w:tc>
          <w:tcPr>
            <w:tcW w:w="2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9,081</w:t>
            </w:r>
          </w:p>
        </w:tc>
        <w:tc>
          <w:tcPr>
            <w:tcW w:w="24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$ 9,561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(480)</w:t>
            </w:r>
          </w:p>
        </w:tc>
        <w:tc>
          <w:tcPr>
            <w:tcW w:w="680" w:type="dxa"/>
            <w:vAlign w:val="bottom"/>
            <w:tcBorders>
              <w:righ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26,108</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26,980</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  (872)</w:t>
            </w:r>
          </w:p>
        </w:tc>
        <w:tc>
          <w:tcPr>
            <w:tcW w:w="7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61"/>
        </w:trPr>
        <w:tc>
          <w:tcPr>
            <w:tcW w:w="2080" w:type="dxa"/>
            <w:vAlign w:val="bottom"/>
          </w:tcPr>
          <w:p>
            <w:pPr>
              <w:spacing w:after="0" w:line="161" w:lineRule="exact"/>
              <w:rPr>
                <w:sz w:val="20"/>
                <w:szCs w:val="20"/>
                <w:color w:val="auto"/>
              </w:rPr>
            </w:pPr>
            <w:r>
              <w:rPr>
                <w:rFonts w:ascii="Arial" w:cs="Arial" w:eastAsia="Arial" w:hAnsi="Arial"/>
                <w:sz w:val="18"/>
                <w:szCs w:val="18"/>
                <w:color w:val="auto"/>
              </w:rPr>
              <w:t>Effective rate on 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20"/>
                <w:szCs w:val="20"/>
                <w:color w:val="auto"/>
              </w:rPr>
            </w:pPr>
            <w:r>
              <w:rPr>
                <w:rFonts w:ascii="Arial" w:cs="Arial" w:eastAsia="Arial" w:hAnsi="Arial"/>
                <w:sz w:val="18"/>
                <w:szCs w:val="18"/>
                <w:color w:val="auto"/>
              </w:rPr>
              <w:t>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25.3 %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33.7 %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26.2 %</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34.9 %</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Pr>
          <w:p>
            <w:pPr>
              <w:spacing w:after="0" w:line="189" w:lineRule="exact"/>
              <w:rPr>
                <w:sz w:val="20"/>
                <w:szCs w:val="20"/>
                <w:color w:val="auto"/>
              </w:rPr>
            </w:pPr>
            <w:r>
              <w:rPr>
                <w:rFonts w:ascii="Arial" w:cs="Arial" w:eastAsia="Arial" w:hAnsi="Arial"/>
                <w:sz w:val="18"/>
                <w:szCs w:val="18"/>
                <w:color w:val="auto"/>
              </w:rPr>
              <w:t>Efficiency ratio</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53.5 %</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58.9 %</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56.0 %</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58.1 %</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Full-time equivalent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2"/>
              </w:rPr>
              <w:t>employees as of period-end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11" w:lineRule="auto"/>
        <w:rPr>
          <w:sz w:val="20"/>
          <w:szCs w:val="20"/>
          <w:color w:val="auto"/>
        </w:rPr>
      </w:pPr>
      <w:r>
        <w:rPr>
          <w:rFonts w:ascii="Arial" w:cs="Arial" w:eastAsia="Arial" w:hAnsi="Arial"/>
          <w:sz w:val="18"/>
          <w:szCs w:val="18"/>
          <w:color w:val="auto"/>
        </w:rPr>
        <w:t>Total non-interest expense of $45.9 million for the three month period ended September 30, 2018 decreased as compared to $46.9 million for the same period in 2017. Total non-interest expense of $144.3 million for the nine month period ended September 30, 2018 increased as compared to $121.3 million for the same period in 2017. Pre-tax non-operating expenses of $0.2 million impacted the three month period ended September 30, 2018 while pre-tax non-operating expenses of $3.1 million impacted the same period of 2017. Pre-tax non-operating expenses of $4.7 million impacted the nine month period ended September 30, 2018 while pre-tax non-operating expenses of $4.4 million impacted the same period of 2017. We continue to examine expenses across all areas of the Company and remain focused on expense discipline, with an emphasis on the ones outlined below.</w:t>
      </w:r>
    </w:p>
    <w:p>
      <w:pPr>
        <w:spacing w:after="0" w:line="124"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Salaries, wages and employee benefits expense of $26.0 million increased $0.5 million for the three month period ended September 30, 2018 as compared to the same period in 2017 and increased $12.9 million, to $80.3 million, for the nine month period ended September 30, 2018 as compared to the same period of 2017. The increase was primarily due to an increased number of employees resulting from the First Community and Mid Illinois acquisitions. In addition, restructuring costs designed to address the changing needs of our organization as we seek to balance growth with efficiency negatively impacted the nine month period ended September 30, 2018 by $1.7 million. Full-time equivalent employees totaled 1,298 at September 30, 2018, down from 1,347 at December 31, 2017, and 1,382 at September 30, 2017.</w:t>
      </w:r>
    </w:p>
    <w:p>
      <w:pPr>
        <w:spacing w:after="0" w:line="122"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Combined net occupancy expense of premises and furniture and equipment expenses were $5.5 million for the three month periods ended September 30, 2018 and 2017. Combined net occupancy expense of premises and furniture and equipment expenses were $16.7 million and $15.1 million for the nine month periods ended September 30, 2018 and 2017, respectively. 2017 acquisitions added 21 banking centers. We continue to evaluate our banking center network and five banking centers were closed in the first quarter of 2018.</w:t>
      </w:r>
    </w:p>
    <w:p>
      <w:pPr>
        <w:spacing w:after="0" w:line="122"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Data processing expense for the three month period ended September 30, 2018 of $4.0 million decreased from $5.1 million for the same period of 2017. Data processing expense for the nine month period ended September 30, 2018 of $12.4 million increased from $11.3 million for the same period of 2017. Variances are largely related to deconversion expenses related to acquisitions.</w:t>
      </w:r>
    </w:p>
    <w:p>
      <w:pPr>
        <w:spacing w:after="0" w:line="12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Amortization of intangible assets increased for the three and nine month periods ended September 30, 2018 compared to the same period in 2017 as a result of the First Community and Mid Illinois acquisitions.</w:t>
      </w:r>
    </w:p>
    <w:p>
      <w:pPr>
        <w:spacing w:after="0" w:line="1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Other expense of $9.0 million for the three month period ended September 30, 2018 decreased $0.6 million compared to the same period in 2017. Other expense of $30.4 million for the nine month period ended September 30, 2018 increased $6.7 million compared to the same period in 2017 across multiple expense categories, including fluctuations in gains and losses on OREO sales, business development and marketing and acquisition-related check card service expense.</w:t>
      </w:r>
    </w:p>
    <w:p>
      <w:pPr>
        <w:spacing w:after="0" w:line="114" w:lineRule="exact"/>
        <w:rPr>
          <w:sz w:val="20"/>
          <w:szCs w:val="20"/>
          <w:color w:val="auto"/>
        </w:rPr>
      </w:pPr>
    </w:p>
    <w:p>
      <w:pPr>
        <w:ind w:right="180"/>
        <w:spacing w:after="0" w:line="226" w:lineRule="auto"/>
        <w:rPr>
          <w:sz w:val="20"/>
          <w:szCs w:val="20"/>
          <w:color w:val="auto"/>
        </w:rPr>
      </w:pPr>
      <w:r>
        <w:rPr>
          <w:rFonts w:ascii="Arial" w:cs="Arial" w:eastAsia="Arial" w:hAnsi="Arial"/>
          <w:sz w:val="17"/>
          <w:szCs w:val="17"/>
          <w:color w:val="auto"/>
        </w:rPr>
        <w:t>The effective rate on income taxes, or income taxes divided by income before taxes, of 25.3% and 26.2% for the three and nine months ended September 30, 2018, respectively, was lower than the combined federal and state statutory rate of approximately 28% due to tax preferred interest income, such as municipal bond interest and bank owned life insurance income, accounting for a portion of our taxable income. Effective July 1, 2017, the combined Illinois corporate income tax rate and replacement tax rate increased from 7.75% to 9.50%. Effective January 1, 2018 in connection with the TCJA, the corporate federal tax rate was reduced from 35.0% to 21.0%.</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The efficiency ratio(1) represents total non-interest expense, less amortization charges, as a percentage of tax-equivalent net interest income plus non-interest income, less security gains and losses. The efficiency ratio, which is a measure commonly used by management and the investment community in the banking industry, measures the amount of expense that is incurred to generate a dollar of revenue. The efficiency ratio of 53.5% for the three month period ended September 30, 2018 improved from 58.9% in the comparable period in 2017 and the efficiency ratio of 56.0% for the nine month period ended September 30, 2018 improved from 58.1% in the comparable period in 2017. Operating costs have been influenced by acquisitions and the adjusted efficiency ratio(1), excluding the impact of such acquisition costs among other items, was</w:t>
      </w:r>
    </w:p>
    <w:p>
      <w:pPr>
        <w:ind w:right="60"/>
        <w:spacing w:after="0" w:line="223" w:lineRule="auto"/>
        <w:rPr>
          <w:sz w:val="20"/>
          <w:szCs w:val="20"/>
          <w:color w:val="auto"/>
        </w:rPr>
      </w:pPr>
      <w:r>
        <w:rPr>
          <w:rFonts w:ascii="Arial" w:cs="Arial" w:eastAsia="Arial" w:hAnsi="Arial"/>
          <w:sz w:val="17"/>
          <w:szCs w:val="17"/>
          <w:color w:val="auto"/>
        </w:rPr>
        <w:t>53.3% and 55.0% for the three month periods ended September 30, 2018 and 2017, respectively. The adjusted efficiency ratio(1) was 54.2% and 55.9% for the nine month periods ended September 30, 2018 and 2017, respectively. While acquisition expenses may have a negative impact on the efficiency ratios, the Company expects to realize operating efficiencies creating a positive impact in future years. Further, the Company started to see greater operating efficiencies from the South Side Bank integration beginning in the second quarter of 2018. We will continue to examine appropriate avenues to improve efficiency and remain consistently focused on expense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14408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33" w:lineRule="exact"/>
        <w:rPr>
          <w:sz w:val="20"/>
          <w:szCs w:val="20"/>
          <w:color w:val="auto"/>
        </w:rPr>
      </w:pPr>
    </w:p>
    <w:p>
      <w:pPr>
        <w:ind w:left="320" w:right="300" w:hanging="317"/>
        <w:spacing w:after="0" w:line="235"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 reconciliation of efficiency ratio and adjusted efficiency ratio, non-GAAP financial measures, see “Non-GAAP Financial Information” included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Significant Consolidated Balance Sheet items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0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Securities available for sale</w:t>
            </w:r>
          </w:p>
        </w:tc>
        <w:tc>
          <w:tcPr>
            <w:tcW w:w="540" w:type="dxa"/>
            <w:vAlign w:val="bottom"/>
            <w:gridSpan w:val="2"/>
          </w:tcPr>
          <w:p>
            <w:pPr>
              <w:ind w:left="420"/>
              <w:spacing w:after="0" w:line="189"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863,381</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872,682</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(9,301)</w:t>
            </w:r>
          </w:p>
        </w:tc>
        <w:tc>
          <w:tcPr>
            <w:tcW w:w="10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Securities held to maturity</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626,250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443,550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182,700</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41.2 %</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Loans held for sale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32,617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94,848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(62,231)</w:t>
            </w:r>
          </w:p>
        </w:tc>
        <w:tc>
          <w:tcPr>
            <w:tcW w:w="10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Portfolio loans, net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5,570,998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5,465,918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105,080</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7,889,385</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7,860,640</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28,745</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Deposits: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Noninterest-bearing</w:t>
            </w:r>
          </w:p>
        </w:tc>
        <w:tc>
          <w:tcPr>
            <w:tcW w:w="5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1,438,054</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1,597,421</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(159,367)</w:t>
            </w: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9"/>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Interest-bearing</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w w:val="89"/>
              </w:rPr>
              <w:t>4,757,515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w w:val="89"/>
              </w:rPr>
              <w:t>4,528,544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228,971</w:t>
            </w:r>
          </w:p>
        </w:tc>
        <w:tc>
          <w:tcPr>
            <w:tcW w:w="220" w:type="dxa"/>
            <w:vAlign w:val="bottom"/>
          </w:tcPr>
          <w:p>
            <w:pPr>
              <w:spacing w:after="0"/>
              <w:rPr>
                <w:sz w:val="16"/>
                <w:szCs w:val="16"/>
                <w:color w:val="auto"/>
              </w:rPr>
            </w:pPr>
          </w:p>
        </w:tc>
        <w:tc>
          <w:tcPr>
            <w:tcW w:w="10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183"/>
        </w:trPr>
        <w:tc>
          <w:tcPr>
            <w:tcW w:w="4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deposits</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6,195,569</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6,125,965</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69,604</w:t>
            </w: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w:t>
            </w:r>
          </w:p>
        </w:tc>
        <w:tc>
          <w:tcPr>
            <w:tcW w:w="22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Securities sold under agreements to repurchase</w:t>
            </w:r>
          </w:p>
        </w:tc>
        <w:tc>
          <w:tcPr>
            <w:tcW w:w="5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255,906</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304,566</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(48,660)</w:t>
            </w: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Short-term borrowings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220,000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(20,000)</w:t>
            </w:r>
          </w:p>
        </w:tc>
        <w:tc>
          <w:tcPr>
            <w:tcW w:w="10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Senior notes, net of unamortized issuance costs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39,505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39,404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6"/>
                <w:szCs w:val="16"/>
                <w:color w:val="auto"/>
              </w:rPr>
            </w:pPr>
          </w:p>
        </w:tc>
        <w:tc>
          <w:tcPr>
            <w:tcW w:w="10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Subordinated notes, net of unamortized issuance costs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59,121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64,715</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(5,594)</w:t>
            </w: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w w:val="94"/>
              </w:rPr>
              <w:t>Junior subordinated debt owed to unconsolidated trusts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71,118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71,008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110</w:t>
            </w:r>
          </w:p>
        </w:tc>
        <w:tc>
          <w:tcPr>
            <w:tcW w:w="220" w:type="dxa"/>
            <w:vAlign w:val="bottom"/>
          </w:tcPr>
          <w:p>
            <w:pPr>
              <w:spacing w:after="0"/>
              <w:rPr>
                <w:sz w:val="16"/>
                <w:szCs w:val="16"/>
                <w:color w:val="auto"/>
              </w:rPr>
            </w:pPr>
          </w:p>
        </w:tc>
        <w:tc>
          <w:tcPr>
            <w:tcW w:w="10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Total liabilities</w:t>
            </w:r>
          </w:p>
        </w:tc>
        <w:tc>
          <w:tcPr>
            <w:tcW w:w="540" w:type="dxa"/>
            <w:vAlign w:val="bottom"/>
            <w:gridSpan w:val="2"/>
          </w:tcPr>
          <w:p>
            <w:pPr>
              <w:ind w:left="420"/>
              <w:spacing w:after="0" w:line="189"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w w:val="89"/>
              </w:rPr>
              <w:t>6,917,245</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w w:val="89"/>
              </w:rPr>
              <w:t>6,925,637</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(8,392)</w:t>
            </w:r>
          </w:p>
        </w:tc>
        <w:tc>
          <w:tcPr>
            <w:tcW w:w="10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972,140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935,003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37,137</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765"/>
        </w:trPr>
        <w:tc>
          <w:tcPr>
            <w:tcW w:w="4200" w:type="dxa"/>
            <w:vAlign w:val="bottom"/>
          </w:tcPr>
          <w:p>
            <w:pPr>
              <w:spacing w:after="0"/>
              <w:rPr>
                <w:sz w:val="24"/>
                <w:szCs w:val="24"/>
                <w:color w:val="auto"/>
              </w:rPr>
            </w:pPr>
          </w:p>
        </w:tc>
        <w:tc>
          <w:tcPr>
            <w:tcW w:w="540" w:type="dxa"/>
            <w:vAlign w:val="bottom"/>
            <w:gridSpan w:val="2"/>
          </w:tcPr>
          <w:p>
            <w:pPr>
              <w:jc w:val="right"/>
              <w:ind w:right="39"/>
              <w:spacing w:after="0"/>
              <w:rPr>
                <w:sz w:val="20"/>
                <w:szCs w:val="20"/>
                <w:color w:val="auto"/>
              </w:rPr>
            </w:pPr>
            <w:r>
              <w:rPr>
                <w:rFonts w:ascii="Arial" w:cs="Arial" w:eastAsia="Arial" w:hAnsi="Arial"/>
                <w:sz w:val="18"/>
                <w:szCs w:val="18"/>
                <w:color w:val="auto"/>
              </w:rPr>
              <w:t>60</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In the first nine months of 2018, we continued to emphasize our key priorities - balance sheet strength, profitability and growth - achieved within a framework of safety and soundness. Our capital position remains strong and we continue to focus on a sound credit foundation. We believe our emphasis on commercial banking and wealth management, supplemented by our remittance processing activities, will continue to produce growth and profitability as we move into the final quarter of 2018 and into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144"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Loans held for sale totaled $32.6 million and $94.8 million at September 30, 2018 and December 31, 2017, respectively. The amount of loans held for sale decreased from December 31, 2017 due to lower origination volumes in 2018. Lower origination volumes are a reflection of the realignment of mortgage origination resources to the Company’s branch market areas through the sale of certain mortgage origination offices in the fourth quarter of 2017. Loans held for sale generate net interest income until loans are delivered to investors, at which point mortgage revenue will be recognized.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Geographic distributions of portfolio loans by category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42"/>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Illinois</w:t>
            </w:r>
          </w:p>
        </w:tc>
        <w:tc>
          <w:tcPr>
            <w:tcW w:w="160" w:type="dxa"/>
            <w:vAlign w:val="bottom"/>
          </w:tcPr>
          <w:p>
            <w:pPr>
              <w:spacing w:after="0"/>
              <w:rPr>
                <w:sz w:val="12"/>
                <w:szCs w:val="12"/>
                <w:color w:val="auto"/>
              </w:rPr>
            </w:pPr>
          </w:p>
        </w:tc>
        <w:tc>
          <w:tcPr>
            <w:tcW w:w="8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Missouri</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Florida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Indiana</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r>
      <w:tr>
        <w:trPr>
          <w:trHeight w:val="183"/>
        </w:trPr>
        <w:tc>
          <w:tcPr>
            <w:tcW w:w="3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4"/>
              </w:rPr>
              <w:t>1,014,616</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397,734</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19,368</w:t>
            </w: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29,468</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7"/>
              </w:rPr>
              <w:t>1,461,186</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w w:val="94"/>
              </w:rPr>
              <w:t>1,468,435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586,480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161,347</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155,606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w w:val="97"/>
              </w:rPr>
              <w:t>2,371,868</w:t>
            </w:r>
          </w:p>
        </w:tc>
      </w:tr>
      <w:tr>
        <w:trPr>
          <w:trHeight w:val="189"/>
        </w:trPr>
        <w:tc>
          <w:tcPr>
            <w:tcW w:w="3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101,682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124,119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15,035</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67,926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308,762</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840,900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487,573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101,119</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23,674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w w:val="97"/>
              </w:rPr>
              <w:t>1,453,266</w:t>
            </w:r>
          </w:p>
        </w:tc>
      </w:tr>
      <w:tr>
        <w:trPr>
          <w:trHeight w:val="189"/>
        </w:trPr>
        <w:tc>
          <w:tcPr>
            <w:tcW w:w="3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25,488</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1,212</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1,320</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639</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28,659</w:t>
            </w:r>
          </w:p>
        </w:tc>
      </w:tr>
      <w:tr>
        <w:trPr>
          <w:trHeight w:val="183"/>
        </w:trPr>
        <w:tc>
          <w:tcPr>
            <w:tcW w:w="3260" w:type="dxa"/>
            <w:vAlign w:val="bottom"/>
          </w:tcPr>
          <w:p>
            <w:pPr>
              <w:spacing w:after="0" w:line="182" w:lineRule="exact"/>
              <w:rPr>
                <w:sz w:val="20"/>
                <w:szCs w:val="20"/>
                <w:color w:val="auto"/>
              </w:rPr>
            </w:pPr>
            <w:r>
              <w:rPr>
                <w:rFonts w:ascii="Arial" w:cs="Arial" w:eastAsia="Arial" w:hAnsi="Arial"/>
                <w:sz w:val="18"/>
                <w:szCs w:val="18"/>
                <w:color w:val="auto"/>
              </w:rPr>
              <w:t>Portfolio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w w:val="94"/>
              </w:rPr>
              <w:t>3,451,121</w:t>
            </w:r>
          </w:p>
        </w:tc>
        <w:tc>
          <w:tcPr>
            <w:tcW w:w="22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w w:val="94"/>
              </w:rPr>
              <w:t>1,597,118</w:t>
            </w:r>
          </w:p>
        </w:tc>
        <w:tc>
          <w:tcPr>
            <w:tcW w:w="22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298,189</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277,313</w:t>
            </w:r>
          </w:p>
        </w:tc>
        <w:tc>
          <w:tcPr>
            <w:tcW w:w="22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w w:val="97"/>
              </w:rPr>
              <w:t>5,623,741</w:t>
            </w:r>
          </w:p>
        </w:tc>
      </w:tr>
      <w:tr>
        <w:trPr>
          <w:trHeight w:val="189"/>
        </w:trPr>
        <w:tc>
          <w:tcPr>
            <w:tcW w:w="3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32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Less allowance for loan losses</w:t>
            </w: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52,743</w:t>
            </w:r>
          </w:p>
        </w:tc>
      </w:tr>
      <w:tr>
        <w:trPr>
          <w:trHeight w:val="338"/>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5,570,998</w:t>
            </w:r>
          </w:p>
        </w:tc>
      </w:tr>
      <w:tr>
        <w:trPr>
          <w:trHeight w:val="500"/>
        </w:trPr>
        <w:tc>
          <w:tcPr>
            <w:tcW w:w="3260" w:type="dxa"/>
            <w:vAlign w:val="bottom"/>
            <w:tcBorders>
              <w:top w:val="single" w:sz="8" w:color="CCEEFF"/>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r>
      <w:tr>
        <w:trPr>
          <w:trHeight w:val="142"/>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Illinois</w:t>
            </w:r>
          </w:p>
        </w:tc>
        <w:tc>
          <w:tcPr>
            <w:tcW w:w="160" w:type="dxa"/>
            <w:vAlign w:val="bottom"/>
          </w:tcPr>
          <w:p>
            <w:pPr>
              <w:spacing w:after="0"/>
              <w:rPr>
                <w:sz w:val="12"/>
                <w:szCs w:val="12"/>
                <w:color w:val="auto"/>
              </w:rPr>
            </w:pPr>
          </w:p>
        </w:tc>
        <w:tc>
          <w:tcPr>
            <w:tcW w:w="8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Missouri</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Florida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Indiana</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r>
      <w:tr>
        <w:trPr>
          <w:trHeight w:val="183"/>
        </w:trPr>
        <w:tc>
          <w:tcPr>
            <w:tcW w:w="3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974,392</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378,424</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19,005</w:t>
            </w: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42,810</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7"/>
              </w:rPr>
              <w:t>1,414,631</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w w:val="94"/>
              </w:rPr>
              <w:t>1,505,819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547,200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147,360</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154,305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w w:val="97"/>
              </w:rPr>
              <w:t>2,354,684</w:t>
            </w:r>
          </w:p>
        </w:tc>
      </w:tr>
      <w:tr>
        <w:trPr>
          <w:trHeight w:val="189"/>
        </w:trPr>
        <w:tc>
          <w:tcPr>
            <w:tcW w:w="3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87,084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74,662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26,209</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73,551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261,506</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835,287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509,500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98,112</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17,902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w w:val="97"/>
              </w:rPr>
              <w:t>1,460,801</w:t>
            </w:r>
          </w:p>
        </w:tc>
      </w:tr>
      <w:tr>
        <w:trPr>
          <w:trHeight w:val="189"/>
        </w:trPr>
        <w:tc>
          <w:tcPr>
            <w:tcW w:w="3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26,230</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685</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961</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27,878</w:t>
            </w:r>
          </w:p>
        </w:tc>
      </w:tr>
      <w:tr>
        <w:trPr>
          <w:trHeight w:val="183"/>
        </w:trPr>
        <w:tc>
          <w:tcPr>
            <w:tcW w:w="3260" w:type="dxa"/>
            <w:vAlign w:val="bottom"/>
          </w:tcPr>
          <w:p>
            <w:pPr>
              <w:spacing w:after="0" w:line="182" w:lineRule="exact"/>
              <w:rPr>
                <w:sz w:val="20"/>
                <w:szCs w:val="20"/>
                <w:color w:val="auto"/>
              </w:rPr>
            </w:pPr>
            <w:r>
              <w:rPr>
                <w:rFonts w:ascii="Arial" w:cs="Arial" w:eastAsia="Arial" w:hAnsi="Arial"/>
                <w:sz w:val="18"/>
                <w:szCs w:val="18"/>
                <w:color w:val="auto"/>
              </w:rPr>
              <w:t>Portfolio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w w:val="94"/>
              </w:rPr>
              <w:t>3,428,812</w:t>
            </w:r>
          </w:p>
        </w:tc>
        <w:tc>
          <w:tcPr>
            <w:tcW w:w="22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w w:val="94"/>
              </w:rPr>
              <w:t>1,510,471</w:t>
            </w:r>
          </w:p>
        </w:tc>
        <w:tc>
          <w:tcPr>
            <w:tcW w:w="22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291,647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288,570</w:t>
            </w:r>
          </w:p>
        </w:tc>
        <w:tc>
          <w:tcPr>
            <w:tcW w:w="22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w w:val="97"/>
              </w:rPr>
              <w:t>5,519,500</w:t>
            </w:r>
          </w:p>
        </w:tc>
      </w:tr>
      <w:tr>
        <w:trPr>
          <w:trHeight w:val="189"/>
        </w:trPr>
        <w:tc>
          <w:tcPr>
            <w:tcW w:w="3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32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Less allowance for loan losses</w:t>
            </w: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53,582</w:t>
            </w:r>
          </w:p>
        </w:tc>
      </w:tr>
      <w:tr>
        <w:trPr>
          <w:trHeight w:val="230"/>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5,465,918</w:t>
            </w:r>
          </w:p>
        </w:tc>
      </w:tr>
    </w:tbl>
    <w:p>
      <w:pPr>
        <w:spacing w:after="0" w:line="148"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Portfolio loans increased $104.2 million, or 1.9%, as of September 30, 2018 compared to December 31, 2017. Commercial balances (consisting of commercial, commercial real estate and real estate construction loans) increased $111.0 million from December 31, 2017. Retail real estate and retail other loans decreased $6.8 million from December 31, 2017. 2018 loan growth was driven by organic originations, particularly in the Missouri market.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Relationship banking, rather than transactional banking, remains a focus for the Company. Relationship banking implies a primary banking relationship with the borrower that includes, at a minimum, an active deposit banking relationship in addition to the lending relationship.</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144"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Our allowance for loan losses was $52.7 million, or 0.94% of portfolio loans, and $53.6 million, or 0.97% of portfolio loans, at September 30, 2018 and December 31, 2017, respectively. As of September 30, 2018,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144"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a write-off is charged against the allowance for loan losses. We continue to attempt to identify problem loan situations on a proactive basis. Once problem loans are identified, adjustments to the provision for loan losses are made based upon all information available at that time.</w:t>
      </w:r>
    </w:p>
    <w:p>
      <w:pPr>
        <w:spacing w:after="0" w:line="122"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The provision for loan losses was $4.0 million and $2.5 million for the nine months ended September 30, 2018 and 2017, respectively. As a result of acquisitions, the Company is holding acquired loans that are carried net of a fair value adjustment for credit and interest rate marks and are only included in the allowance calculation to the extent that the reserve requirement exceeds the fair value adjustment. However, as the acquired loans renew and as the Company originates new loan production, it is necessary to establish an allowance for loan losses, which represents an amount that, in management’s opinion, will be adequate to absorb probable credit losses.</w:t>
      </w:r>
    </w:p>
    <w:p>
      <w:pPr>
        <w:spacing w:after="0" w:line="122"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144"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18"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Typically, loans are collateral dependent. When a collateral dependent loan is classified as non-accrual it is charged down through the allowance for loan losses to the fair value of our interest in the underlying collateral less estimated costs to sell. Our loan portfolio is collateralized primarily by real estate.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40"/>
        <w:spacing w:after="0" w:line="223" w:lineRule="auto"/>
        <w:rPr>
          <w:sz w:val="20"/>
          <w:szCs w:val="20"/>
          <w:color w:val="auto"/>
        </w:rPr>
      </w:pPr>
      <w:r>
        <w:rPr>
          <w:rFonts w:ascii="Arial" w:cs="Arial" w:eastAsia="Arial" w:hAnsi="Arial"/>
          <w:sz w:val="18"/>
          <w:szCs w:val="18"/>
          <w:color w:val="auto"/>
        </w:rPr>
        <w:t xml:space="preserve">The following table sets forth information concerning non-performing loans as of each of the dates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6"/>
        </w:trPr>
        <w:tc>
          <w:tcPr>
            <w:tcW w:w="4740" w:type="dxa"/>
            <w:vAlign w:val="bottom"/>
          </w:tcPr>
          <w:p>
            <w:pPr>
              <w:spacing w:after="0"/>
              <w:rPr>
                <w:sz w:val="13"/>
                <w:szCs w:val="13"/>
                <w:color w:val="auto"/>
              </w:rPr>
            </w:pPr>
          </w:p>
        </w:tc>
        <w:tc>
          <w:tcPr>
            <w:tcW w:w="1260" w:type="dxa"/>
            <w:vAlign w:val="bottom"/>
            <w:gridSpan w:val="4"/>
          </w:tcPr>
          <w:p>
            <w:pPr>
              <w:jc w:val="right"/>
              <w:ind w:right="200"/>
              <w:spacing w:after="0" w:line="157"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line="157"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3"/>
                <w:szCs w:val="13"/>
                <w:color w:val="auto"/>
              </w:rPr>
            </w:pPr>
          </w:p>
        </w:tc>
        <w:tc>
          <w:tcPr>
            <w:tcW w:w="900" w:type="dxa"/>
            <w:vAlign w:val="bottom"/>
            <w:gridSpan w:val="2"/>
          </w:tcPr>
          <w:p>
            <w:pPr>
              <w:jc w:val="right"/>
              <w:ind w:right="260"/>
              <w:spacing w:after="0" w:line="157"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3"/>
                <w:szCs w:val="13"/>
                <w:color w:val="auto"/>
              </w:rPr>
            </w:pPr>
          </w:p>
        </w:tc>
        <w:tc>
          <w:tcPr>
            <w:tcW w:w="10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42"/>
        </w:trPr>
        <w:tc>
          <w:tcPr>
            <w:tcW w:w="4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r>
      <w:tr>
        <w:trPr>
          <w:trHeight w:val="169"/>
        </w:trPr>
        <w:tc>
          <w:tcPr>
            <w:tcW w:w="47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Non-accrual loans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40,395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25,215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32,588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24,624</w:t>
            </w:r>
          </w:p>
        </w:tc>
        <w:tc>
          <w:tcPr>
            <w:tcW w:w="180" w:type="dxa"/>
            <w:vAlign w:val="bottom"/>
            <w:shd w:val="clear" w:color="auto" w:fill="CCEEFF"/>
          </w:tcPr>
          <w:p>
            <w:pPr>
              <w:spacing w:after="0"/>
              <w:rPr>
                <w:sz w:val="14"/>
                <w:szCs w:val="14"/>
                <w:color w:val="auto"/>
              </w:rPr>
            </w:pPr>
          </w:p>
        </w:tc>
      </w:tr>
      <w:tr>
        <w:trPr>
          <w:trHeight w:val="176"/>
        </w:trPr>
        <w:tc>
          <w:tcPr>
            <w:tcW w:w="474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Loans 90+ days past due and still accruing</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364</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1,142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995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2,741</w:t>
            </w:r>
          </w:p>
        </w:tc>
        <w:tc>
          <w:tcPr>
            <w:tcW w:w="180" w:type="dxa"/>
            <w:vAlign w:val="bottom"/>
            <w:tcBorders>
              <w:bottom w:val="single" w:sz="8" w:color="CCEEFF"/>
            </w:tcBorders>
          </w:tcPr>
          <w:p>
            <w:pPr>
              <w:spacing w:after="0"/>
              <w:rPr>
                <w:sz w:val="15"/>
                <w:szCs w:val="15"/>
                <w:color w:val="auto"/>
              </w:rPr>
            </w:pPr>
          </w:p>
        </w:tc>
      </w:tr>
      <w:tr>
        <w:trPr>
          <w:trHeight w:val="169"/>
        </w:trPr>
        <w:tc>
          <w:tcPr>
            <w:tcW w:w="47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Total non-performing loans</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40,759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26,357</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33,583</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27,365</w:t>
            </w:r>
          </w:p>
        </w:tc>
        <w:tc>
          <w:tcPr>
            <w:tcW w:w="180" w:type="dxa"/>
            <w:vAlign w:val="bottom"/>
            <w:shd w:val="clear" w:color="auto" w:fill="CCEEFF"/>
          </w:tcPr>
          <w:p>
            <w:pPr>
              <w:spacing w:after="0"/>
              <w:rPr>
                <w:sz w:val="14"/>
                <w:szCs w:val="14"/>
                <w:color w:val="auto"/>
              </w:rPr>
            </w:pPr>
          </w:p>
        </w:tc>
      </w:tr>
      <w:tr>
        <w:trPr>
          <w:trHeight w:val="169"/>
        </w:trPr>
        <w:tc>
          <w:tcPr>
            <w:tcW w:w="47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r>
      <w:tr>
        <w:trPr>
          <w:trHeight w:val="169"/>
        </w:trPr>
        <w:tc>
          <w:tcPr>
            <w:tcW w:w="47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OREO</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1,093</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3,694</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1,001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1,283</w:t>
            </w:r>
          </w:p>
        </w:tc>
        <w:tc>
          <w:tcPr>
            <w:tcW w:w="180" w:type="dxa"/>
            <w:vAlign w:val="bottom"/>
            <w:shd w:val="clear" w:color="auto" w:fill="CCEEFF"/>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3"/>
        </w:trPr>
        <w:tc>
          <w:tcPr>
            <w:tcW w:w="47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Total non-performing assets</w:t>
            </w:r>
          </w:p>
        </w:tc>
        <w:tc>
          <w:tcPr>
            <w:tcW w:w="380" w:type="dxa"/>
            <w:vAlign w:val="bottom"/>
            <w:gridSpan w:val="2"/>
            <w:shd w:val="clear" w:color="auto" w:fill="CCEEFF"/>
          </w:tcPr>
          <w:p>
            <w:pPr>
              <w:jc w:val="right"/>
              <w:ind w:right="24"/>
              <w:spacing w:after="0" w:line="176"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41,852</w:t>
            </w:r>
          </w:p>
        </w:tc>
        <w:tc>
          <w:tcPr>
            <w:tcW w:w="1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30,051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34,584</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28,648</w:t>
            </w:r>
          </w:p>
        </w:tc>
        <w:tc>
          <w:tcPr>
            <w:tcW w:w="180" w:type="dxa"/>
            <w:vAlign w:val="bottom"/>
            <w:shd w:val="clear" w:color="auto" w:fill="CCEEFF"/>
          </w:tcPr>
          <w:p>
            <w:pPr>
              <w:spacing w:after="0"/>
              <w:rPr>
                <w:sz w:val="15"/>
                <w:szCs w:val="15"/>
                <w:color w:val="auto"/>
              </w:rPr>
            </w:pPr>
          </w:p>
        </w:tc>
      </w:tr>
      <w:tr>
        <w:trPr>
          <w:trHeight w:val="176"/>
        </w:trPr>
        <w:tc>
          <w:tcPr>
            <w:tcW w:w="47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r>
      <w:tr>
        <w:trPr>
          <w:trHeight w:val="176"/>
        </w:trPr>
        <w:tc>
          <w:tcPr>
            <w:tcW w:w="47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Allowance for loan losses</w:t>
            </w:r>
          </w:p>
        </w:tc>
        <w:tc>
          <w:tcPr>
            <w:tcW w:w="380" w:type="dxa"/>
            <w:vAlign w:val="bottom"/>
            <w:gridSpan w:val="2"/>
            <w:shd w:val="clear" w:color="auto" w:fill="CCEEFF"/>
          </w:tcPr>
          <w:p>
            <w:pPr>
              <w:jc w:val="right"/>
              <w:ind w:right="24"/>
              <w:spacing w:after="0" w:line="176"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52,743</w:t>
            </w:r>
          </w:p>
        </w:tc>
        <w:tc>
          <w:tcPr>
            <w:tcW w:w="1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53,305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52,649</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53,582</w:t>
            </w:r>
          </w:p>
        </w:tc>
        <w:tc>
          <w:tcPr>
            <w:tcW w:w="180" w:type="dxa"/>
            <w:vAlign w:val="bottom"/>
            <w:shd w:val="clear" w:color="auto" w:fill="CCEEFF"/>
          </w:tcPr>
          <w:p>
            <w:pPr>
              <w:spacing w:after="0"/>
              <w:rPr>
                <w:sz w:val="15"/>
                <w:szCs w:val="15"/>
                <w:color w:val="auto"/>
              </w:rPr>
            </w:pPr>
          </w:p>
        </w:tc>
      </w:tr>
      <w:tr>
        <w:trPr>
          <w:trHeight w:val="176"/>
        </w:trPr>
        <w:tc>
          <w:tcPr>
            <w:tcW w:w="4740" w:type="dxa"/>
            <w:vAlign w:val="bottom"/>
          </w:tcPr>
          <w:p>
            <w:pPr>
              <w:spacing w:after="0" w:line="176" w:lineRule="exact"/>
              <w:rPr>
                <w:sz w:val="20"/>
                <w:szCs w:val="20"/>
                <w:color w:val="auto"/>
              </w:rPr>
            </w:pPr>
            <w:r>
              <w:rPr>
                <w:rFonts w:ascii="Arial" w:cs="Arial" w:eastAsia="Arial" w:hAnsi="Arial"/>
                <w:sz w:val="16"/>
                <w:szCs w:val="16"/>
                <w:color w:val="auto"/>
              </w:rPr>
              <w:t>Allowance for loan losses to portfolio loans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0.94 %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0.96 %</w:t>
            </w:r>
          </w:p>
        </w:tc>
        <w:tc>
          <w:tcPr>
            <w:tcW w:w="10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0.95 %</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0.97 %</w:t>
            </w:r>
          </w:p>
        </w:tc>
      </w:tr>
      <w:tr>
        <w:trPr>
          <w:trHeight w:val="176"/>
        </w:trPr>
        <w:tc>
          <w:tcPr>
            <w:tcW w:w="47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Allowance for loan losses to non-performing loans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129.4 %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202.2 %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156.8 %</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195.8 %</w:t>
            </w:r>
          </w:p>
        </w:tc>
      </w:tr>
      <w:tr>
        <w:trPr>
          <w:trHeight w:val="152"/>
        </w:trPr>
        <w:tc>
          <w:tcPr>
            <w:tcW w:w="4740" w:type="dxa"/>
            <w:vAlign w:val="bottom"/>
          </w:tcPr>
          <w:p>
            <w:pPr>
              <w:spacing w:after="0" w:line="152" w:lineRule="exact"/>
              <w:rPr>
                <w:sz w:val="20"/>
                <w:szCs w:val="20"/>
                <w:color w:val="auto"/>
              </w:rPr>
            </w:pPr>
            <w:r>
              <w:rPr>
                <w:rFonts w:ascii="Arial" w:cs="Arial" w:eastAsia="Arial" w:hAnsi="Arial"/>
                <w:sz w:val="16"/>
                <w:szCs w:val="16"/>
                <w:color w:val="auto"/>
              </w:rPr>
              <w:t>Non-performing loans to portfolio loans, before allowance for loan</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9"/>
        </w:trPr>
        <w:tc>
          <w:tcPr>
            <w:tcW w:w="4740" w:type="dxa"/>
            <w:vAlign w:val="bottom"/>
          </w:tcPr>
          <w:p>
            <w:pPr>
              <w:spacing w:after="0"/>
              <w:rPr>
                <w:sz w:val="20"/>
                <w:szCs w:val="20"/>
                <w:color w:val="auto"/>
              </w:rPr>
            </w:pPr>
            <w:r>
              <w:rPr>
                <w:rFonts w:ascii="Arial" w:cs="Arial" w:eastAsia="Arial" w:hAnsi="Arial"/>
                <w:sz w:val="16"/>
                <w:szCs w:val="16"/>
                <w:color w:val="auto"/>
              </w:rPr>
              <w:t>losses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0.7 %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0.6 %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0.5 %</w:t>
            </w:r>
          </w:p>
        </w:tc>
      </w:tr>
      <w:tr>
        <w:trPr>
          <w:trHeight w:val="152"/>
        </w:trPr>
        <w:tc>
          <w:tcPr>
            <w:tcW w:w="474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6"/>
              </w:rPr>
              <w:t>Non-performing loans and OREO to portfolio loans, before allowance</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99"/>
        </w:trPr>
        <w:tc>
          <w:tcPr>
            <w:tcW w:w="4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for loan losses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0.7 %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0.6 %</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0.5 %</w:t>
            </w:r>
          </w:p>
        </w:tc>
      </w:tr>
    </w:tbl>
    <w:p>
      <w:pPr>
        <w:spacing w:after="0" w:line="148" w:lineRule="exact"/>
        <w:rPr>
          <w:sz w:val="20"/>
          <w:szCs w:val="20"/>
          <w:color w:val="auto"/>
        </w:rPr>
      </w:pPr>
    </w:p>
    <w:p>
      <w:pPr>
        <w:ind w:right="240"/>
        <w:spacing w:after="0" w:line="229" w:lineRule="auto"/>
        <w:rPr>
          <w:sz w:val="20"/>
          <w:szCs w:val="20"/>
          <w:color w:val="auto"/>
        </w:rPr>
      </w:pPr>
      <w:r>
        <w:rPr>
          <w:rFonts w:ascii="Arial" w:cs="Arial" w:eastAsia="Arial" w:hAnsi="Arial"/>
          <w:sz w:val="17"/>
          <w:szCs w:val="17"/>
          <w:color w:val="auto"/>
        </w:rPr>
        <w:t>Total non-performing assets were $41.9 million at September 30, 2018, compared to $28.6 million at December 31, 2017. The increase in non-performing loans in the third quarter of 2018 was driven by two commercial credits. Non-performing assets as a percentage of total loans and non-performing assets continued to be favorably low at 0.7% on September 30, 2018. Asset quality metrics can be generally influenced by market-specific economic conditions beyond the control of the Company, and specific measures may fluctuate from quarter to quarter.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144" w:lineRule="exact"/>
        <w:rPr>
          <w:sz w:val="20"/>
          <w:szCs w:val="20"/>
          <w:color w:val="auto"/>
        </w:rPr>
      </w:pPr>
    </w:p>
    <w:p>
      <w:pPr>
        <w:ind w:right="40"/>
        <w:spacing w:after="0" w:line="210" w:lineRule="auto"/>
        <w:rPr>
          <w:sz w:val="20"/>
          <w:szCs w:val="20"/>
          <w:color w:val="auto"/>
        </w:rPr>
      </w:pPr>
      <w:r>
        <w:rPr>
          <w:rFonts w:ascii="Arial" w:cs="Arial" w:eastAsia="Arial" w:hAnsi="Arial"/>
          <w:sz w:val="18"/>
          <w:szCs w:val="18"/>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$89.6 million at September 30, 2018, compared to $70.4 million at December 31, 2017. Management continues to monitor these credits and anticipates that restructurings, guarantees, additional collateral or other planned actions will result in full repayment of the debts. As of September 30, 2018, management identified no other loans that represent or result from trends or uncertainties which management reasonably expected to materially impact future operating results, liquidity or capital resources.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48"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25"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the ability to borrow from the FHLB, the Federal Reserve, First Busey’s revolving loan facility, or to utilize brokered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79"/>
        <w:spacing w:after="0" w:line="219" w:lineRule="auto"/>
        <w:rPr>
          <w:sz w:val="20"/>
          <w:szCs w:val="20"/>
          <w:color w:val="auto"/>
        </w:rPr>
      </w:pPr>
      <w:r>
        <w:rPr>
          <w:rFonts w:ascii="Arial" w:cs="Arial" w:eastAsia="Arial" w:hAnsi="Arial"/>
          <w:sz w:val="18"/>
          <w:szCs w:val="18"/>
          <w:color w:val="auto"/>
        </w:rPr>
        <w:t>As of September 30, 2018,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48" w:lineRule="exact"/>
        <w:rPr>
          <w:sz w:val="20"/>
          <w:szCs w:val="20"/>
          <w:color w:val="auto"/>
        </w:rPr>
      </w:pPr>
    </w:p>
    <w:p>
      <w:pPr>
        <w:ind w:right="99"/>
        <w:spacing w:after="0" w:line="226" w:lineRule="auto"/>
        <w:rPr>
          <w:sz w:val="20"/>
          <w:szCs w:val="20"/>
          <w:color w:val="auto"/>
        </w:rPr>
      </w:pPr>
      <w:r>
        <w:rPr>
          <w:rFonts w:ascii="Arial" w:cs="Arial" w:eastAsia="Arial" w:hAnsi="Arial"/>
          <w:sz w:val="17"/>
          <w:szCs w:val="17"/>
          <w:color w:val="auto"/>
        </w:rPr>
        <w:t>At September 30, 2018 and December 31, 2017 the Company had outstanding standby letters of credit of $33.2 million and $37.2 million, respectively, and commitments to extend credit of $1.3 billion to its customers. Since these commitments generally have fixed expiration dates and many will expire without being drawn upon, the total commitment level does not necessarily represent future cash requirements. These commitments are made in the ordinary course of business to meet the financing needs of the Company’s customers. As of September 30, 2018, no amounts were recorded as liabilities for the Company’s potential obligations under these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48" w:lineRule="exact"/>
        <w:rPr>
          <w:sz w:val="20"/>
          <w:szCs w:val="20"/>
          <w:color w:val="auto"/>
        </w:rPr>
      </w:pPr>
    </w:p>
    <w:p>
      <w:pPr>
        <w:ind w:right="39"/>
        <w:spacing w:after="0" w:line="221" w:lineRule="auto"/>
        <w:rPr>
          <w:sz w:val="20"/>
          <w:szCs w:val="20"/>
          <w:color w:val="auto"/>
        </w:rPr>
      </w:pPr>
      <w:r>
        <w:rPr>
          <w:rFonts w:ascii="Arial" w:cs="Arial" w:eastAsia="Arial" w:hAnsi="Arial"/>
          <w:sz w:val="17"/>
          <w:szCs w:val="17"/>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 Risk-based capital ratios are established by allocating assets and certain off-balance-sheet commitments into risk-weighted categories. These balances are then multiplied by the factor appropriate for that risk-weighted category. For 2018, the guidelines, including the capital conservation buffer, required bank holding companies and their subsidiary bank to maintain a total capital to total risk-weighted asset ratio of not less than 9.875%, Tier 1 capital to total risk-weighted asset ratio of not less than 7.875%, Common Equity Tier 1 capital to total risk-weighted asset ratio of not less than 6.375% and a Tier 1 leverage ratio of not less than 4.00%. These minimum capital requirements will increase annually until the Basel III Rule is fully phased-in on January 1, 2019. As of September 30, 2018, First Busey had a total capital to total risk-weighted asset ratio of 14.34%, a Tier 1 capital to risk-weighted asset ratio of 12.50%, Common Equity Tier 1 capital to risk-weighted asset ratio of 11.29% and a Tier 1 leverage ratio of 10.17%; Busey Bank had ratios of 14.22%, 13.36%, 13.36% and 10.84%,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48" w:lineRule="exact"/>
        <w:rPr>
          <w:sz w:val="20"/>
          <w:szCs w:val="20"/>
          <w:color w:val="auto"/>
        </w:rPr>
      </w:pPr>
    </w:p>
    <w:p>
      <w:pPr>
        <w:ind w:right="79"/>
        <w:spacing w:after="0" w:line="229" w:lineRule="auto"/>
        <w:rPr>
          <w:sz w:val="20"/>
          <w:szCs w:val="20"/>
          <w:color w:val="auto"/>
        </w:rPr>
      </w:pPr>
      <w:r>
        <w:rPr>
          <w:rFonts w:ascii="Arial" w:cs="Arial" w:eastAsia="Arial" w:hAnsi="Arial"/>
          <w:sz w:val="17"/>
          <w:szCs w:val="17"/>
          <w:color w:val="auto"/>
        </w:rPr>
        <w:t>This Quarterly Report on Form 10-Q contains certain financial information determined by methods other than in accordance with GAAP. These measures include adjusted net income, adjusted return on average assets, adjusted net interest margin, adjusted efficiency ratio, tangible common equity, and tangible common equity to tangible assets. Management uses these non-GAAP measures, together with the related GAAP measures, to analyze the Company’s performance and to make business decisions. Management also uses these measures for peer comparisons.</w:t>
      </w:r>
    </w:p>
    <w:p>
      <w:pPr>
        <w:spacing w:after="0" w:line="121" w:lineRule="exact"/>
        <w:rPr>
          <w:sz w:val="20"/>
          <w:szCs w:val="20"/>
          <w:color w:val="auto"/>
        </w:rPr>
      </w:pPr>
    </w:p>
    <w:p>
      <w:pPr>
        <w:ind w:right="59"/>
        <w:spacing w:after="0" w:line="212" w:lineRule="auto"/>
        <w:rPr>
          <w:sz w:val="20"/>
          <w:szCs w:val="20"/>
          <w:color w:val="auto"/>
        </w:rPr>
      </w:pPr>
      <w:r>
        <w:rPr>
          <w:rFonts w:ascii="Arial" w:cs="Arial" w:eastAsia="Arial" w:hAnsi="Arial"/>
          <w:sz w:val="18"/>
          <w:szCs w:val="18"/>
          <w:color w:val="auto"/>
        </w:rPr>
        <w:t xml:space="preserve">A reconciliation to what management believes to be the most direct compared GAAP financial measures, specifically net income in the case of adjusted net income and adjusted return on average assets, total net interest income, total non-interest income and total non-interest expense in the case of adjusted efficiency ratio and total stockholders’ equity in the case of the tangible book value per share, appears below </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 The Company believes each of the adjusted measures is useful for investors and management to understand the effects of certain non-recurring non-interest items and provides additional perspective on the Company’s performance over time as well as comparison to the Company’s peers.</w:t>
      </w:r>
    </w:p>
    <w:p>
      <w:pPr>
        <w:spacing w:after="0" w:line="125" w:lineRule="exact"/>
        <w:rPr>
          <w:sz w:val="20"/>
          <w:szCs w:val="20"/>
          <w:color w:val="auto"/>
        </w:rPr>
      </w:pPr>
    </w:p>
    <w:p>
      <w:pPr>
        <w:ind w:right="59"/>
        <w:spacing w:after="0" w:line="219" w:lineRule="auto"/>
        <w:rPr>
          <w:sz w:val="20"/>
          <w:szCs w:val="20"/>
          <w:color w:val="auto"/>
        </w:rPr>
      </w:pPr>
      <w:r>
        <w:rPr>
          <w:rFonts w:ascii="Arial" w:cs="Arial" w:eastAsia="Arial" w:hAnsi="Arial"/>
          <w:sz w:val="18"/>
          <w:szCs w:val="18"/>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Net Income and Return on Average Assets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8"/>
                <w:szCs w:val="18"/>
                <w:color w:val="auto"/>
              </w:rPr>
            </w:pPr>
          </w:p>
        </w:tc>
      </w:tr>
      <w:tr>
        <w:trPr>
          <w:trHeight w:val="360"/>
        </w:trPr>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gridSpan w:val="5"/>
          </w:tcPr>
          <w:p>
            <w:pPr>
              <w:ind w:left="1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201"/>
        </w:trPr>
        <w:tc>
          <w:tcPr>
            <w:tcW w:w="15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7"/>
                <w:szCs w:val="17"/>
                <w:color w:val="auto"/>
              </w:rPr>
            </w:pPr>
          </w:p>
        </w:tc>
      </w:tr>
      <w:tr>
        <w:trPr>
          <w:trHeight w:val="223"/>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26,859</w:t>
            </w:r>
          </w:p>
        </w:tc>
        <w:tc>
          <w:tcPr>
            <w:tcW w:w="14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24,862</w:t>
            </w: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18,784</w:t>
            </w: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73,638</w:t>
            </w: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50,433</w:t>
            </w:r>
          </w:p>
        </w:tc>
        <w:tc>
          <w:tcPr>
            <w:tcW w:w="160" w:type="dxa"/>
            <w:vAlign w:val="bottom"/>
            <w:shd w:val="clear" w:color="auto" w:fill="CCEEFF"/>
          </w:tcPr>
          <w:p>
            <w:pPr>
              <w:spacing w:after="0"/>
              <w:rPr>
                <w:sz w:val="19"/>
                <w:szCs w:val="19"/>
                <w:color w:val="auto"/>
              </w:rPr>
            </w:pPr>
          </w:p>
        </w:tc>
      </w:tr>
      <w:tr>
        <w:trPr>
          <w:trHeight w:val="257"/>
        </w:trPr>
        <w:tc>
          <w:tcPr>
            <w:tcW w:w="3380" w:type="dxa"/>
            <w:vAlign w:val="bottom"/>
            <w:gridSpan w:val="3"/>
          </w:tcPr>
          <w:p>
            <w:pPr>
              <w:spacing w:after="0"/>
              <w:rPr>
                <w:sz w:val="20"/>
                <w:szCs w:val="20"/>
                <w:color w:val="auto"/>
              </w:rPr>
            </w:pPr>
            <w:r>
              <w:rPr>
                <w:rFonts w:ascii="Arial" w:cs="Arial" w:eastAsia="Arial" w:hAnsi="Arial"/>
                <w:sz w:val="18"/>
                <w:szCs w:val="18"/>
                <w:color w:val="auto"/>
              </w:rPr>
              <w:t>Acquisition expenses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3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Salaries, wages, and employee benefits</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1,233</w:t>
            </w:r>
          </w:p>
        </w:tc>
        <w:tc>
          <w:tcPr>
            <w:tcW w:w="22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22"/>
                <w:szCs w:val="22"/>
                <w:color w:val="auto"/>
              </w:rPr>
            </w:pPr>
          </w:p>
        </w:tc>
      </w:tr>
      <w:tr>
        <w:trPr>
          <w:trHeight w:val="257"/>
        </w:trPr>
        <w:tc>
          <w:tcPr>
            <w:tcW w:w="3380" w:type="dxa"/>
            <w:vAlign w:val="bottom"/>
            <w:gridSpan w:val="3"/>
          </w:tcPr>
          <w:p>
            <w:pPr>
              <w:ind w:left="120"/>
              <w:spacing w:after="0"/>
              <w:rPr>
                <w:sz w:val="20"/>
                <w:szCs w:val="20"/>
                <w:color w:val="auto"/>
              </w:rPr>
            </w:pPr>
            <w:r>
              <w:rPr>
                <w:rFonts w:ascii="Arial" w:cs="Arial" w:eastAsia="Arial" w:hAnsi="Arial"/>
                <w:sz w:val="18"/>
                <w:szCs w:val="18"/>
                <w:color w:val="auto"/>
              </w:rPr>
              <w:t>Data processing</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1,348</w:t>
            </w:r>
          </w:p>
        </w:tc>
        <w:tc>
          <w:tcPr>
            <w:tcW w:w="160" w:type="dxa"/>
            <w:vAlign w:val="bottom"/>
          </w:tcPr>
          <w:p>
            <w:pPr>
              <w:spacing w:after="0"/>
              <w:rPr>
                <w:sz w:val="22"/>
                <w:szCs w:val="22"/>
                <w:color w:val="auto"/>
              </w:rPr>
            </w:pPr>
          </w:p>
        </w:tc>
      </w:tr>
      <w:tr>
        <w:trPr>
          <w:trHeight w:val="257"/>
        </w:trPr>
        <w:tc>
          <w:tcPr>
            <w:tcW w:w="3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(includes professional and legal)</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2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2,224</w:t>
            </w:r>
          </w:p>
        </w:tc>
        <w:tc>
          <w:tcPr>
            <w:tcW w:w="22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60" w:type="dxa"/>
            <w:vAlign w:val="bottom"/>
            <w:shd w:val="clear" w:color="auto" w:fill="CCEEFF"/>
          </w:tcPr>
          <w:p>
            <w:pPr>
              <w:spacing w:after="0"/>
              <w:rPr>
                <w:sz w:val="22"/>
                <w:szCs w:val="22"/>
                <w:color w:val="auto"/>
              </w:rPr>
            </w:pPr>
          </w:p>
        </w:tc>
      </w:tr>
      <w:tr>
        <w:trPr>
          <w:trHeight w:val="257"/>
        </w:trPr>
        <w:tc>
          <w:tcPr>
            <w:tcW w:w="3380" w:type="dxa"/>
            <w:vAlign w:val="bottom"/>
            <w:gridSpan w:val="3"/>
          </w:tcPr>
          <w:p>
            <w:pPr>
              <w:spacing w:after="0"/>
              <w:rPr>
                <w:sz w:val="20"/>
                <w:szCs w:val="20"/>
                <w:color w:val="auto"/>
              </w:rPr>
            </w:pPr>
            <w:r>
              <w:rPr>
                <w:rFonts w:ascii="Arial" w:cs="Arial" w:eastAsia="Arial" w:hAnsi="Arial"/>
                <w:sz w:val="18"/>
                <w:szCs w:val="18"/>
                <w:color w:val="auto"/>
              </w:rPr>
              <w:t>Other restructuring costs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3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Salaries, wages, and employee benefits</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c>
          <w:tcPr>
            <w:tcW w:w="22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22"/>
                <w:szCs w:val="22"/>
                <w:color w:val="auto"/>
              </w:rPr>
            </w:pPr>
          </w:p>
        </w:tc>
      </w:tr>
      <w:tr>
        <w:trPr>
          <w:trHeight w:val="257"/>
        </w:trPr>
        <w:tc>
          <w:tcPr>
            <w:tcW w:w="3380" w:type="dxa"/>
            <w:vAlign w:val="bottom"/>
            <w:gridSpan w:val="3"/>
          </w:tcPr>
          <w:p>
            <w:pPr>
              <w:ind w:left="120"/>
              <w:spacing w:after="0"/>
              <w:rPr>
                <w:sz w:val="20"/>
                <w:szCs w:val="20"/>
                <w:color w:val="auto"/>
              </w:rPr>
            </w:pPr>
            <w:r>
              <w:rPr>
                <w:rFonts w:ascii="Arial" w:cs="Arial" w:eastAsia="Arial" w:hAnsi="Arial"/>
                <w:sz w:val="18"/>
                <w:szCs w:val="18"/>
                <w:color w:val="auto"/>
              </w:rPr>
              <w:t>Fixed asset impairments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817</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817</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57"/>
        </w:trPr>
        <w:tc>
          <w:tcPr>
            <w:tcW w:w="3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2"/>
                <w:szCs w:val="22"/>
                <w:color w:val="auto"/>
              </w:rPr>
            </w:pPr>
          </w:p>
        </w:tc>
      </w:tr>
      <w:tr>
        <w:trPr>
          <w:trHeight w:val="257"/>
        </w:trPr>
        <w:tc>
          <w:tcPr>
            <w:tcW w:w="3380" w:type="dxa"/>
            <w:vAlign w:val="bottom"/>
            <w:gridSpan w:val="3"/>
          </w:tcPr>
          <w:p>
            <w:pPr>
              <w:spacing w:after="0"/>
              <w:rPr>
                <w:sz w:val="20"/>
                <w:szCs w:val="20"/>
                <w:color w:val="auto"/>
              </w:rPr>
            </w:pPr>
            <w:r>
              <w:rPr>
                <w:rFonts w:ascii="Arial" w:cs="Arial" w:eastAsia="Arial" w:hAnsi="Arial"/>
                <w:sz w:val="18"/>
                <w:szCs w:val="18"/>
                <w:color w:val="auto"/>
              </w:rPr>
              <w:t>Related tax benefit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3"/>
          </w:tcPr>
          <w:p>
            <w:pPr>
              <w:jc w:val="right"/>
              <w:ind w:right="68"/>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2"/>
                <w:szCs w:val="2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(1,195)</w:t>
            </w:r>
          </w:p>
        </w:tc>
        <w:tc>
          <w:tcPr>
            <w:tcW w:w="180" w:type="dxa"/>
            <w:vAlign w:val="bottom"/>
          </w:tcPr>
          <w:p>
            <w:pPr>
              <w:spacing w:after="0"/>
              <w:rPr>
                <w:sz w:val="22"/>
                <w:szCs w:val="22"/>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(1,217)</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(1,681)</w:t>
            </w:r>
          </w:p>
        </w:tc>
        <w:tc>
          <w:tcPr>
            <w:tcW w:w="160" w:type="dxa"/>
            <w:vAlign w:val="bottom"/>
          </w:tcPr>
          <w:p>
            <w:pPr>
              <w:spacing w:after="0"/>
              <w:rPr>
                <w:sz w:val="22"/>
                <w:szCs w:val="22"/>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0"/>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27,006</w:t>
            </w:r>
          </w:p>
        </w:tc>
        <w:tc>
          <w:tcPr>
            <w:tcW w:w="14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25,590</w:t>
            </w: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20,648</w:t>
            </w: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77,518</w:t>
            </w: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53,129</w:t>
            </w:r>
          </w:p>
        </w:tc>
        <w:tc>
          <w:tcPr>
            <w:tcW w:w="160" w:type="dxa"/>
            <w:vAlign w:val="bottom"/>
            <w:shd w:val="clear" w:color="auto" w:fill="CCEEFF"/>
          </w:tcPr>
          <w:p>
            <w:pPr>
              <w:spacing w:after="0"/>
              <w:rPr>
                <w:sz w:val="20"/>
                <w:szCs w:val="20"/>
                <w:color w:val="auto"/>
              </w:rPr>
            </w:pPr>
          </w:p>
        </w:tc>
      </w:tr>
      <w:tr>
        <w:trPr>
          <w:trHeight w:val="230"/>
        </w:trPr>
        <w:tc>
          <w:tcPr>
            <w:tcW w:w="15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338"/>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$ 7,802,308</w:t>
            </w:r>
          </w:p>
        </w:tc>
        <w:tc>
          <w:tcPr>
            <w:tcW w:w="140" w:type="dxa"/>
            <w:vAlign w:val="bottom"/>
            <w:shd w:val="clear" w:color="auto" w:fill="CCEEFF"/>
          </w:tcPr>
          <w:p>
            <w:pPr>
              <w:spacing w:after="0"/>
              <w:rPr>
                <w:sz w:val="24"/>
                <w:szCs w:val="24"/>
                <w:color w:val="auto"/>
              </w:rPr>
            </w:pP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$ 7,653,541</w:t>
            </w:r>
          </w:p>
        </w:tc>
        <w:tc>
          <w:tcPr>
            <w:tcW w:w="20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$ 6,861,377</w:t>
            </w:r>
          </w:p>
        </w:tc>
        <w:tc>
          <w:tcPr>
            <w:tcW w:w="20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$ 7,707,090</w:t>
            </w:r>
          </w:p>
        </w:tc>
        <w:tc>
          <w:tcPr>
            <w:tcW w:w="22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$ 5,843,233</w:t>
            </w:r>
          </w:p>
        </w:tc>
        <w:tc>
          <w:tcPr>
            <w:tcW w:w="160" w:type="dxa"/>
            <w:vAlign w:val="bottom"/>
            <w:shd w:val="clear" w:color="auto" w:fill="CCEEFF"/>
          </w:tcPr>
          <w:p>
            <w:pPr>
              <w:spacing w:after="0"/>
              <w:rPr>
                <w:sz w:val="24"/>
                <w:szCs w:val="24"/>
                <w:color w:val="auto"/>
              </w:rPr>
            </w:pPr>
          </w:p>
        </w:tc>
      </w:tr>
      <w:tr>
        <w:trPr>
          <w:trHeight w:val="257"/>
        </w:trPr>
        <w:tc>
          <w:tcPr>
            <w:tcW w:w="1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Return on average assets(1)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60" w:type="dxa"/>
            <w:vAlign w:val="bottom"/>
            <w:tcBorders>
              <w:lef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1.30 %</w:t>
            </w:r>
          </w:p>
        </w:tc>
        <w:tc>
          <w:tcPr>
            <w:tcW w:w="1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1.09 %</w:t>
            </w: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1.28 %</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1.15 %</w:t>
            </w:r>
          </w:p>
        </w:tc>
      </w:tr>
      <w:tr>
        <w:trPr>
          <w:trHeight w:val="270"/>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Return on average assets(1)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1.37 %</w:t>
            </w:r>
          </w:p>
        </w:tc>
        <w:tc>
          <w:tcPr>
            <w:tcW w:w="16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1.34 %</w:t>
            </w:r>
          </w:p>
        </w:tc>
        <w:tc>
          <w:tcPr>
            <w:tcW w:w="18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1.19 %</w:t>
            </w:r>
          </w:p>
        </w:tc>
        <w:tc>
          <w:tcPr>
            <w:tcW w:w="180" w:type="dxa"/>
            <w:vAlign w:val="bottom"/>
          </w:tcPr>
          <w:p>
            <w:pPr>
              <w:spacing w:after="0"/>
              <w:rPr>
                <w:sz w:val="23"/>
                <w:szCs w:val="23"/>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1.34 %</w:t>
            </w:r>
          </w:p>
        </w:tc>
        <w:tc>
          <w:tcPr>
            <w:tcW w:w="180" w:type="dxa"/>
            <w:vAlign w:val="bottom"/>
          </w:tcPr>
          <w:p>
            <w:pPr>
              <w:spacing w:after="0"/>
              <w:rPr>
                <w:sz w:val="23"/>
                <w:szCs w:val="2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1.22 %</w:t>
            </w:r>
          </w:p>
        </w:tc>
      </w:tr>
      <w:tr>
        <w:trPr>
          <w:trHeight w:val="95"/>
        </w:trPr>
        <w:tc>
          <w:tcPr>
            <w:tcW w:w="15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304"/>
        </w:trPr>
        <w:tc>
          <w:tcPr>
            <w:tcW w:w="3380" w:type="dxa"/>
            <w:vAlign w:val="bottom"/>
            <w:gridSpan w:val="3"/>
          </w:tcPr>
          <w:p>
            <w:pPr>
              <w:spacing w:after="0"/>
              <w:rPr>
                <w:sz w:val="20"/>
                <w:szCs w:val="20"/>
                <w:color w:val="auto"/>
              </w:rPr>
            </w:pPr>
            <w:r>
              <w:rPr>
                <w:rFonts w:ascii="Arial" w:cs="Arial" w:eastAsia="Arial" w:hAnsi="Arial"/>
                <w:sz w:val="18"/>
                <w:szCs w:val="18"/>
                <w:color w:val="auto"/>
              </w:rPr>
              <w:t>(1) Annualized measure.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1"/>
        </w:trPr>
        <w:tc>
          <w:tcPr>
            <w:tcW w:w="1540" w:type="dxa"/>
            <w:vAlign w:val="bottom"/>
          </w:tcPr>
          <w:p>
            <w:pPr>
              <w:spacing w:after="0"/>
              <w:rPr>
                <w:sz w:val="24"/>
                <w:szCs w:val="24"/>
                <w:color w:val="auto"/>
              </w:rPr>
            </w:pPr>
          </w:p>
        </w:tc>
        <w:tc>
          <w:tcPr>
            <w:tcW w:w="6440" w:type="dxa"/>
            <w:vAlign w:val="bottom"/>
            <w:gridSpan w:val="18"/>
          </w:tcPr>
          <w:p>
            <w:pPr>
              <w:jc w:val="right"/>
              <w:ind w:right="460"/>
              <w:spacing w:after="0"/>
              <w:rPr>
                <w:sz w:val="20"/>
                <w:szCs w:val="20"/>
                <w:color w:val="auto"/>
              </w:rPr>
            </w:pPr>
            <w:r>
              <w:rPr>
                <w:rFonts w:ascii="Arial" w:cs="Arial" w:eastAsia="Arial" w:hAnsi="Arial"/>
                <w:sz w:val="18"/>
                <w:szCs w:val="18"/>
                <w:color w:val="auto"/>
                <w:w w:val="92"/>
              </w:rPr>
              <w:t>Reconciliation of Non-GAAP Financial Measures — Adjusted Net Interest Margin</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gridSpan w:val="6"/>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r>
      <w:tr>
        <w:trPr>
          <w:trHeight w:val="331"/>
        </w:trPr>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1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6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June 30,</w:t>
            </w:r>
          </w:p>
        </w:tc>
        <w:tc>
          <w:tcPr>
            <w:tcW w:w="9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0" w:type="dxa"/>
            <w:vAlign w:val="bottom"/>
          </w:tcPr>
          <w:p>
            <w:pPr>
              <w:spacing w:after="0"/>
              <w:rPr>
                <w:sz w:val="10"/>
                <w:szCs w:val="10"/>
                <w:color w:val="auto"/>
              </w:rPr>
            </w:pPr>
          </w:p>
        </w:tc>
        <w:tc>
          <w:tcPr>
            <w:tcW w:w="114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9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60" w:type="dxa"/>
            <w:vAlign w:val="bottom"/>
          </w:tcPr>
          <w:p>
            <w:pPr>
              <w:spacing w:after="0"/>
              <w:rPr>
                <w:sz w:val="10"/>
                <w:szCs w:val="10"/>
                <w:color w:val="auto"/>
              </w:rPr>
            </w:pPr>
          </w:p>
        </w:tc>
      </w:tr>
      <w:tr>
        <w:trPr>
          <w:trHeight w:val="171"/>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83"/>
        </w:trPr>
        <w:tc>
          <w:tcPr>
            <w:tcW w:w="1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9"/>
        </w:trPr>
        <w:tc>
          <w:tcPr>
            <w:tcW w:w="33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income</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60,774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60,372</w:t>
            </w:r>
          </w:p>
        </w:tc>
        <w:tc>
          <w:tcPr>
            <w:tcW w:w="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55,941</w:t>
            </w: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8"/>
              </w:rPr>
              <w:t>180,903</w:t>
            </w: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140,320</w:t>
            </w:r>
          </w:p>
        </w:tc>
        <w:tc>
          <w:tcPr>
            <w:tcW w:w="160" w:type="dxa"/>
            <w:vAlign w:val="bottom"/>
            <w:shd w:val="clear" w:color="auto" w:fill="CCEEFF"/>
          </w:tcPr>
          <w:p>
            <w:pPr>
              <w:spacing w:after="0"/>
              <w:rPr>
                <w:sz w:val="16"/>
                <w:szCs w:val="16"/>
                <w:color w:val="auto"/>
              </w:rPr>
            </w:pPr>
          </w:p>
        </w:tc>
      </w:tr>
      <w:tr>
        <w:trPr>
          <w:trHeight w:val="189"/>
        </w:trPr>
        <w:tc>
          <w:tcPr>
            <w:tcW w:w="338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Tax-equivalency adjustment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574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561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989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1,713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2,465</w:t>
            </w:r>
          </w:p>
        </w:tc>
        <w:tc>
          <w:tcPr>
            <w:tcW w:w="160" w:type="dxa"/>
            <w:vAlign w:val="bottom"/>
          </w:tcPr>
          <w:p>
            <w:pPr>
              <w:spacing w:after="0"/>
              <w:rPr>
                <w:sz w:val="16"/>
                <w:szCs w:val="16"/>
                <w:color w:val="auto"/>
              </w:rPr>
            </w:pPr>
          </w:p>
        </w:tc>
      </w:tr>
      <w:tr>
        <w:trPr>
          <w:trHeight w:val="189"/>
        </w:trPr>
        <w:tc>
          <w:tcPr>
            <w:tcW w:w="338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8"/>
                <w:szCs w:val="18"/>
                <w:color w:val="auto"/>
              </w:rPr>
              <w:t>Less: Purchase accounting amortization</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
              <w:spacing w:after="0" w:line="189" w:lineRule="exact"/>
              <w:rPr>
                <w:sz w:val="20"/>
                <w:szCs w:val="20"/>
                <w:color w:val="auto"/>
              </w:rPr>
            </w:pPr>
            <w:r>
              <w:rPr>
                <w:rFonts w:ascii="Arial" w:cs="Arial" w:eastAsia="Arial" w:hAnsi="Arial"/>
                <w:sz w:val="18"/>
                <w:szCs w:val="18"/>
                <w:color w:val="auto"/>
              </w:rPr>
              <w:t>(2,273)</w:t>
            </w:r>
          </w:p>
        </w:tc>
        <w:tc>
          <w:tcPr>
            <w:tcW w:w="1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(3,015)</w:t>
            </w:r>
          </w:p>
        </w:tc>
        <w:tc>
          <w:tcPr>
            <w:tcW w:w="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(3,124)</w:t>
            </w: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(8,698)</w:t>
            </w: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(6,610)</w:t>
            </w:r>
          </w:p>
        </w:tc>
      </w:tr>
      <w:tr>
        <w:trPr>
          <w:trHeight w:val="190"/>
        </w:trPr>
        <w:tc>
          <w:tcPr>
            <w:tcW w:w="3380" w:type="dxa"/>
            <w:vAlign w:val="bottom"/>
            <w:tcBorders>
              <w:bottom w:val="single" w:sz="8" w:color="CCEEFF"/>
            </w:tcBorders>
            <w:gridSpan w:val="3"/>
          </w:tcPr>
          <w:p>
            <w:pPr>
              <w:spacing w:after="0" w:line="182" w:lineRule="exact"/>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interest income</w:t>
            </w:r>
          </w:p>
        </w:tc>
        <w:tc>
          <w:tcPr>
            <w:tcW w:w="1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59,075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57,918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53,806</w:t>
            </w:r>
          </w:p>
        </w:tc>
        <w:tc>
          <w:tcPr>
            <w:tcW w:w="2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ind w:right="80"/>
              <w:spacing w:after="0" w:line="182" w:lineRule="exact"/>
              <w:rPr>
                <w:sz w:val="20"/>
                <w:szCs w:val="20"/>
                <w:color w:val="auto"/>
              </w:rPr>
            </w:pPr>
            <w:r>
              <w:rPr>
                <w:rFonts w:ascii="Arial" w:cs="Arial" w:eastAsia="Arial" w:hAnsi="Arial"/>
                <w:sz w:val="18"/>
                <w:szCs w:val="18"/>
                <w:color w:val="auto"/>
                <w:w w:val="98"/>
              </w:rPr>
              <w:t>173,918</w:t>
            </w:r>
          </w:p>
        </w:tc>
        <w:tc>
          <w:tcPr>
            <w:tcW w:w="2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136,175</w:t>
            </w:r>
          </w:p>
        </w:tc>
        <w:tc>
          <w:tcPr>
            <w:tcW w:w="160" w:type="dxa"/>
            <w:vAlign w:val="bottom"/>
            <w:tcBorders>
              <w:bottom w:val="single" w:sz="8" w:color="CCEEFF"/>
            </w:tcBorders>
          </w:tcPr>
          <w:p>
            <w:pPr>
              <w:spacing w:after="0"/>
              <w:rPr>
                <w:sz w:val="16"/>
                <w:szCs w:val="16"/>
                <w:color w:val="auto"/>
              </w:rPr>
            </w:pPr>
          </w:p>
        </w:tc>
      </w:tr>
      <w:tr>
        <w:trPr>
          <w:trHeight w:val="189"/>
        </w:trPr>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9"/>
        </w:trPr>
        <w:tc>
          <w:tcPr>
            <w:tcW w:w="33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Average interest-earning assets</w:t>
            </w:r>
          </w:p>
        </w:tc>
        <w:tc>
          <w:tcPr>
            <w:tcW w:w="920" w:type="dxa"/>
            <w:vAlign w:val="bottom"/>
            <w:gridSpan w:val="3"/>
          </w:tcPr>
          <w:p>
            <w:pPr>
              <w:jc w:val="right"/>
              <w:spacing w:after="0" w:line="189" w:lineRule="exact"/>
              <w:rPr>
                <w:sz w:val="20"/>
                <w:szCs w:val="20"/>
                <w:color w:val="auto"/>
              </w:rPr>
            </w:pPr>
            <w:r>
              <w:rPr>
                <w:rFonts w:ascii="Arial" w:cs="Arial" w:eastAsia="Arial" w:hAnsi="Arial"/>
                <w:sz w:val="18"/>
                <w:szCs w:val="18"/>
                <w:color w:val="auto"/>
                <w:w w:val="88"/>
              </w:rPr>
              <w:t>$ 7,132,324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88"/>
              </w:rPr>
              <w:t>$ 6,984,486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86"/>
              </w:rPr>
              <w:t>$ 6,282,725</w:t>
            </w:r>
          </w:p>
        </w:tc>
        <w:tc>
          <w:tcPr>
            <w:tcW w:w="200" w:type="dxa"/>
            <w:vAlign w:val="bottom"/>
          </w:tcPr>
          <w:p>
            <w:pPr>
              <w:spacing w:after="0"/>
              <w:rPr>
                <w:sz w:val="16"/>
                <w:szCs w:val="16"/>
                <w:color w:val="auto"/>
              </w:rPr>
            </w:pP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w w:val="86"/>
              </w:rPr>
              <w:t>$ 7,031,636</w:t>
            </w:r>
          </w:p>
        </w:tc>
        <w:tc>
          <w:tcPr>
            <w:tcW w:w="220" w:type="dxa"/>
            <w:vAlign w:val="bottom"/>
          </w:tcPr>
          <w:p>
            <w:pPr>
              <w:spacing w:after="0"/>
              <w:rPr>
                <w:sz w:val="16"/>
                <w:szCs w:val="16"/>
                <w:color w:val="auto"/>
              </w:rPr>
            </w:pPr>
          </w:p>
        </w:tc>
        <w:tc>
          <w:tcPr>
            <w:tcW w:w="9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88"/>
              </w:rPr>
              <w:t>$ 5,397,421</w:t>
            </w:r>
          </w:p>
        </w:tc>
        <w:tc>
          <w:tcPr>
            <w:tcW w:w="160" w:type="dxa"/>
            <w:vAlign w:val="bottom"/>
          </w:tcPr>
          <w:p>
            <w:pPr>
              <w:spacing w:after="0"/>
              <w:rPr>
                <w:sz w:val="16"/>
                <w:szCs w:val="16"/>
                <w:color w:val="auto"/>
              </w:rPr>
            </w:pPr>
          </w:p>
        </w:tc>
      </w:tr>
      <w:tr>
        <w:trPr>
          <w:trHeight w:val="189"/>
        </w:trPr>
        <w:tc>
          <w:tcPr>
            <w:tcW w:w="154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tcBorders>
              <w:right w:val="single" w:sz="8" w:color="CCEEFF"/>
            </w:tcBorders>
            <w:gridSpan w:val="2"/>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9"/>
        </w:trPr>
        <w:tc>
          <w:tcPr>
            <w:tcW w:w="33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margin(1)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28"/>
              <w:spacing w:after="0" w:line="189" w:lineRule="exact"/>
              <w:rPr>
                <w:sz w:val="20"/>
                <w:szCs w:val="20"/>
                <w:color w:val="auto"/>
              </w:rPr>
            </w:pPr>
            <w:r>
              <w:rPr>
                <w:rFonts w:ascii="Arial" w:cs="Arial" w:eastAsia="Arial" w:hAnsi="Arial"/>
                <w:sz w:val="18"/>
                <w:szCs w:val="18"/>
                <w:color w:val="auto"/>
              </w:rPr>
              <w:t>3.41 %</w:t>
            </w:r>
          </w:p>
        </w:tc>
        <w:tc>
          <w:tcPr>
            <w:tcW w:w="160" w:type="dxa"/>
            <w:vAlign w:val="bottom"/>
          </w:tcPr>
          <w:p>
            <w:pPr>
              <w:spacing w:after="0"/>
              <w:rPr>
                <w:sz w:val="16"/>
                <w:szCs w:val="16"/>
                <w:color w:val="auto"/>
              </w:rPr>
            </w:pPr>
          </w:p>
        </w:tc>
        <w:tc>
          <w:tcPr>
            <w:tcW w:w="102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3.50 %</w:t>
            </w: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3.60 %</w:t>
            </w:r>
          </w:p>
        </w:tc>
        <w:tc>
          <w:tcPr>
            <w:tcW w:w="180" w:type="dxa"/>
            <w:vAlign w:val="bottom"/>
          </w:tcPr>
          <w:p>
            <w:pPr>
              <w:spacing w:after="0"/>
              <w:rPr>
                <w:sz w:val="16"/>
                <w:szCs w:val="16"/>
                <w:color w:val="auto"/>
              </w:rPr>
            </w:pPr>
          </w:p>
        </w:tc>
        <w:tc>
          <w:tcPr>
            <w:tcW w:w="96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3.47 %</w:t>
            </w:r>
          </w:p>
        </w:tc>
        <w:tc>
          <w:tcPr>
            <w:tcW w:w="180" w:type="dxa"/>
            <w:vAlign w:val="bottom"/>
          </w:tcPr>
          <w:p>
            <w:pPr>
              <w:spacing w:after="0"/>
              <w:rPr>
                <w:sz w:val="16"/>
                <w:szCs w:val="16"/>
                <w:color w:val="auto"/>
              </w:rPr>
            </w:pP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3.54 %</w:t>
            </w:r>
          </w:p>
        </w:tc>
      </w:tr>
      <w:tr>
        <w:trPr>
          <w:trHeight w:val="189"/>
        </w:trPr>
        <w:tc>
          <w:tcPr>
            <w:tcW w:w="33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Interest margin(1)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8"/>
              <w:spacing w:after="0" w:line="189" w:lineRule="exact"/>
              <w:rPr>
                <w:sz w:val="20"/>
                <w:szCs w:val="20"/>
                <w:color w:val="auto"/>
              </w:rPr>
            </w:pPr>
            <w:r>
              <w:rPr>
                <w:rFonts w:ascii="Arial" w:cs="Arial" w:eastAsia="Arial" w:hAnsi="Arial"/>
                <w:sz w:val="18"/>
                <w:szCs w:val="18"/>
                <w:color w:val="auto"/>
              </w:rPr>
              <w:t>3.29 %</w:t>
            </w:r>
          </w:p>
        </w:tc>
        <w:tc>
          <w:tcPr>
            <w:tcW w:w="160" w:type="dxa"/>
            <w:vAlign w:val="bottom"/>
            <w:tcBorders>
              <w:left w:val="single" w:sz="8" w:color="CCEEFF"/>
            </w:tcBorders>
            <w:shd w:val="clear" w:color="auto" w:fill="CCEEFF"/>
          </w:tcPr>
          <w:p>
            <w:pPr>
              <w:spacing w:after="0"/>
              <w:rPr>
                <w:sz w:val="16"/>
                <w:szCs w:val="16"/>
                <w:color w:val="auto"/>
              </w:rPr>
            </w:pPr>
          </w:p>
        </w:tc>
        <w:tc>
          <w:tcPr>
            <w:tcW w:w="1020" w:type="dxa"/>
            <w:vAlign w:val="bottom"/>
            <w:tcBorders>
              <w:right w:val="single" w:sz="8" w:color="CCEEFF"/>
            </w:tcBorders>
            <w:gridSpan w:val="3"/>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3.33 %</w:t>
            </w:r>
          </w:p>
        </w:tc>
        <w:tc>
          <w:tcPr>
            <w:tcW w:w="1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3.40 %</w:t>
            </w:r>
          </w:p>
        </w:tc>
        <w:tc>
          <w:tcPr>
            <w:tcW w:w="1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3"/>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3.31 %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3.37 %</w:t>
            </w:r>
          </w:p>
        </w:tc>
      </w:tr>
      <w:tr>
        <w:trPr>
          <w:trHeight w:val="115"/>
        </w:trPr>
        <w:tc>
          <w:tcPr>
            <w:tcW w:w="15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Annualized measure.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Efficiency Ratio</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29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360" w:type="dxa"/>
            <w:vAlign w:val="bottom"/>
          </w:tcPr>
          <w:p>
            <w:pPr>
              <w:spacing w:after="0"/>
              <w:rPr>
                <w:sz w:val="10"/>
                <w:szCs w:val="10"/>
                <w:color w:val="auto"/>
              </w:rPr>
            </w:pPr>
          </w:p>
        </w:tc>
      </w:tr>
      <w:tr>
        <w:trPr>
          <w:trHeight w:val="171"/>
        </w:trPr>
        <w:tc>
          <w:tcPr>
            <w:tcW w:w="2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r>
      <w:tr>
        <w:trPr>
          <w:trHeight w:val="183"/>
        </w:trPr>
        <w:tc>
          <w:tcPr>
            <w:tcW w:w="29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income</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60,774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60,372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55,941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180,903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140,320</w:t>
            </w:r>
          </w:p>
        </w:tc>
        <w:tc>
          <w:tcPr>
            <w:tcW w:w="360" w:type="dxa"/>
            <w:vAlign w:val="bottom"/>
            <w:shd w:val="clear" w:color="auto" w:fill="CCEEFF"/>
          </w:tcPr>
          <w:p>
            <w:pPr>
              <w:spacing w:after="0"/>
              <w:rPr>
                <w:sz w:val="15"/>
                <w:szCs w:val="15"/>
                <w:color w:val="auto"/>
              </w:rPr>
            </w:pPr>
          </w:p>
        </w:tc>
      </w:tr>
      <w:tr>
        <w:trPr>
          <w:trHeight w:val="189"/>
        </w:trPr>
        <w:tc>
          <w:tcPr>
            <w:tcW w:w="29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Tax-equivalency adjustment</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574</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561</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989</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1,713</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2,465</w:t>
            </w:r>
          </w:p>
        </w:tc>
        <w:tc>
          <w:tcPr>
            <w:tcW w:w="360" w:type="dxa"/>
            <w:vAlign w:val="bottom"/>
            <w:tcBorders>
              <w:bottom w:val="single" w:sz="8" w:color="CCEEFF"/>
            </w:tcBorders>
          </w:tcPr>
          <w:p>
            <w:pPr>
              <w:spacing w:after="0"/>
              <w:rPr>
                <w:sz w:val="16"/>
                <w:szCs w:val="16"/>
                <w:color w:val="auto"/>
              </w:rPr>
            </w:pPr>
          </w:p>
        </w:tc>
      </w:tr>
      <w:tr>
        <w:trPr>
          <w:trHeight w:val="190"/>
        </w:trPr>
        <w:tc>
          <w:tcPr>
            <w:tcW w:w="29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Tax equivalent interest income</w:t>
            </w: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61,348</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60,933</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56,930</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182,616</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142,785</w:t>
            </w:r>
          </w:p>
        </w:tc>
        <w:tc>
          <w:tcPr>
            <w:tcW w:w="360" w:type="dxa"/>
            <w:vAlign w:val="bottom"/>
            <w:tcBorders>
              <w:bottom w:val="single" w:sz="8" w:color="CCEEFF"/>
            </w:tcBorders>
            <w:shd w:val="clear" w:color="auto" w:fill="CCEEFF"/>
          </w:tcPr>
          <w:p>
            <w:pPr>
              <w:spacing w:after="0"/>
              <w:rPr>
                <w:sz w:val="16"/>
                <w:szCs w:val="16"/>
                <w:color w:val="auto"/>
              </w:rPr>
            </w:pPr>
          </w:p>
        </w:tc>
      </w:tr>
      <w:tr>
        <w:trPr>
          <w:trHeight w:val="189"/>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9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Non-interest income</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21,853</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22,802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20,837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67,141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60,913</w:t>
            </w:r>
          </w:p>
        </w:tc>
        <w:tc>
          <w:tcPr>
            <w:tcW w:w="360" w:type="dxa"/>
            <w:vAlign w:val="bottom"/>
            <w:shd w:val="clear" w:color="auto" w:fill="CCEEFF"/>
          </w:tcPr>
          <w:p>
            <w:pPr>
              <w:spacing w:after="0"/>
              <w:rPr>
                <w:sz w:val="16"/>
                <w:szCs w:val="16"/>
                <w:color w:val="auto"/>
              </w:rPr>
            </w:pPr>
          </w:p>
        </w:tc>
      </w:tr>
      <w:tr>
        <w:trPr>
          <w:trHeight w:val="189"/>
        </w:trPr>
        <w:tc>
          <w:tcPr>
            <w:tcW w:w="2980" w:type="dxa"/>
            <w:vAlign w:val="bottom"/>
          </w:tcPr>
          <w:p>
            <w:pPr>
              <w:ind w:left="120"/>
              <w:spacing w:after="0" w:line="189" w:lineRule="exact"/>
              <w:rPr>
                <w:sz w:val="20"/>
                <w:szCs w:val="20"/>
                <w:color w:val="auto"/>
              </w:rPr>
            </w:pPr>
            <w:r>
              <w:rPr>
                <w:rFonts w:ascii="Arial" w:cs="Arial" w:eastAsia="Arial" w:hAnsi="Arial"/>
                <w:sz w:val="18"/>
                <w:szCs w:val="18"/>
                <w:color w:val="auto"/>
              </w:rPr>
              <w:t>Less: Security gains, net</w:t>
            </w:r>
          </w:p>
        </w:tc>
        <w:tc>
          <w:tcPr>
            <w:tcW w:w="12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160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290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160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1,143</w:t>
            </w:r>
          </w:p>
        </w:tc>
        <w:tc>
          <w:tcPr>
            <w:tcW w:w="360" w:type="dxa"/>
            <w:vAlign w:val="bottom"/>
          </w:tcPr>
          <w:p>
            <w:pPr>
              <w:spacing w:after="0"/>
              <w:rPr>
                <w:sz w:val="16"/>
                <w:szCs w:val="16"/>
                <w:color w:val="auto"/>
              </w:rPr>
            </w:pPr>
          </w:p>
        </w:tc>
      </w:tr>
      <w:tr>
        <w:trPr>
          <w:trHeight w:val="190"/>
        </w:trPr>
        <w:tc>
          <w:tcPr>
            <w:tcW w:w="29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Non-interest income</w:t>
            </w: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21,853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22,642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20,547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66,981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59,770</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9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Non-interest expense</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45,929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47,305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46,939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144,274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121,326</w:t>
            </w:r>
          </w:p>
        </w:tc>
        <w:tc>
          <w:tcPr>
            <w:tcW w:w="360" w:type="dxa"/>
            <w:vAlign w:val="bottom"/>
            <w:shd w:val="clear" w:color="auto" w:fill="CCEEFF"/>
          </w:tcPr>
          <w:p>
            <w:pPr>
              <w:spacing w:after="0"/>
              <w:rPr>
                <w:sz w:val="16"/>
                <w:szCs w:val="16"/>
                <w:color w:val="auto"/>
              </w:rPr>
            </w:pPr>
          </w:p>
        </w:tc>
      </w:tr>
      <w:tr>
        <w:trPr>
          <w:trHeight w:val="189"/>
        </w:trPr>
        <w:tc>
          <w:tcPr>
            <w:tcW w:w="2980" w:type="dxa"/>
            <w:vAlign w:val="bottom"/>
          </w:tcPr>
          <w:p>
            <w:pPr>
              <w:ind w:left="120"/>
              <w:spacing w:after="0" w:line="189" w:lineRule="exact"/>
              <w:rPr>
                <w:sz w:val="20"/>
                <w:szCs w:val="20"/>
                <w:color w:val="auto"/>
              </w:rPr>
            </w:pPr>
            <w:r>
              <w:rPr>
                <w:rFonts w:ascii="Arial" w:cs="Arial" w:eastAsia="Arial" w:hAnsi="Arial"/>
                <w:sz w:val="18"/>
                <w:szCs w:val="18"/>
                <w:color w:val="auto"/>
              </w:rPr>
              <w:t>Less: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9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(4,450)</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(3,675)</w:t>
            </w:r>
          </w:p>
        </w:tc>
      </w:tr>
      <w:tr>
        <w:trPr>
          <w:trHeight w:val="189"/>
        </w:trPr>
        <w:tc>
          <w:tcPr>
            <w:tcW w:w="2980" w:type="dxa"/>
            <w:vAlign w:val="bottom"/>
          </w:tcPr>
          <w:p>
            <w:pPr>
              <w:ind w:left="220"/>
              <w:spacing w:after="0" w:line="189" w:lineRule="exact"/>
              <w:rPr>
                <w:sz w:val="20"/>
                <w:szCs w:val="20"/>
                <w:color w:val="auto"/>
              </w:rPr>
            </w:pPr>
            <w:r>
              <w:rPr>
                <w:rFonts w:ascii="Arial" w:cs="Arial" w:eastAsia="Arial" w:hAnsi="Arial"/>
                <w:sz w:val="18"/>
                <w:szCs w:val="18"/>
                <w:color w:val="auto"/>
              </w:rPr>
              <w:t>Non-operating adjustments: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61"/>
        </w:trPr>
        <w:tc>
          <w:tcPr>
            <w:tcW w:w="2980" w:type="dxa"/>
            <w:vAlign w:val="bottom"/>
            <w:shd w:val="clear" w:color="auto" w:fill="CCEEFF"/>
          </w:tcPr>
          <w:p>
            <w:pPr>
              <w:ind w:left="320"/>
              <w:spacing w:after="0" w:line="161" w:lineRule="exact"/>
              <w:rPr>
                <w:sz w:val="20"/>
                <w:szCs w:val="20"/>
                <w:color w:val="auto"/>
              </w:rPr>
            </w:pPr>
            <w:r>
              <w:rPr>
                <w:rFonts w:ascii="Arial" w:cs="Arial" w:eastAsia="Arial" w:hAnsi="Arial"/>
                <w:sz w:val="18"/>
                <w:szCs w:val="18"/>
                <w:color w:val="auto"/>
              </w:rPr>
              <w:t>Salaries, wages, and employee</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217"/>
        </w:trPr>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(935)</w:t>
            </w:r>
          </w:p>
        </w:tc>
      </w:tr>
      <w:tr>
        <w:trPr>
          <w:trHeight w:val="189"/>
        </w:trPr>
        <w:tc>
          <w:tcPr>
            <w:tcW w:w="2980" w:type="dxa"/>
            <w:vAlign w:val="bottom"/>
          </w:tcPr>
          <w:p>
            <w:pPr>
              <w:ind w:left="320"/>
              <w:spacing w:after="0" w:line="189" w:lineRule="exact"/>
              <w:rPr>
                <w:sz w:val="20"/>
                <w:szCs w:val="20"/>
                <w:color w:val="auto"/>
              </w:rPr>
            </w:pPr>
            <w:r>
              <w:rPr>
                <w:rFonts w:ascii="Arial" w:cs="Arial" w:eastAsia="Arial" w:hAnsi="Arial"/>
                <w:sz w:val="18"/>
                <w:szCs w:val="18"/>
                <w:color w:val="auto"/>
              </w:rPr>
              <w:t>Data processing</w:t>
            </w:r>
          </w:p>
        </w:tc>
        <w:tc>
          <w:tcPr>
            <w:tcW w:w="12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(34)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(1,262)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(406)</w:t>
            </w:r>
          </w:p>
        </w:tc>
        <w:tc>
          <w:tcPr>
            <w:tcW w:w="100" w:type="dxa"/>
            <w:vAlign w:val="bottom"/>
          </w:tcPr>
          <w:p>
            <w:pPr>
              <w:spacing w:after="0"/>
              <w:rPr>
                <w:sz w:val="16"/>
                <w:szCs w:val="16"/>
                <w:color w:val="auto"/>
              </w:rPr>
            </w:pPr>
          </w:p>
        </w:tc>
        <w:tc>
          <w:tcPr>
            <w:tcW w:w="130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(1,348)</w:t>
            </w:r>
          </w:p>
        </w:tc>
      </w:tr>
      <w:tr>
        <w:trPr>
          <w:trHeight w:val="189"/>
        </w:trPr>
        <w:tc>
          <w:tcPr>
            <w:tcW w:w="298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(1,077)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(2,094)</w:t>
            </w:r>
          </w:p>
        </w:tc>
      </w:tr>
      <w:tr>
        <w:trPr>
          <w:trHeight w:val="190"/>
        </w:trPr>
        <w:tc>
          <w:tcPr>
            <w:tcW w:w="29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Non-interest expense</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44,317</w:t>
            </w:r>
          </w:p>
        </w:tc>
        <w:tc>
          <w:tcPr>
            <w:tcW w:w="2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44,857</w:t>
            </w:r>
          </w:p>
        </w:tc>
        <w:tc>
          <w:tcPr>
            <w:tcW w:w="2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42,594</w:t>
            </w:r>
          </w:p>
        </w:tc>
        <w:tc>
          <w:tcPr>
            <w:tcW w:w="2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135,172</w:t>
            </w:r>
          </w:p>
        </w:tc>
        <w:tc>
          <w:tcPr>
            <w:tcW w:w="2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113,274</w:t>
            </w:r>
          </w:p>
        </w:tc>
        <w:tc>
          <w:tcPr>
            <w:tcW w:w="360" w:type="dxa"/>
            <w:vAlign w:val="bottom"/>
            <w:tcBorders>
              <w:bottom w:val="single" w:sz="8" w:color="CCEEFF"/>
            </w:tcBorders>
          </w:tcPr>
          <w:p>
            <w:pPr>
              <w:spacing w:after="0"/>
              <w:rPr>
                <w:sz w:val="16"/>
                <w:szCs w:val="16"/>
                <w:color w:val="auto"/>
              </w:rPr>
            </w:pPr>
          </w:p>
        </w:tc>
      </w:tr>
      <w:tr>
        <w:trPr>
          <w:trHeight w:val="189"/>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189"/>
        </w:trPr>
        <w:tc>
          <w:tcPr>
            <w:tcW w:w="2980" w:type="dxa"/>
            <w:vAlign w:val="bottom"/>
          </w:tcPr>
          <w:p>
            <w:pPr>
              <w:spacing w:after="0" w:line="189" w:lineRule="exact"/>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Efficiency ratio</w:t>
            </w:r>
          </w:p>
        </w:tc>
        <w:tc>
          <w:tcPr>
            <w:tcW w:w="120" w:type="dxa"/>
            <w:vAlign w:val="bottom"/>
          </w:tcPr>
          <w:p>
            <w:pPr>
              <w:spacing w:after="0"/>
              <w:rPr>
                <w:sz w:val="16"/>
                <w:szCs w:val="16"/>
                <w:color w:val="auto"/>
              </w:rPr>
            </w:pPr>
          </w:p>
        </w:tc>
        <w:tc>
          <w:tcPr>
            <w:tcW w:w="11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53.47 %</w:t>
            </w:r>
          </w:p>
        </w:tc>
        <w:tc>
          <w:tcPr>
            <w:tcW w:w="12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54.82 %</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58.92 %</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56.02 %</w:t>
            </w:r>
          </w:p>
        </w:tc>
        <w:tc>
          <w:tcPr>
            <w:tcW w:w="100" w:type="dxa"/>
            <w:vAlign w:val="bottom"/>
          </w:tcPr>
          <w:p>
            <w:pPr>
              <w:spacing w:after="0"/>
              <w:rPr>
                <w:sz w:val="16"/>
                <w:szCs w:val="16"/>
                <w:color w:val="auto"/>
              </w:rPr>
            </w:pPr>
          </w:p>
        </w:tc>
        <w:tc>
          <w:tcPr>
            <w:tcW w:w="13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58.08 %</w:t>
            </w:r>
          </w:p>
        </w:tc>
      </w:tr>
      <w:tr>
        <w:trPr>
          <w:trHeight w:val="189"/>
        </w:trPr>
        <w:tc>
          <w:tcPr>
            <w:tcW w:w="29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Efficiency ratio</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53.26 %</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53.67 %</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54.98 %</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54.16 %</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55.92 %</w:t>
            </w:r>
          </w:p>
        </w:tc>
      </w:tr>
      <w:tr>
        <w:trPr>
          <w:trHeight w:val="810"/>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272"/>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02"/>
        </w:trPr>
        <w:tc>
          <w:tcPr>
            <w:tcW w:w="2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line="235" w:lineRule="auto"/>
        <w:rPr>
          <w:sz w:val="20"/>
          <w:szCs w:val="20"/>
          <w:color w:val="auto"/>
        </w:rPr>
      </w:pPr>
      <w:r>
        <w:rPr>
          <w:rFonts w:ascii="Arial" w:cs="Arial" w:eastAsia="Arial" w:hAnsi="Arial"/>
          <w:sz w:val="18"/>
          <w:szCs w:val="18"/>
          <w:u w:val="single" w:color="auto"/>
          <w:color w:val="auto"/>
        </w:rPr>
        <w:t>Reconciliation of Non-GAAP Financial Measures — Tangible common equity to tangible assets, Tangible book value per share, Return on average tangible common equity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19"/>
        </w:trPr>
        <w:tc>
          <w:tcPr>
            <w:tcW w:w="4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1"/>
        </w:trPr>
        <w:tc>
          <w:tcPr>
            <w:tcW w:w="4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3"/>
        </w:trPr>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3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7,889,385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ind w:left="80"/>
              <w:spacing w:after="0" w:line="189"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7,775,544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6,913,789</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Less: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4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Goodwill and other intangible assets, net</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(301,963)</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(303,407)</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(247,562)</w:t>
            </w:r>
          </w:p>
        </w:tc>
        <w:tc>
          <w:tcPr>
            <w:tcW w:w="180" w:type="dxa"/>
            <w:vAlign w:val="bottom"/>
            <w:shd w:val="clear" w:color="auto" w:fill="CCEEFF"/>
          </w:tcPr>
          <w:p>
            <w:pPr>
              <w:spacing w:after="0"/>
              <w:rPr>
                <w:sz w:val="16"/>
                <w:szCs w:val="16"/>
                <w:color w:val="auto"/>
              </w:rPr>
            </w:pPr>
          </w:p>
        </w:tc>
      </w:tr>
      <w:tr>
        <w:trPr>
          <w:trHeight w:val="189"/>
        </w:trPr>
        <w:tc>
          <w:tcPr>
            <w:tcW w:w="462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Tax effect of other intangible assets, net</w:t>
            </w:r>
          </w:p>
        </w:tc>
        <w:tc>
          <w:tcPr>
            <w:tcW w:w="2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color w:val="auto"/>
              </w:rPr>
              <w:t>8,912</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
              <w:spacing w:after="0" w:line="189" w:lineRule="exact"/>
              <w:rPr>
                <w:sz w:val="20"/>
                <w:szCs w:val="20"/>
                <w:color w:val="auto"/>
              </w:rPr>
            </w:pPr>
            <w:r>
              <w:rPr>
                <w:rFonts w:ascii="Arial" w:cs="Arial" w:eastAsia="Arial" w:hAnsi="Arial"/>
                <w:sz w:val="18"/>
                <w:szCs w:val="18"/>
                <w:color w:val="auto"/>
              </w:rPr>
              <w:t>9,288</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0"/>
              <w:spacing w:after="0" w:line="189" w:lineRule="exact"/>
              <w:rPr>
                <w:sz w:val="20"/>
                <w:szCs w:val="20"/>
                <w:color w:val="auto"/>
              </w:rPr>
            </w:pPr>
            <w:r>
              <w:rPr>
                <w:rFonts w:ascii="Arial" w:cs="Arial" w:eastAsia="Arial" w:hAnsi="Arial"/>
                <w:sz w:val="18"/>
                <w:szCs w:val="18"/>
                <w:color w:val="auto"/>
              </w:rPr>
              <w:t>11,846</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r>
      <w:tr>
        <w:trPr>
          <w:trHeight w:val="190"/>
        </w:trPr>
        <w:tc>
          <w:tcPr>
            <w:tcW w:w="46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Tangible assets</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7,596,334</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7,481,425</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6,678,073</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972,140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957,182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836,068</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Less: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4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Goodwill and other intangible assets, net</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(301,963)</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(303,407)</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(247,562)</w:t>
            </w:r>
          </w:p>
        </w:tc>
        <w:tc>
          <w:tcPr>
            <w:tcW w:w="180" w:type="dxa"/>
            <w:vAlign w:val="bottom"/>
            <w:shd w:val="clear" w:color="auto" w:fill="CCEEFF"/>
          </w:tcPr>
          <w:p>
            <w:pPr>
              <w:spacing w:after="0"/>
              <w:rPr>
                <w:sz w:val="16"/>
                <w:szCs w:val="16"/>
                <w:color w:val="auto"/>
              </w:rPr>
            </w:pPr>
          </w:p>
        </w:tc>
      </w:tr>
      <w:tr>
        <w:trPr>
          <w:trHeight w:val="189"/>
        </w:trPr>
        <w:tc>
          <w:tcPr>
            <w:tcW w:w="462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Tax effect of other intangible assets, net</w:t>
            </w:r>
          </w:p>
        </w:tc>
        <w:tc>
          <w:tcPr>
            <w:tcW w:w="2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color w:val="auto"/>
              </w:rPr>
              <w:t>8,912</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
              <w:spacing w:after="0" w:line="189" w:lineRule="exact"/>
              <w:rPr>
                <w:sz w:val="20"/>
                <w:szCs w:val="20"/>
                <w:color w:val="auto"/>
              </w:rPr>
            </w:pPr>
            <w:r>
              <w:rPr>
                <w:rFonts w:ascii="Arial" w:cs="Arial" w:eastAsia="Arial" w:hAnsi="Arial"/>
                <w:sz w:val="18"/>
                <w:szCs w:val="18"/>
                <w:color w:val="auto"/>
              </w:rPr>
              <w:t>9,288</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0"/>
              <w:spacing w:after="0" w:line="189" w:lineRule="exact"/>
              <w:rPr>
                <w:sz w:val="20"/>
                <w:szCs w:val="20"/>
                <w:color w:val="auto"/>
              </w:rPr>
            </w:pPr>
            <w:r>
              <w:rPr>
                <w:rFonts w:ascii="Arial" w:cs="Arial" w:eastAsia="Arial" w:hAnsi="Arial"/>
                <w:sz w:val="18"/>
                <w:szCs w:val="18"/>
                <w:color w:val="auto"/>
              </w:rPr>
              <w:t>11,846</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r>
      <w:tr>
        <w:trPr>
          <w:trHeight w:val="190"/>
        </w:trPr>
        <w:tc>
          <w:tcPr>
            <w:tcW w:w="46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Tangible common equity</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679,089</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663,063</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600,352</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Tangible common equity to tangible assets(1)</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4"/>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8.94 %</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8"/>
                <w:szCs w:val="18"/>
                <w:color w:val="auto"/>
              </w:rPr>
              <w:t>8.86 %</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8.99 %</w:t>
            </w: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Tangible book value per share</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13.72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12.93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92"/>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8"/>
          </w:tcPr>
          <w:p>
            <w:pPr>
              <w:jc w:val="center"/>
              <w:ind w:right="25"/>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19"/>
        </w:trPr>
        <w:tc>
          <w:tcPr>
            <w:tcW w:w="4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4"/>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80" w:type="dxa"/>
            <w:vAlign w:val="bottom"/>
          </w:tcPr>
          <w:p>
            <w:pPr>
              <w:spacing w:after="0"/>
              <w:rPr>
                <w:sz w:val="10"/>
                <w:szCs w:val="10"/>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left="135"/>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r>
      <w:tr>
        <w:trPr>
          <w:trHeight w:val="183"/>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Average stockholders’ common equity</w:t>
            </w:r>
          </w:p>
        </w:tc>
        <w:tc>
          <w:tcPr>
            <w:tcW w:w="28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961,824</w:t>
            </w:r>
          </w:p>
        </w:tc>
        <w:tc>
          <w:tcPr>
            <w:tcW w:w="1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944,131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822,215</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9"/>
        </w:trPr>
        <w:tc>
          <w:tcPr>
            <w:tcW w:w="4620" w:type="dxa"/>
            <w:vAlign w:val="bottom"/>
          </w:tcPr>
          <w:p>
            <w:pPr>
              <w:ind w:left="220"/>
              <w:spacing w:after="0" w:line="189" w:lineRule="exact"/>
              <w:rPr>
                <w:sz w:val="20"/>
                <w:szCs w:val="20"/>
                <w:color w:val="auto"/>
              </w:rPr>
            </w:pPr>
            <w:r>
              <w:rPr>
                <w:rFonts w:ascii="Arial" w:cs="Arial" w:eastAsia="Arial" w:hAnsi="Arial"/>
                <w:sz w:val="18"/>
                <w:szCs w:val="18"/>
                <w:color w:val="auto"/>
              </w:rPr>
              <w:t>Less: Average goodwill and intangibles, net</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4"/>
          </w:tcPr>
          <w:p>
            <w:pPr>
              <w:jc w:val="right"/>
              <w:ind w:right="160"/>
              <w:spacing w:after="0" w:line="189" w:lineRule="exact"/>
              <w:rPr>
                <w:sz w:val="20"/>
                <w:szCs w:val="20"/>
                <w:color w:val="auto"/>
              </w:rPr>
            </w:pPr>
            <w:r>
              <w:rPr>
                <w:rFonts w:ascii="Arial" w:cs="Arial" w:eastAsia="Arial" w:hAnsi="Arial"/>
                <w:sz w:val="18"/>
                <w:szCs w:val="18"/>
                <w:color w:val="auto"/>
              </w:rPr>
              <w:t>(302,914)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auto"/>
              </w:rPr>
              <w:t>(304,379)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jc w:val="right"/>
              <w:ind w:right="180"/>
              <w:spacing w:after="0" w:line="189" w:lineRule="exact"/>
              <w:rPr>
                <w:sz w:val="20"/>
                <w:szCs w:val="20"/>
                <w:color w:val="auto"/>
              </w:rPr>
            </w:pPr>
            <w:r>
              <w:rPr>
                <w:rFonts w:ascii="Arial" w:cs="Arial" w:eastAsia="Arial" w:hAnsi="Arial"/>
                <w:sz w:val="18"/>
                <w:szCs w:val="18"/>
                <w:color w:val="auto"/>
              </w:rPr>
              <w:t>(245,371)</w:t>
            </w:r>
          </w:p>
        </w:tc>
      </w:tr>
      <w:tr>
        <w:trPr>
          <w:trHeight w:val="190"/>
        </w:trPr>
        <w:tc>
          <w:tcPr>
            <w:tcW w:w="46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Average tangible common equity</w:t>
            </w:r>
          </w:p>
        </w:tc>
        <w:tc>
          <w:tcPr>
            <w:tcW w:w="2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3"/>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658,910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639,752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576,844</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Return on average tangible common equity(2)</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16.17 %</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8"/>
                <w:szCs w:val="18"/>
                <w:color w:val="auto"/>
              </w:rPr>
              <w:t>15.59 %</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12.92 %</w:t>
            </w: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w w:val="95"/>
              </w:rPr>
              <w:t>Adjusted</w:t>
            </w:r>
            <w:r>
              <w:rPr>
                <w:rFonts w:ascii="Arial" w:cs="Arial" w:eastAsia="Arial" w:hAnsi="Arial"/>
                <w:sz w:val="18"/>
                <w:szCs w:val="18"/>
                <w:color w:val="auto"/>
                <w:w w:val="95"/>
              </w:rPr>
              <w:t>: Return on average tangible common equity(2),(3)</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16.26 %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16.04 %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14.20 %</w:t>
            </w:r>
          </w:p>
        </w:tc>
      </w:tr>
      <w:tr>
        <w:trPr>
          <w:trHeight w:val="292"/>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12"/>
          </w:tcPr>
          <w:p>
            <w:pPr>
              <w:jc w:val="right"/>
              <w:ind w:right="11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20" w:type="dxa"/>
            <w:vAlign w:val="bottom"/>
            <w:tcBorders>
              <w:top w:val="single" w:sz="8" w:color="auto"/>
            </w:tcBorders>
            <w:gridSpan w:val="10"/>
          </w:tcPr>
          <w:p>
            <w:pPr>
              <w:ind w:left="240"/>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4"/>
          </w:tcPr>
          <w:p>
            <w:pPr>
              <w:jc w:val="right"/>
              <w:ind w:right="154"/>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80" w:type="dxa"/>
            <w:vAlign w:val="bottom"/>
            <w:gridSpan w:val="3"/>
          </w:tcPr>
          <w:p>
            <w:pPr>
              <w:spacing w:after="0"/>
              <w:rPr>
                <w:sz w:val="10"/>
                <w:szCs w:val="10"/>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r>
      <w:tr>
        <w:trPr>
          <w:trHeight w:val="183"/>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Average stockholders’ common equity</w:t>
            </w: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946,675</w:t>
            </w: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675,002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9"/>
        </w:trPr>
        <w:tc>
          <w:tcPr>
            <w:tcW w:w="4620" w:type="dxa"/>
            <w:vAlign w:val="bottom"/>
          </w:tcPr>
          <w:p>
            <w:pPr>
              <w:ind w:left="220"/>
              <w:spacing w:after="0" w:line="189" w:lineRule="exact"/>
              <w:rPr>
                <w:sz w:val="20"/>
                <w:szCs w:val="20"/>
                <w:color w:val="auto"/>
              </w:rPr>
            </w:pPr>
            <w:r>
              <w:rPr>
                <w:rFonts w:ascii="Arial" w:cs="Arial" w:eastAsia="Arial" w:hAnsi="Arial"/>
                <w:sz w:val="18"/>
                <w:szCs w:val="18"/>
                <w:color w:val="auto"/>
              </w:rPr>
              <w:t>Less: Average goodwill and intangibles, net</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w w:val="88"/>
              </w:rPr>
              <w:t>(304,738)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(162,415)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0"/>
        </w:trPr>
        <w:tc>
          <w:tcPr>
            <w:tcW w:w="46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Average tangible common equity</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641,937</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512,587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Return on average tangible common equity(2)</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15.34 %</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13.15 %</w:t>
            </w: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w w:val="95"/>
              </w:rPr>
              <w:t>Adjusted</w:t>
            </w:r>
            <w:r>
              <w:rPr>
                <w:rFonts w:ascii="Arial" w:cs="Arial" w:eastAsia="Arial" w:hAnsi="Arial"/>
                <w:sz w:val="18"/>
                <w:szCs w:val="18"/>
                <w:color w:val="auto"/>
                <w:w w:val="95"/>
              </w:rPr>
              <w:t>: Return on average tangible common equity(2),(3)</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16.15 %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13.86 %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14408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Tax-effected measure.</w:t>
      </w:r>
    </w:p>
    <w:p>
      <w:pPr>
        <w:spacing w:after="0" w:line="203" w:lineRule="auto"/>
        <w:rPr>
          <w:sz w:val="20"/>
          <w:szCs w:val="20"/>
          <w:color w:val="auto"/>
        </w:rPr>
      </w:pPr>
      <w:r>
        <w:rPr>
          <w:rFonts w:ascii="Arial" w:cs="Arial" w:eastAsia="Arial" w:hAnsi="Arial"/>
          <w:sz w:val="18"/>
          <w:szCs w:val="18"/>
          <w:color w:val="auto"/>
        </w:rPr>
        <w:t>(2) Annualized measure.</w:t>
      </w:r>
    </w:p>
    <w:p>
      <w:pPr>
        <w:spacing w:after="0"/>
        <w:rPr>
          <w:sz w:val="20"/>
          <w:szCs w:val="20"/>
          <w:color w:val="auto"/>
        </w:rPr>
      </w:pPr>
      <w:r>
        <w:rPr>
          <w:rFonts w:ascii="Arial" w:cs="Arial" w:eastAsia="Arial" w:hAnsi="Arial"/>
          <w:sz w:val="18"/>
          <w:szCs w:val="18"/>
          <w:color w:val="auto"/>
        </w:rPr>
        <w:t>(3) Calculated using adjusted net income.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180"/>
        <w:spacing w:after="0" w:line="232"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the Company.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w:t>
      </w:r>
    </w:p>
    <w:p>
      <w:pPr>
        <w:spacing w:after="0" w:line="2" w:lineRule="exact"/>
        <w:rPr>
          <w:sz w:val="20"/>
          <w:szCs w:val="20"/>
          <w:color w:val="auto"/>
        </w:rPr>
      </w:pPr>
    </w:p>
    <w:p>
      <w:pPr>
        <w:spacing w:after="0" w:line="218" w:lineRule="auto"/>
        <w:rPr>
          <w:sz w:val="20"/>
          <w:szCs w:val="20"/>
          <w:color w:val="auto"/>
        </w:rPr>
      </w:pPr>
      <w:r>
        <w:rPr>
          <w:rFonts w:ascii="Arial" w:cs="Arial" w:eastAsia="Arial" w:hAnsi="Arial"/>
          <w:sz w:val="17"/>
          <w:szCs w:val="17"/>
          <w:color w:val="auto"/>
        </w:rPr>
        <w:t>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state, national and international economy (including the impact of tariffs, a U.S. withdrawal from or significant renegotiation of trade agreements, trade wars and other changes in trade regulations); (ii) changes in state and federal laws, regulations and governmental policies concerning the Company’s general business; (iii) changes in interest rates and prepayment rates of the Company’s assets; (iv) increased competition in the financial services sector and the inability to attract new customers; (v) changes in technology and the ability to develop and maintain secure and reliable electronic systems; (vi) the loss of key executives or employees; (vii) changes in consumer spending; (viii) unexpected results of current and/or future acquisitions, which may include failure to realize the anticipated benefits of any acquisition and the possibility that transaction costs may be greater than anticipated; (ix) unexpected outcomes of existing or new litigation involving the Company; (x) the economic impact of any future terrorist threats or attacks; (xi) the economic impact of exceptional weather occurrences such as tornadoes, hurricanes, floods, and blizzards; and (xii) changes in accounting policies and practices. These risks and uncertainties should be considered in evaluating forward-looking statements and undue reliance should not be placed on such statements. Additional information concerning the Company and its business, including additional factors that could materially affect its financial results, is included in the Company’s filings with the Securities and Exchange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w:t>
      </w:r>
    </w:p>
    <w:p>
      <w:pPr>
        <w:spacing w:after="0" w:line="125" w:lineRule="exact"/>
        <w:rPr>
          <w:sz w:val="20"/>
          <w:szCs w:val="20"/>
          <w:color w:val="auto"/>
        </w:rPr>
      </w:pPr>
    </w:p>
    <w:p>
      <w:pPr>
        <w:ind w:right="400"/>
        <w:spacing w:after="0" w:line="219"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2017. The majority of these accounting policies do not require management to make difficult, subjective or complex judgments or estimates or the variability of the estimates is not material. However, the following policies could be deemed critical:</w:t>
      </w:r>
    </w:p>
    <w:p>
      <w:pPr>
        <w:spacing w:after="0" w:line="122"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b w:val="1"/>
          <w:bCs w:val="1"/>
          <w:i w:val="1"/>
          <w:iCs w:val="1"/>
          <w:color w:val="auto"/>
        </w:rPr>
        <w:t xml:space="preserve">Fair Value of Available for Sale Investment Securities. </w:t>
      </w:r>
      <w:r>
        <w:rPr>
          <w:rFonts w:ascii="Arial" w:cs="Arial" w:eastAsia="Arial" w:hAnsi="Arial"/>
          <w:sz w:val="16"/>
          <w:szCs w:val="16"/>
          <w:color w:val="auto"/>
        </w:rPr>
        <w:t>Securities are classified as available for sale when First Busey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determines it is possible the securities could be sold in the future due to changes in market interest rates, liquidity needs, changes in yields on alternative investments, and for other reasons. Securities classified as available for sale are carried at fair value with unrealized gains and losses, net of taxes, reported in other comprehensive income (loss). For securities classified as available for sale, fair value measurements from an independent pricing service are based on observable data that may include dealer quotes, market spreads, cash flows, the U.S. Treasury yield curve, live trading levels, trade execution data, market consensus prepayment speeds, credit information and the security’s terms and conditions, among other things.</w:t>
      </w:r>
    </w:p>
    <w:p>
      <w:pPr>
        <w:spacing w:after="0" w:line="12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Realized securities gains or losses are reported in the Consolidated Statements of Income. The cost of securities sold is based on the specific identification method. Declines in the fair value of securities below their amortized cost are evaluated to determine whether they are temporary or OTTI. If the Company (a) has the intent to sell a debt security or (b) will more-likely-than-not be required to sell the debt security before its anticipated recovery, then the Company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recognizes the entire decline in fair value as an OTTI loss. If neither of these conditions are met, the Company evaluates whether a credit loss exists. The decline in fair value is separated into the amount of impairment related to the credit loss and the amount of impairment related to all other factors. The amount of the impairment related to credit loss is recognized in earnings, and the amount of impairment related to all other factors is recognized in other comprehensive income (loss).</w:t>
      </w:r>
    </w:p>
    <w:p>
      <w:pPr>
        <w:spacing w:after="0" w:line="114"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22"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b w:val="1"/>
          <w:bCs w:val="1"/>
          <w:i w:val="1"/>
          <w:iCs w:val="1"/>
          <w:color w:val="auto"/>
        </w:rPr>
        <w:t xml:space="preserve">Fair Value of Assets Acquired and Liabilities Assumed in Business Combinations. </w:t>
      </w:r>
      <w:r>
        <w:rPr>
          <w:rFonts w:ascii="Arial" w:cs="Arial" w:eastAsia="Arial" w:hAnsi="Arial"/>
          <w:sz w:val="16"/>
          <w:szCs w:val="16"/>
          <w:color w:val="auto"/>
        </w:rPr>
        <w:t>Business combinations are accounted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using the acquisition method of accounting. Under the acquisition method of accounting, assets acquired and liabilities assumed are recorded at their estimated fair value on the date of acquisition. Fair values are determined based on the definition of “fair value” defined in FASB ASC Topic 820 — Fair Value Measurement as “the price that would be received to sell an asset or paid to transfer a liability in an orderly transaction between market participants at the measurement date.”</w:t>
      </w:r>
    </w:p>
    <w:p>
      <w:pPr>
        <w:spacing w:after="0" w:line="11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fair value of a loan portfolio acquired in a business combination generally requires greater levels of management estimates and judgment than other assets acquired or liabilities assumed. At the date of acquisition, when loans have evidence of credit deterioration since origination and it is probable that the Company will not collect all contractually required principal and interest payments, the difference between contractually required payments and the cash flows expected to be collected at acquisition is referred to as the non-accretable difference. At each future reporting date, the Company re-estimates the expected cash flows of the loans. Subsequent decreases in the expected cash flows will generally result in a provision for loan losses. Subsequent increases in the expected cash flows will generally be offset against the allowance for loan losses to the extent an allowance has been established or will be recognized as interest income prospectively.</w:t>
      </w:r>
    </w:p>
    <w:p>
      <w:pPr>
        <w:spacing w:after="0" w:line="127"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probable losses inherent in the loan portfolio as of the date of the unaudited Consolidated Financial Statements and reduces the total loans outstanding by an estimate of uncollectible loans. Loans deemed uncollectible are charged against and reduce the allowance. A provision for loan losses is charged to current expense and acts to replenish the allowance for loan losses in order to maintain the allowance at a level that management deems adequate. Acquired loans from business combinations with uncollected principal balances are carried net of a fair value adjustment for credit and interest rates. These loans are only included in the allowance calculation to the extent that the reserve requirement exceeds the fair value</w:t>
      </w:r>
    </w:p>
    <w:p>
      <w:pPr>
        <w:ind w:right="280"/>
        <w:spacing w:after="0" w:line="268" w:lineRule="auto"/>
        <w:rPr>
          <w:sz w:val="20"/>
          <w:szCs w:val="20"/>
          <w:color w:val="auto"/>
        </w:rPr>
      </w:pPr>
      <w:r>
        <w:rPr>
          <w:rFonts w:ascii="Arial" w:cs="Arial" w:eastAsia="Arial" w:hAnsi="Arial"/>
          <w:sz w:val="16"/>
          <w:szCs w:val="16"/>
          <w:color w:val="auto"/>
        </w:rPr>
        <w:t>adjustment. However, as the acquired loans renew, it is generally necessary to establish an allowance which represents an amount that, in management’s opinion, will be adequate to absorb probable credit losses in such loans.</w:t>
      </w:r>
    </w:p>
    <w:p>
      <w:pPr>
        <w:spacing w:after="0" w:line="100"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18"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22"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to attempt to structure the Consolidated Balance Sheets to ensure stable net interest income despite potential changes in interest rates.</w:t>
      </w:r>
    </w:p>
    <w:p>
      <w:pPr>
        <w:spacing w:after="0" w:line="123"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 balances. The model uses repricing frequency on all variable-rate assets and liabilities. Prepayment speeds on loans have been adjusted to incorporate expected prepayment speeds in both a declining and rising rate environment.</w:t>
      </w:r>
    </w:p>
    <w:p>
      <w:pPr>
        <w:spacing w:after="0" w:line="12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1"/>
              </w:rPr>
              <w:t>Year-One: Basis Point Changes</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- 100</w:t>
            </w:r>
          </w:p>
        </w:tc>
        <w:tc>
          <w:tcPr>
            <w:tcW w:w="24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+100</w:t>
            </w:r>
          </w:p>
        </w:tc>
        <w:tc>
          <w:tcPr>
            <w:tcW w:w="24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+200</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+300</w:t>
            </w: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+400</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vMerge w:val="restart"/>
          </w:tcPr>
          <w:p>
            <w:pPr>
              <w:spacing w:after="0"/>
              <w:rPr>
                <w:sz w:val="16"/>
                <w:szCs w:val="16"/>
                <w:color w:val="auto"/>
              </w:rPr>
            </w:pPr>
          </w:p>
        </w:tc>
        <w:tc>
          <w:tcPr>
            <w:tcW w:w="2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vMerge w:val="continue"/>
          </w:tcPr>
          <w:p>
            <w:pPr>
              <w:spacing w:after="0"/>
              <w:rPr>
                <w:sz w:val="16"/>
                <w:szCs w:val="16"/>
                <w:color w:val="auto"/>
              </w:rPr>
            </w:pPr>
          </w:p>
        </w:tc>
        <w:tc>
          <w:tcPr>
            <w:tcW w:w="2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December 31, 2017</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0.34 %</w:t>
            </w:r>
          </w:p>
        </w:tc>
        <w:tc>
          <w:tcPr>
            <w:tcW w:w="10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(0.72)%</w:t>
            </w:r>
          </w:p>
        </w:tc>
        <w:tc>
          <w:tcPr>
            <w:tcW w:w="10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(1.61)%</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(2.56)%</w:t>
            </w:r>
          </w:p>
        </w:tc>
        <w:tc>
          <w:tcPr>
            <w:tcW w:w="9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(3.52)%</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1"/>
              </w:rPr>
              <w:t>Year-Two: Basis Point Changes</w:t>
            </w: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- 100</w:t>
            </w:r>
          </w:p>
        </w:tc>
        <w:tc>
          <w:tcPr>
            <w:tcW w:w="24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+100</w:t>
            </w:r>
          </w:p>
        </w:tc>
        <w:tc>
          <w:tcPr>
            <w:tcW w:w="24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+200</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+300</w:t>
            </w: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+400</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15"/>
                <w:szCs w:val="15"/>
                <w:color w:val="auto"/>
              </w:rPr>
            </w:pPr>
          </w:p>
        </w:tc>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vMerge w:val="continue"/>
          </w:tcPr>
          <w:p>
            <w:pPr>
              <w:spacing w:after="0"/>
              <w:rPr>
                <w:sz w:val="16"/>
                <w:szCs w:val="16"/>
                <w:color w:val="auto"/>
              </w:rPr>
            </w:pPr>
          </w:p>
        </w:tc>
        <w:tc>
          <w:tcPr>
            <w:tcW w:w="2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September 30, 2018</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(3.77)%</w:t>
            </w:r>
          </w:p>
        </w:tc>
        <w:tc>
          <w:tcPr>
            <w:tcW w:w="10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(0.46)%</w:t>
            </w:r>
          </w:p>
        </w:tc>
        <w:tc>
          <w:tcPr>
            <w:tcW w:w="10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(0.82)%</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(1.31)%</w:t>
            </w:r>
          </w:p>
        </w:tc>
        <w:tc>
          <w:tcPr>
            <w:tcW w:w="9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(1.92)%</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vMerge w:val="restart"/>
          </w:tcPr>
          <w:p>
            <w:pPr>
              <w:spacing w:after="0"/>
              <w:rPr>
                <w:sz w:val="16"/>
                <w:szCs w:val="16"/>
                <w:color w:val="auto"/>
              </w:rPr>
            </w:pPr>
          </w:p>
        </w:tc>
        <w:tc>
          <w:tcPr>
            <w:tcW w:w="218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020" w:type="dxa"/>
            <w:vAlign w:val="bottom"/>
            <w:gridSpan w:val="2"/>
          </w:tcPr>
          <w:p>
            <w:pPr>
              <w:spacing w:after="0"/>
              <w:rPr>
                <w:sz w:val="16"/>
                <w:szCs w:val="16"/>
                <w:color w:val="auto"/>
              </w:rPr>
            </w:pPr>
          </w:p>
        </w:tc>
        <w:tc>
          <w:tcPr>
            <w:tcW w:w="1020" w:type="dxa"/>
            <w:vAlign w:val="bottom"/>
            <w:gridSpan w:val="2"/>
          </w:tcPr>
          <w:p>
            <w:pPr>
              <w:spacing w:after="0"/>
              <w:rPr>
                <w:sz w:val="16"/>
                <w:szCs w:val="16"/>
                <w:color w:val="auto"/>
              </w:rPr>
            </w:pPr>
          </w:p>
        </w:tc>
        <w:tc>
          <w:tcPr>
            <w:tcW w:w="1040" w:type="dxa"/>
            <w:vAlign w:val="bottom"/>
            <w:gridSpan w:val="2"/>
          </w:tcPr>
          <w:p>
            <w:pPr>
              <w:spacing w:after="0"/>
              <w:rPr>
                <w:sz w:val="16"/>
                <w:szCs w:val="16"/>
                <w:color w:val="auto"/>
              </w:rPr>
            </w:pPr>
          </w:p>
        </w:tc>
        <w:tc>
          <w:tcPr>
            <w:tcW w:w="94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vMerge w:val="continue"/>
          </w:tcPr>
          <w:p>
            <w:pPr>
              <w:spacing w:after="0"/>
              <w:rPr>
                <w:sz w:val="16"/>
                <w:szCs w:val="16"/>
                <w:color w:val="auto"/>
              </w:rPr>
            </w:pPr>
          </w:p>
        </w:tc>
        <w:tc>
          <w:tcPr>
            <w:tcW w:w="2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December 31, 2017</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(2.65)%</w:t>
            </w:r>
          </w:p>
        </w:tc>
        <w:tc>
          <w:tcPr>
            <w:tcW w:w="10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1.53 %</w:t>
            </w:r>
          </w:p>
        </w:tc>
        <w:tc>
          <w:tcPr>
            <w:tcW w:w="10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2.91 %</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4.14 %</w:t>
            </w:r>
          </w:p>
        </w:tc>
        <w:tc>
          <w:tcPr>
            <w:tcW w:w="9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5.22 %</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0"/>
        </w:trPr>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 The above results do not take into account any management action to mitigate potential risk.</w:t>
      </w:r>
    </w:p>
    <w:p>
      <w:pPr>
        <w:spacing w:after="0" w:line="118" w:lineRule="exact"/>
        <w:rPr>
          <w:sz w:val="20"/>
          <w:szCs w:val="20"/>
          <w:color w:val="auto"/>
        </w:rPr>
      </w:pPr>
    </w:p>
    <w:p>
      <w:pPr>
        <w:ind w:right="2780" w:firstLine="2791"/>
        <w:spacing w:after="0" w:line="409" w:lineRule="auto"/>
        <w:rPr>
          <w:sz w:val="20"/>
          <w:szCs w:val="20"/>
          <w:color w:val="auto"/>
        </w:rPr>
      </w:pPr>
      <w:r>
        <w:rPr>
          <w:rFonts w:ascii="Arial" w:cs="Arial" w:eastAsia="Arial" w:hAnsi="Arial"/>
          <w:sz w:val="18"/>
          <w:szCs w:val="18"/>
          <w:b w:val="1"/>
          <w:bCs w:val="1"/>
          <w:color w:val="auto"/>
        </w:rPr>
        <w:t xml:space="preserve">ITEM 4. CONTROLS AND PROCEDURES </w:t>
      </w:r>
      <w:r>
        <w:rPr>
          <w:rFonts w:ascii="Arial" w:cs="Arial" w:eastAsia="Arial" w:hAnsi="Arial"/>
          <w:sz w:val="18"/>
          <w:szCs w:val="18"/>
          <w:b w:val="1"/>
          <w:bCs w:val="1"/>
          <w:i w:val="1"/>
          <w:iCs w:val="1"/>
          <w:color w:val="auto"/>
        </w:rPr>
        <w:t>Evaluation of Disclosure Controls and Procedures</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An evaluation of our disclosure controls and procedures (as defined in Rule 13a-15(e) under the Securities Exchange Act of 1934 was carried out as of September 30, 2018, under the supervision and with the participation of our Chief Executive Officer, Chief Financial Officer and several other members of our senior management. Based on this evaluation, our Chief Executive Officer and Chief Financial Officer concluded that, as of September 30, 2018, our disclosure controls and procedures were effective in ensuring that the information we are required to disclose in the reports we file or submit under the Securities Exchange Act of 1934 is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During the quarter ended September 30, 2018, First Busey did not make any changes in its internal control over financial reporting or other factors that have materially affected, or are reasonably likely to materially affect, its internal control over financial reporting.</w:t>
      </w:r>
    </w:p>
    <w:p>
      <w:pPr>
        <w:spacing w:after="0" w:line="11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21"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As previously disclosed in the Company’s Quarterly Report on Form 10-Q for the period ended June 30, 2018, the Company made the following addition to the risk factors disclosed in Item 1A of Part I of the Company’s Annual Report on Form 10-K for the year ended December 31, 2017:</w:t>
      </w:r>
    </w:p>
    <w:p>
      <w:pPr>
        <w:spacing w:after="0" w:line="123"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Changes in U.S. trade policies, such as the implementation of tariffs, and other factors beyond the Company’s control may adversely impact our business, financial condition and results of operations.</w:t>
      </w:r>
    </w:p>
    <w:p>
      <w:pPr>
        <w:spacing w:after="0" w:line="121"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In recent months, the U.S. government implemented tariffs on certain products, and certain countries or entities, such as Mexico, Canada, China and the European Union, have issued or continue to threaten retaliatory tariffs against products from the United States, including agricultural products. Additional tariffs and retaliatory tariffs may be imposed in the future by the United States and these and other countries. Tariffs, retaliatory tariffs or other trade restrictions on products and materials that our customers import or export, including among others, agricultural products, could cause the prices of our customers’ products to increase which could reduce demand for such products, or reduce our customer margins, and adversely impact their revenues, financial results and ability to service debt, which, in turn, could adversely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affect our financial condition and results of operations. In addition, to the extent changes in the political environment have a negative impact on us or on the markets in which we operate, our business, results of operations and financial condition could be materially and adversely impacted in the future.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right="180"/>
        <w:spacing w:after="0" w:line="216"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that was originally approved in 2008. There were no purchases made by or on behalf of First Busey of shares of its common stock during the quarter ended September 30, 2018. At September 30, 2018, the Company had 333,334 shares that may still be purchased under the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146"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2.1**</w:t>
      </w:r>
      <w:r>
        <w:rPr>
          <w:sz w:val="20"/>
          <w:szCs w:val="20"/>
          <w:color w:val="auto"/>
        </w:rPr>
        <w:tab/>
      </w:r>
      <w:hyperlink r:id="rId82">
        <w:r>
          <w:rPr>
            <w:rFonts w:ascii="Arial" w:cs="Arial" w:eastAsia="Arial" w:hAnsi="Arial"/>
            <w:sz w:val="16"/>
            <w:szCs w:val="16"/>
            <w:u w:val="single" w:color="auto"/>
            <w:color w:val="0000EE"/>
          </w:rPr>
          <w:t>Agreement and Plan of Merger by and between First Busey Corporation and The Banc Ed Corp., dated August 21,</w:t>
        </w:r>
      </w:hyperlink>
    </w:p>
    <w:p>
      <w:pPr>
        <w:ind w:left="680"/>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2018 (filed as Exhibit 2.1 to the Company’s Form 8-K filed with the Commission on August 22, 2018).</w:t>
        </w:r>
      </w:hyperlink>
    </w:p>
    <w:p>
      <w:pPr>
        <w:spacing w:after="0" w:line="128"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4">
        <w:r>
          <w:rPr>
            <w:rFonts w:ascii="Arial" w:cs="Arial" w:eastAsia="Arial" w:hAnsi="Arial"/>
            <w:sz w:val="16"/>
            <w:szCs w:val="16"/>
            <w:u w:val="single" w:color="auto"/>
            <w:color w:val="0000EE"/>
          </w:rPr>
          <w:t>Certification of Principal Executive Officer, pursuant to Rule 13a-14(a) and Rule 15d-14(a).</w:t>
        </w:r>
      </w:hyperlink>
    </w:p>
    <w:p>
      <w:pPr>
        <w:spacing w:after="0" w:line="144"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5">
        <w:r>
          <w:rPr>
            <w:rFonts w:ascii="Arial" w:cs="Arial" w:eastAsia="Arial" w:hAnsi="Arial"/>
            <w:sz w:val="16"/>
            <w:szCs w:val="16"/>
            <w:u w:val="single" w:color="auto"/>
            <w:color w:val="0000EE"/>
          </w:rPr>
          <w:t>Certification of Principal Financial Officer, pursuant to Rule 13a-14(a) and Rule 15d-14(a).</w:t>
        </w:r>
      </w:hyperlink>
    </w:p>
    <w:p>
      <w:pPr>
        <w:spacing w:after="0" w:line="129"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76">
        <w:r>
          <w:rPr>
            <w:rFonts w:ascii="Arial" w:cs="Arial" w:eastAsia="Arial" w:hAnsi="Arial"/>
            <w:sz w:val="16"/>
            <w:szCs w:val="16"/>
            <w:u w:val="single" w:color="auto"/>
            <w:color w:val="0000EE"/>
          </w:rPr>
          <w:t>Certification pursuant to 18 U.S.C. Section 1350, as adopted pursuant to Section 906 of the Sarbanes-Oxley Act of</w:t>
        </w:r>
      </w:hyperlink>
    </w:p>
    <w:p>
      <w:pPr>
        <w:ind w:left="6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2002, from the Company’s Chief Executive Officer.</w:t>
        </w:r>
      </w:hyperlink>
    </w:p>
    <w:p>
      <w:pPr>
        <w:spacing w:after="0" w:line="113"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77">
        <w:r>
          <w:rPr>
            <w:rFonts w:ascii="Arial" w:cs="Arial" w:eastAsia="Arial" w:hAnsi="Arial"/>
            <w:sz w:val="16"/>
            <w:szCs w:val="16"/>
            <w:u w:val="single" w:color="auto"/>
            <w:color w:val="0000EE"/>
          </w:rPr>
          <w:t>Certification pursuant to 18 U.S.C. Section 1350, as adopted pursuant to Section 906 of the Sarbanes-Oxley Act of</w:t>
        </w:r>
      </w:hyperlink>
    </w:p>
    <w:p>
      <w:pPr>
        <w:ind w:left="6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2002, from the Company’s Chief Financial Officer.</w:t>
        </w:r>
      </w:hyperlink>
    </w:p>
    <w:p>
      <w:pPr>
        <w:spacing w:after="0" w:line="12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144" w:lineRule="exact"/>
        <w:rPr>
          <w:sz w:val="20"/>
          <w:szCs w:val="20"/>
          <w:color w:val="auto"/>
        </w:rPr>
      </w:pPr>
    </w:p>
    <w:p>
      <w:pPr>
        <w:ind w:left="680" w:right="40"/>
        <w:spacing w:after="0" w:line="241" w:lineRule="auto"/>
        <w:rPr>
          <w:sz w:val="20"/>
          <w:szCs w:val="20"/>
          <w:color w:val="auto"/>
        </w:rPr>
      </w:pPr>
      <w:r>
        <w:rPr>
          <w:rFonts w:ascii="Arial" w:cs="Arial" w:eastAsia="Arial" w:hAnsi="Arial"/>
          <w:sz w:val="16"/>
          <w:szCs w:val="16"/>
          <w:color w:val="auto"/>
        </w:rPr>
        <w:t>Interactive data files pursuant to Rule 405 of Regulation S-T: (i) Consolidated Balance Sheets at September 30, 2018 and December 31, 2017; (ii) Consolidated Statements of Income for the three and nine months ended September 30, 2018 and 2017; (iii) Consolidated Statements of Comprehensive Income for the three and nine months ended September 30, 2018 and 2017; (iv) Consolidated Statements of Stockholders’ Equity for the nine months ended September 30, 2018 and 2017; (v) Consolidated Statements of Cash Flows for the nine months ended September 30, 2018 and 2017; and (vi)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14408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39" w:lineRule="exact"/>
        <w:rPr>
          <w:sz w:val="20"/>
          <w:szCs w:val="20"/>
          <w:color w:val="auto"/>
        </w:rPr>
      </w:pPr>
    </w:p>
    <w:p>
      <w:pPr>
        <w:ind w:left="300" w:hanging="297"/>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ind w:left="320" w:right="400" w:hanging="317"/>
        <w:spacing w:after="0" w:line="218" w:lineRule="auto"/>
        <w:tabs>
          <w:tab w:leader="none" w:pos="3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omitted schedules and similar attachments to the subject agreement pursuant to Item 601(b) of Regulation S-K. The Company will furnish a copy of any omitted schedules or similar attachment to the SEC upon request.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19"/>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w:t>
      </w:r>
    </w:p>
    <w:p>
      <w:pPr>
        <w:jc w:val="center"/>
        <w:ind w:right="-40"/>
        <w:spacing w:after="0"/>
        <w:rPr>
          <w:sz w:val="20"/>
          <w:szCs w:val="20"/>
          <w:color w:val="auto"/>
        </w:rPr>
      </w:pPr>
      <w:r>
        <w:rPr>
          <w:rFonts w:ascii="Arial" w:cs="Arial" w:eastAsia="Arial" w:hAnsi="Arial"/>
          <w:sz w:val="18"/>
          <w:szCs w:val="18"/>
          <w:b w:val="1"/>
          <w:bCs w:val="1"/>
          <w:color w:val="auto"/>
        </w:rPr>
        <w:t>(Registrant)</w:t>
      </w:r>
    </w:p>
    <w:p>
      <w:pPr>
        <w:spacing w:after="0" w:line="14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-635</wp:posOffset>
            </wp:positionV>
            <wp:extent cx="26416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ind w:left="4900"/>
        <w:spacing w:after="0" w:line="203" w:lineRule="auto"/>
        <w:rPr>
          <w:sz w:val="20"/>
          <w:szCs w:val="20"/>
          <w:color w:val="auto"/>
        </w:rPr>
      </w:pPr>
      <w:r>
        <w:rPr>
          <w:rFonts w:ascii="Arial" w:cs="Arial" w:eastAsia="Arial" w:hAnsi="Arial"/>
          <w:sz w:val="18"/>
          <w:szCs w:val="18"/>
          <w:color w:val="auto"/>
        </w:rPr>
        <w:t>Van A. Dukeman</w:t>
      </w:r>
    </w:p>
    <w:p>
      <w:pPr>
        <w:ind w:left="4900"/>
        <w:spacing w:after="0" w:line="204" w:lineRule="auto"/>
        <w:rPr>
          <w:sz w:val="20"/>
          <w:szCs w:val="20"/>
          <w:color w:val="auto"/>
        </w:rPr>
      </w:pPr>
      <w:r>
        <w:rPr>
          <w:rFonts w:ascii="Arial" w:cs="Arial" w:eastAsia="Arial" w:hAnsi="Arial"/>
          <w:sz w:val="18"/>
          <w:szCs w:val="18"/>
          <w:color w:val="auto"/>
        </w:rPr>
        <w:t>President and Chief Executive Officer</w:t>
      </w:r>
    </w:p>
    <w:p>
      <w:pPr>
        <w:ind w:left="4900"/>
        <w:spacing w:after="0"/>
        <w:rPr>
          <w:sz w:val="20"/>
          <w:szCs w:val="20"/>
          <w:color w:val="auto"/>
        </w:rPr>
      </w:pPr>
      <w:r>
        <w:rPr>
          <w:rFonts w:ascii="Arial" w:cs="Arial" w:eastAsia="Arial" w:hAnsi="Arial"/>
          <w:sz w:val="18"/>
          <w:szCs w:val="18"/>
          <w:color w:val="auto"/>
        </w:rPr>
        <w:t>(Principal Executive Officer)</w:t>
      </w:r>
    </w:p>
    <w:p>
      <w:pPr>
        <w:spacing w:after="0" w:line="12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-635</wp:posOffset>
            </wp:positionV>
            <wp:extent cx="26416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ind w:left="4900"/>
        <w:spacing w:after="0" w:line="203" w:lineRule="auto"/>
        <w:rPr>
          <w:sz w:val="20"/>
          <w:szCs w:val="20"/>
          <w:color w:val="auto"/>
        </w:rPr>
      </w:pPr>
      <w:r>
        <w:rPr>
          <w:rFonts w:ascii="Arial" w:cs="Arial" w:eastAsia="Arial" w:hAnsi="Arial"/>
          <w:sz w:val="18"/>
          <w:szCs w:val="18"/>
          <w:color w:val="auto"/>
        </w:rPr>
        <w:t>Robin N. Elliott</w:t>
      </w:r>
    </w:p>
    <w:p>
      <w:pPr>
        <w:ind w:left="4900"/>
        <w:spacing w:after="0" w:line="204" w:lineRule="auto"/>
        <w:rPr>
          <w:sz w:val="20"/>
          <w:szCs w:val="20"/>
          <w:color w:val="auto"/>
        </w:rPr>
      </w:pPr>
      <w:r>
        <w:rPr>
          <w:rFonts w:ascii="Arial" w:cs="Arial" w:eastAsia="Arial" w:hAnsi="Arial"/>
          <w:sz w:val="18"/>
          <w:szCs w:val="18"/>
          <w:color w:val="auto"/>
        </w:rPr>
        <w:t>Chief Financial Officer</w:t>
      </w:r>
    </w:p>
    <w:p>
      <w:pPr>
        <w:ind w:left="4900"/>
        <w:spacing w:after="0"/>
        <w:rPr>
          <w:sz w:val="20"/>
          <w:szCs w:val="20"/>
          <w:color w:val="auto"/>
        </w:rPr>
      </w:pPr>
      <w:r>
        <w:rPr>
          <w:rFonts w:ascii="Arial" w:cs="Arial" w:eastAsia="Arial" w:hAnsi="Arial"/>
          <w:sz w:val="18"/>
          <w:szCs w:val="18"/>
          <w:color w:val="auto"/>
        </w:rPr>
        <w:t>(Principal Financial Officer)</w:t>
      </w:r>
    </w:p>
    <w:p>
      <w:pPr>
        <w:spacing w:after="0" w:line="12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By:/s/ JENNIFER L.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-635</wp:posOffset>
            </wp:positionV>
            <wp:extent cx="26416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ind w:left="4900"/>
        <w:spacing w:after="0" w:line="203" w:lineRule="auto"/>
        <w:rPr>
          <w:sz w:val="20"/>
          <w:szCs w:val="20"/>
          <w:color w:val="auto"/>
        </w:rPr>
      </w:pPr>
      <w:r>
        <w:rPr>
          <w:rFonts w:ascii="Arial" w:cs="Arial" w:eastAsia="Arial" w:hAnsi="Arial"/>
          <w:sz w:val="18"/>
          <w:szCs w:val="18"/>
          <w:color w:val="auto"/>
        </w:rPr>
        <w:t>Jennifer L. Simons</w:t>
      </w:r>
    </w:p>
    <w:p>
      <w:pPr>
        <w:ind w:left="4900"/>
        <w:spacing w:after="0" w:line="204" w:lineRule="auto"/>
        <w:rPr>
          <w:sz w:val="20"/>
          <w:szCs w:val="20"/>
          <w:color w:val="auto"/>
        </w:rPr>
      </w:pPr>
      <w:r>
        <w:rPr>
          <w:rFonts w:ascii="Arial" w:cs="Arial" w:eastAsia="Arial" w:hAnsi="Arial"/>
          <w:sz w:val="18"/>
          <w:szCs w:val="18"/>
          <w:color w:val="auto"/>
        </w:rPr>
        <w:t>Chief Accounting Officer</w:t>
      </w:r>
    </w:p>
    <w:p>
      <w:pPr>
        <w:ind w:left="4900"/>
        <w:spacing w:after="0"/>
        <w:rPr>
          <w:sz w:val="20"/>
          <w:szCs w:val="20"/>
          <w:color w:val="auto"/>
        </w:rPr>
      </w:pPr>
      <w:r>
        <w:rPr>
          <w:rFonts w:ascii="Arial" w:cs="Arial" w:eastAsia="Arial" w:hAnsi="Arial"/>
          <w:sz w:val="18"/>
          <w:szCs w:val="18"/>
          <w:color w:val="auto"/>
        </w:rPr>
        <w:t>(Principal Accounting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661"/>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21" w:hanging="321"/>
        <w:spacing w:after="0"/>
        <w:tabs>
          <w:tab w:leader="none" w:pos="3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21" w:right="100" w:hanging="321"/>
        <w:spacing w:after="0" w:line="264" w:lineRule="auto"/>
        <w:tabs>
          <w:tab w:leader="none" w:pos="3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21" w:hanging="321"/>
        <w:spacing w:after="0" w:line="264" w:lineRule="auto"/>
        <w:tabs>
          <w:tab w:leader="none" w:pos="3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321" w:right="220" w:hanging="321"/>
        <w:spacing w:after="0" w:line="264" w:lineRule="auto"/>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1" w:right="60" w:hanging="320"/>
        <w:spacing w:after="0" w:line="286" w:lineRule="auto"/>
        <w:tabs>
          <w:tab w:leader="none" w:pos="642"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601" w:right="360" w:hanging="320"/>
        <w:spacing w:after="0" w:line="286" w:lineRule="auto"/>
        <w:tabs>
          <w:tab w:leader="none" w:pos="652"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01" w:right="60" w:hanging="320"/>
        <w:spacing w:after="0" w:line="264" w:lineRule="auto"/>
        <w:tabs>
          <w:tab w:leader="none" w:pos="6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601" w:right="160" w:hanging="320"/>
        <w:spacing w:after="0" w:line="312" w:lineRule="auto"/>
        <w:tabs>
          <w:tab w:leader="none" w:pos="652"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321" w:right="360" w:hanging="321"/>
        <w:spacing w:after="0" w:line="264" w:lineRule="auto"/>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20" w:hanging="317"/>
        <w:spacing w:after="0" w:line="342" w:lineRule="auto"/>
        <w:tabs>
          <w:tab w:leader="none" w:pos="636" w:val="left"/>
        </w:tabs>
        <w:numPr>
          <w:ilvl w:val="2"/>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41" w:right="260" w:hanging="317"/>
        <w:spacing w:after="0" w:line="277" w:lineRule="auto"/>
        <w:tabs>
          <w:tab w:leader="none" w:pos="647"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-130810</wp:posOffset>
            </wp:positionV>
            <wp:extent cx="31902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681"/>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21" w:hanging="321"/>
        <w:spacing w:after="0"/>
        <w:tabs>
          <w:tab w:leader="none" w:pos="3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21" w:right="100" w:hanging="321"/>
        <w:spacing w:after="0" w:line="264" w:lineRule="auto"/>
        <w:tabs>
          <w:tab w:leader="none" w:pos="3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21" w:hanging="321"/>
        <w:spacing w:after="0" w:line="264" w:lineRule="auto"/>
        <w:tabs>
          <w:tab w:leader="none" w:pos="3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321" w:right="220" w:hanging="321"/>
        <w:spacing w:after="0" w:line="264"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41" w:right="20" w:hanging="317"/>
        <w:spacing w:after="0" w:line="286" w:lineRule="auto"/>
        <w:tabs>
          <w:tab w:leader="none" w:pos="636" w:val="left"/>
        </w:tabs>
        <w:numPr>
          <w:ilvl w:val="2"/>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601" w:right="360" w:hanging="320"/>
        <w:spacing w:after="0" w:line="286" w:lineRule="auto"/>
        <w:tabs>
          <w:tab w:leader="none" w:pos="652"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01" w:right="60" w:hanging="320"/>
        <w:spacing w:after="0" w:line="264" w:lineRule="auto"/>
        <w:tabs>
          <w:tab w:leader="none" w:pos="642"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601" w:right="160" w:hanging="320"/>
        <w:spacing w:after="0" w:line="312" w:lineRule="auto"/>
        <w:tabs>
          <w:tab w:leader="none" w:pos="652"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321" w:right="360" w:hanging="321"/>
        <w:spacing w:after="0" w:line="264"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20" w:hanging="317"/>
        <w:spacing w:after="0" w:line="342" w:lineRule="auto"/>
        <w:tabs>
          <w:tab w:leader="none" w:pos="636" w:val="left"/>
        </w:tabs>
        <w:numPr>
          <w:ilvl w:val="2"/>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41" w:right="260" w:hanging="317"/>
        <w:spacing w:after="0" w:line="277" w:lineRule="auto"/>
        <w:tabs>
          <w:tab w:leader="none" w:pos="647"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/s/ ROBIN N. ELLIOTT</w:t>
      </w:r>
    </w:p>
    <w:p>
      <w:pPr>
        <w:spacing w:after="0" w:line="2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-130810</wp:posOffset>
            </wp:positionV>
            <wp:extent cx="31902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75" w:name="page76"/>
    <w:bookmarkEnd w:id="75"/>
    <w:p>
      <w:pPr>
        <w:ind w:left="894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September 30, 2018,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0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76" w:name="page77"/>
    <w:bookmarkEnd w:id="76"/>
    <w:p>
      <w:pPr>
        <w:ind w:left="894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September 30, 2018,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0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ROBIN N. ELLIOTT</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Roman"/>
      <w:start w:val="2"/>
    </w:lvl>
  </w:abstractNum>
  <w:abstractNum w:abstractNumId="6">
    <w:nsid w:val="3352255A"/>
    <w:multiLevelType w:val="hybridMultilevel"/>
    <w:lvl w:ilvl="0">
      <w:lvlJc w:val="left"/>
      <w:lvlText w:val="(%1)"/>
      <w:numFmt w:val="lowerRoman"/>
      <w:start w:val="5"/>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82" Type="http://schemas.openxmlformats.org/officeDocument/2006/relationships/hyperlink" Target="http://www.sec.gov/Archives/edgar/data/314489/000104746918005732/a2236527zex-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2020-01-10T22:05:42Z</dcterms:created>
  <dcterms:modified xsi:type="dcterms:W3CDTF">2020-01-10T22:05:42Z</dcterms:modified>
</cp:coreProperties>
</file>