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6/30/2016</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38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Nevada</w:t>
            </w:r>
          </w:p>
        </w:tc>
        <w:tc>
          <w:tcPr>
            <w:tcW w:w="434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(State or other jurisdiction of</w:t>
            </w:r>
          </w:p>
        </w:tc>
        <w:tc>
          <w:tcPr>
            <w:tcW w:w="4340" w:type="dxa"/>
            <w:vAlign w:val="bottom"/>
          </w:tcPr>
          <w:p>
            <w:pPr>
              <w:jc w:val="center"/>
              <w:ind w:left="16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incorporation or organization)</w:t>
            </w:r>
          </w:p>
        </w:tc>
        <w:tc>
          <w:tcPr>
            <w:tcW w:w="4340" w:type="dxa"/>
            <w:vAlign w:val="bottom"/>
          </w:tcPr>
          <w:p>
            <w:pPr>
              <w:spacing w:after="0"/>
              <w:rPr>
                <w:sz w:val="20"/>
                <w:szCs w:val="20"/>
                <w:color w:val="auto"/>
              </w:rPr>
            </w:pPr>
          </w:p>
        </w:tc>
      </w:tr>
      <w:tr>
        <w:trPr>
          <w:trHeight w:val="414"/>
        </w:trPr>
        <w:tc>
          <w:tcPr>
            <w:tcW w:w="38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100 W. University Ave.</w:t>
            </w:r>
          </w:p>
        </w:tc>
        <w:tc>
          <w:tcPr>
            <w:tcW w:w="4340" w:type="dxa"/>
            <w:vAlign w:val="bottom"/>
          </w:tcPr>
          <w:p>
            <w:pPr>
              <w:spacing w:after="0"/>
              <w:rPr>
                <w:sz w:val="24"/>
                <w:szCs w:val="24"/>
                <w:color w:val="auto"/>
              </w:rPr>
            </w:pPr>
          </w:p>
        </w:tc>
      </w:tr>
      <w:tr>
        <w:trPr>
          <w:trHeight w:val="220"/>
        </w:trPr>
        <w:tc>
          <w:tcPr>
            <w:tcW w:w="38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2"/>
              </w:rPr>
              <w:t>Champaign, Illinois</w:t>
            </w:r>
          </w:p>
        </w:tc>
        <w:tc>
          <w:tcPr>
            <w:tcW w:w="434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16"/>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(Address of principal</w:t>
            </w:r>
          </w:p>
        </w:tc>
        <w:tc>
          <w:tcPr>
            <w:tcW w:w="4340" w:type="dxa"/>
            <w:vAlign w:val="bottom"/>
          </w:tcPr>
          <w:p>
            <w:pPr>
              <w:jc w:val="center"/>
              <w:ind w:left="1610"/>
              <w:spacing w:after="0"/>
              <w:rPr>
                <w:sz w:val="20"/>
                <w:szCs w:val="20"/>
                <w:color w:val="auto"/>
              </w:rPr>
            </w:pPr>
            <w:r>
              <w:rPr>
                <w:rFonts w:ascii="Arial" w:cs="Arial" w:eastAsia="Arial" w:hAnsi="Arial"/>
                <w:sz w:val="18"/>
                <w:szCs w:val="18"/>
                <w:color w:val="auto"/>
                <w:w w:val="93"/>
              </w:rPr>
              <w:t>(Zip code)</w:t>
            </w:r>
          </w:p>
        </w:tc>
      </w:tr>
      <w:tr>
        <w:trPr>
          <w:trHeight w:val="230"/>
        </w:trPr>
        <w:tc>
          <w:tcPr>
            <w:tcW w:w="3880" w:type="dxa"/>
            <w:vAlign w:val="bottom"/>
          </w:tcPr>
          <w:p>
            <w:pPr>
              <w:jc w:val="center"/>
              <w:ind w:right="1590"/>
              <w:spacing w:after="0"/>
              <w:rPr>
                <w:sz w:val="20"/>
                <w:szCs w:val="20"/>
                <w:color w:val="auto"/>
              </w:rPr>
            </w:pPr>
            <w:r>
              <w:rPr>
                <w:rFonts w:ascii="Arial" w:cs="Arial" w:eastAsia="Arial" w:hAnsi="Arial"/>
                <w:sz w:val="18"/>
                <w:szCs w:val="18"/>
                <w:color w:val="auto"/>
                <w:w w:val="92"/>
              </w:rPr>
              <w:t>executive offices)</w:t>
            </w:r>
          </w:p>
        </w:tc>
        <w:tc>
          <w:tcPr>
            <w:tcW w:w="434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25"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236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2360" w:type="dxa"/>
            <w:vAlign w:val="bottom"/>
          </w:tcPr>
          <w:p>
            <w:pPr>
              <w:jc w:val="right"/>
              <w:spacing w:after="0"/>
              <w:rPr>
                <w:sz w:val="20"/>
                <w:szCs w:val="20"/>
                <w:color w:val="auto"/>
              </w:rPr>
            </w:pPr>
            <w:r>
              <w:rPr>
                <w:rFonts w:ascii="Arial" w:cs="Arial" w:eastAsia="Arial" w:hAnsi="Arial"/>
                <w:sz w:val="18"/>
                <w:szCs w:val="18"/>
                <w:color w:val="auto"/>
              </w:rPr>
              <w:t>Smaller reporting company o</w:t>
            </w: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w w:val="93"/>
              </w:rPr>
              <w:t>Indicate by check mark whether the registrant is a shell company (as defined in Rule 12b-2 of the Exchange Act).</w:t>
            </w:r>
          </w:p>
        </w:tc>
        <w:tc>
          <w:tcPr>
            <w:tcW w:w="2360" w:type="dxa"/>
            <w:vAlign w:val="bottom"/>
          </w:tcPr>
          <w:p>
            <w:pPr>
              <w:spacing w:after="0"/>
              <w:rPr>
                <w:sz w:val="24"/>
                <w:szCs w:val="24"/>
                <w:color w:val="auto"/>
              </w:rPr>
            </w:pPr>
          </w:p>
        </w:tc>
      </w:tr>
      <w:tr>
        <w:trPr>
          <w:trHeight w:val="432"/>
        </w:trPr>
        <w:tc>
          <w:tcPr>
            <w:tcW w:w="8420" w:type="dxa"/>
            <w:vAlign w:val="bottom"/>
          </w:tcPr>
          <w:p>
            <w:pPr>
              <w:spacing w:after="0"/>
              <w:rPr>
                <w:sz w:val="20"/>
                <w:szCs w:val="20"/>
                <w:color w:val="auto"/>
              </w:rPr>
            </w:pPr>
            <w:r>
              <w:rPr>
                <w:rFonts w:ascii="Arial" w:cs="Arial" w:eastAsia="Arial" w:hAnsi="Arial"/>
                <w:sz w:val="18"/>
                <w:szCs w:val="18"/>
                <w:color w:val="auto"/>
              </w:rPr>
              <w:t>Yes o No x</w:t>
            </w:r>
          </w:p>
        </w:tc>
        <w:tc>
          <w:tcPr>
            <w:tcW w:w="2360" w:type="dxa"/>
            <w:vAlign w:val="bottom"/>
          </w:tcPr>
          <w:p>
            <w:pPr>
              <w:spacing w:after="0"/>
              <w:rPr>
                <w:sz w:val="24"/>
                <w:szCs w:val="24"/>
                <w:color w:val="auto"/>
              </w:rPr>
            </w:pP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4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Class</w:t>
            </w:r>
          </w:p>
        </w:tc>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August 9, 2016</w:t>
            </w: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980" w:type="dxa"/>
            <w:vAlign w:val="bottom"/>
          </w:tcPr>
          <w:p>
            <w:pPr>
              <w:spacing w:after="0"/>
              <w:rPr>
                <w:sz w:val="19"/>
                <w:szCs w:val="19"/>
                <w:color w:val="auto"/>
              </w:rPr>
            </w:pPr>
          </w:p>
        </w:tc>
        <w:tc>
          <w:tcPr>
            <w:tcW w:w="4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180" w:type="dxa"/>
            <w:vAlign w:val="bottom"/>
          </w:tcPr>
          <w:p>
            <w:pPr>
              <w:spacing w:after="0"/>
              <w:rPr>
                <w:sz w:val="19"/>
                <w:szCs w:val="19"/>
                <w:color w:val="auto"/>
              </w:rPr>
            </w:pPr>
          </w:p>
        </w:tc>
        <w:tc>
          <w:tcPr>
            <w:tcW w:w="4440" w:type="dxa"/>
            <w:vAlign w:val="bottom"/>
            <w:tcBorders>
              <w:top w:val="single" w:sz="8" w:color="auto"/>
            </w:tcBorders>
          </w:tcPr>
          <w:p>
            <w:pPr>
              <w:jc w:val="right"/>
              <w:ind w:right="1739"/>
              <w:spacing w:after="0"/>
              <w:rPr>
                <w:sz w:val="20"/>
                <w:szCs w:val="20"/>
                <w:color w:val="auto"/>
              </w:rPr>
            </w:pPr>
            <w:r>
              <w:rPr>
                <w:rFonts w:ascii="Arial" w:cs="Arial" w:eastAsia="Arial" w:hAnsi="Arial"/>
                <w:sz w:val="18"/>
                <w:szCs w:val="18"/>
                <w:color w:val="auto"/>
              </w:rPr>
              <w:t>38,204,559</w:t>
            </w:r>
          </w:p>
        </w:tc>
        <w:tc>
          <w:tcPr>
            <w:tcW w:w="13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980" w:type="dxa"/>
            <w:vAlign w:val="bottom"/>
            <w:tcBorders>
              <w:bottom w:val="single" w:sz="8" w:color="auto"/>
            </w:tcBorders>
          </w:tcPr>
          <w:p>
            <w:pPr>
              <w:spacing w:after="0"/>
              <w:rPr>
                <w:sz w:val="17"/>
                <w:szCs w:val="17"/>
                <w:color w:val="auto"/>
              </w:rPr>
            </w:pPr>
          </w:p>
        </w:tc>
        <w:tc>
          <w:tcPr>
            <w:tcW w:w="45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980" w:type="dxa"/>
            <w:vAlign w:val="bottom"/>
            <w:tcBorders>
              <w:bottom w:val="single" w:sz="8" w:color="auto"/>
            </w:tcBorders>
          </w:tcPr>
          <w:p>
            <w:pPr>
              <w:spacing w:after="0"/>
              <w:rPr>
                <w:sz w:val="7"/>
                <w:szCs w:val="7"/>
                <w:color w:val="auto"/>
              </w:rPr>
            </w:pPr>
          </w:p>
        </w:tc>
        <w:tc>
          <w:tcPr>
            <w:tcW w:w="4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4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98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June 30, 2016 and December 31, 2015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60"/>
          </w:cols>
          <w:pgMar w:left="240" w:top="544" w:right="199" w:bottom="0" w:gutter="0" w:footer="0" w:header="0"/>
        </w:sectPr>
      </w:pPr>
    </w:p>
    <w:bookmarkStart w:id="1" w:name="page2"/>
    <w:bookmarkEnd w:id="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June 30, 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40" w:type="dxa"/>
            <w:vAlign w:val="bottom"/>
            <w:tcBorders>
              <w:top w:val="single" w:sz="8" w:color="auto"/>
            </w:tcBorders>
            <w:gridSpan w:val="6"/>
          </w:tcPr>
          <w:p>
            <w:pPr>
              <w:jc w:val="right"/>
              <w:ind w:right="991"/>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Cash and due from banks (interest-bearing 2016 $193,340; 2015 $250,404)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264,841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319,280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267,072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319,280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Securities available for sale, at fair value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801,349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834,838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Securities held to maturity, at amortized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Loans held for sale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278,125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9,351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Loans (net of allowance for loan losses 2016 $45,358; 2015 $47,487)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3,735,608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Premises and equipment,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81,009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63,088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102,181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21,025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7,432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surrender value of bank owned life insurance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Deferred tax asset,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22,568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5,510,199</w:t>
            </w:r>
          </w:p>
        </w:tc>
        <w:tc>
          <w:tcPr>
            <w:tcW w:w="2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8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2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Noninterest-bearing</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1,045,180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881,685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3,339,329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2,407,421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60"/>
              <w:spacing w:after="0"/>
              <w:rPr>
                <w:sz w:val="20"/>
                <w:szCs w:val="20"/>
                <w:color w:val="auto"/>
              </w:rPr>
            </w:pPr>
            <w:r>
              <w:rPr>
                <w:rFonts w:ascii="Arial" w:cs="Arial" w:eastAsia="Arial" w:hAnsi="Arial"/>
                <w:sz w:val="18"/>
                <w:szCs w:val="18"/>
                <w:color w:val="auto"/>
              </w:rPr>
              <w:t>Total deposits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4,384,509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3,289,106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Securities sold under agreements to repurchase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173,726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172,972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Long-term debt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70,801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46,846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28,712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4,922,082</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3,625,790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Commitments and contingencies (See Note 11- Outstanding Commitments and Contingent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authorized 66,666,667 shares; shares issued 2016 38,869,519; 2015</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29,427,738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785,825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591,053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(177,372)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7,971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616,463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403,157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Common stock shares held in treasury at cost, 2016 707,405; 2015 732,887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588,117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373,186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5,510,199</w:t>
            </w:r>
          </w:p>
        </w:tc>
        <w:tc>
          <w:tcPr>
            <w:tcW w:w="200" w:type="dxa"/>
            <w:vAlign w:val="bottom"/>
            <w:tcBorders>
              <w:left w:val="single" w:sz="8" w:color="CCEEFF"/>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 at period end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38,162,114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28,694,851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gridSpan w:val="2"/>
          </w:tcPr>
          <w:p>
            <w:pPr>
              <w:jc w:val="center"/>
              <w:ind w:left="363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jc w:val="center"/>
              <w:ind w:left="3630"/>
              <w:spacing w:after="0"/>
              <w:rPr>
                <w:sz w:val="20"/>
                <w:szCs w:val="20"/>
                <w:color w:val="auto"/>
              </w:rPr>
            </w:pPr>
            <w:r>
              <w:rPr>
                <w:rFonts w:ascii="Arial" w:cs="Arial" w:eastAsia="Arial" w:hAnsi="Arial"/>
                <w:sz w:val="18"/>
                <w:szCs w:val="18"/>
                <w:b w:val="1"/>
                <w:bCs w:val="1"/>
                <w:color w:val="auto"/>
              </w:rPr>
              <w:t>CONSOLIDATED STATEMENTS OF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90"/>
              </w:rPr>
              <w:t>For the Six Months Ended June 30, 2016 and 2015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80" w:type="dxa"/>
            <w:vAlign w:val="bottom"/>
          </w:tcPr>
          <w:p>
            <w:pPr>
              <w:jc w:val="center"/>
              <w:ind w:left="3610"/>
              <w:spacing w:after="0"/>
              <w:rPr>
                <w:sz w:val="20"/>
                <w:szCs w:val="20"/>
                <w:color w:val="auto"/>
              </w:rPr>
            </w:pPr>
            <w:r>
              <w:rPr>
                <w:rFonts w:ascii="Arial" w:cs="Arial" w:eastAsia="Arial" w:hAnsi="Arial"/>
                <w:sz w:val="18"/>
                <w:szCs w:val="18"/>
                <w:b w:val="1"/>
                <w:bCs w:val="1"/>
                <w:color w:val="auto"/>
                <w:w w:val="93"/>
              </w:rPr>
              <w:t>(Unaudited)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340" w:type="dxa"/>
            <w:vAlign w:val="bottom"/>
            <w:gridSpan w:val="6"/>
          </w:tcPr>
          <w:p>
            <w:pPr>
              <w:jc w:val="right"/>
              <w:ind w:right="231"/>
              <w:spacing w:after="0" w:line="142" w:lineRule="exact"/>
              <w:rPr>
                <w:sz w:val="20"/>
                <w:szCs w:val="20"/>
                <w:color w:val="auto"/>
              </w:rPr>
            </w:pPr>
            <w:r>
              <w:rPr>
                <w:rFonts w:ascii="Arial" w:cs="Arial" w:eastAsia="Arial" w:hAnsi="Arial"/>
                <w:sz w:val="14"/>
                <w:szCs w:val="14"/>
                <w:b w:val="1"/>
                <w:bCs w:val="1"/>
                <w:color w:val="auto"/>
                <w:w w:val="91"/>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Interest and fees on loans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61,331</w:t>
            </w:r>
          </w:p>
        </w:tc>
        <w:tc>
          <w:tcPr>
            <w:tcW w:w="200" w:type="dxa"/>
            <w:vAlign w:val="bottom"/>
          </w:tcPr>
          <w:p>
            <w:pPr>
              <w:spacing w:after="0"/>
              <w:rPr>
                <w:sz w:val="18"/>
                <w:szCs w:val="18"/>
                <w:color w:val="auto"/>
              </w:rPr>
            </w:pPr>
          </w:p>
        </w:tc>
        <w:tc>
          <w:tcPr>
            <w:tcW w:w="3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48,752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dividends on investment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Taxable interest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7,187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6,797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Non-taxable interest income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interest income</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70,062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2,899</w:t>
            </w:r>
          </w:p>
        </w:tc>
        <w:tc>
          <w:tcPr>
            <w:tcW w:w="200" w:type="dxa"/>
            <w:vAlign w:val="bottom"/>
          </w:tcPr>
          <w:p>
            <w:pPr>
              <w:spacing w:after="0"/>
              <w:rPr>
                <w:sz w:val="18"/>
                <w:szCs w:val="18"/>
                <w:color w:val="auto"/>
              </w:rPr>
            </w:pPr>
          </w:p>
        </w:tc>
        <w:tc>
          <w:tcPr>
            <w:tcW w:w="30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Junior subordinated debt owed to unconsolidated trusts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Net interest income</w:t>
            </w:r>
          </w:p>
        </w:tc>
        <w:tc>
          <w:tcPr>
            <w:tcW w:w="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65,894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54,021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20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-3362960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-3362960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333" w:right="19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63,794</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53,521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10,592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10,843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5,755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5,475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Other service charges and fees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3,535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loans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Security gains (losses), net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1,219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income</w:t>
            </w:r>
          </w:p>
        </w:tc>
        <w:tc>
          <w:tcPr>
            <w:tcW w:w="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35,423</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32,588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Salaries and wages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26,906</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27,816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benefits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6,953</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Net occupancy expense of premises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4,899</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4,406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Furniture and equipment expense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8,247</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6,761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180"/>
              <w:spacing w:after="0"/>
              <w:rPr>
                <w:sz w:val="20"/>
                <w:szCs w:val="20"/>
                <w:color w:val="auto"/>
              </w:rPr>
            </w:pPr>
            <w:r>
              <w:rPr>
                <w:rFonts w:ascii="Arial" w:cs="Arial" w:eastAsia="Arial" w:hAnsi="Arial"/>
                <w:sz w:val="18"/>
                <w:szCs w:val="18"/>
                <w:color w:val="auto"/>
              </w:rPr>
              <w:t>Regulatory expense</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1,472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10,956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non-interest expense</w:t>
            </w:r>
          </w:p>
        </w:tc>
        <w:tc>
          <w:tcPr>
            <w:tcW w:w="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12,364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Preferred stock dividends</w:t>
            </w:r>
          </w:p>
        </w:tc>
        <w:tc>
          <w:tcPr>
            <w:tcW w:w="4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 available to common stockholders</w:t>
            </w:r>
          </w:p>
        </w:tc>
        <w:tc>
          <w:tcPr>
            <w:tcW w:w="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4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Borders>
              <w:bottom w:val="single" w:sz="8" w:color="CCEEFF"/>
            </w:tcBorders>
            <w:vMerge w:val="continue"/>
          </w:tcPr>
          <w:p>
            <w:pPr>
              <w:spacing w:after="0"/>
              <w:rPr>
                <w:sz w:val="20"/>
                <w:szCs w:val="20"/>
                <w:color w:val="auto"/>
              </w:rPr>
            </w:pPr>
          </w:p>
        </w:tc>
        <w:tc>
          <w:tcPr>
            <w:tcW w:w="40" w:type="dxa"/>
            <w:vAlign w:val="bottom"/>
            <w:tcBorders>
              <w:bottom w:val="single" w:sz="8" w:color="CCEEFF"/>
            </w:tcBorders>
            <w:vMerge w:val="continue"/>
          </w:tcPr>
          <w:p>
            <w:pPr>
              <w:spacing w:after="0"/>
              <w:rPr>
                <w:sz w:val="20"/>
                <w:szCs w:val="20"/>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0.72</w:t>
            </w:r>
          </w:p>
        </w:tc>
        <w:tc>
          <w:tcPr>
            <w:tcW w:w="1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0.71</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0.59</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4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0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0.30</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00" w:type="dxa"/>
            <w:vAlign w:val="bottom"/>
          </w:tcPr>
          <w:p>
            <w:pPr>
              <w:jc w:val="center"/>
              <w:ind w:left="363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tcPr>
          <w:p>
            <w:pPr>
              <w:jc w:val="center"/>
              <w:ind w:left="3650"/>
              <w:spacing w:after="0"/>
              <w:rPr>
                <w:sz w:val="20"/>
                <w:szCs w:val="20"/>
                <w:color w:val="auto"/>
              </w:rPr>
            </w:pPr>
            <w:r>
              <w:rPr>
                <w:rFonts w:ascii="Arial" w:cs="Arial" w:eastAsia="Arial" w:hAnsi="Arial"/>
                <w:sz w:val="18"/>
                <w:szCs w:val="18"/>
                <w:b w:val="1"/>
                <w:bCs w:val="1"/>
                <w:color w:val="auto"/>
              </w:rPr>
              <w:t>CONSOLIDATED STATEMENTS OF INCOME</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3"/>
          </w:tcPr>
          <w:p>
            <w:pPr>
              <w:jc w:val="center"/>
              <w:ind w:left="2550"/>
              <w:spacing w:after="0"/>
              <w:rPr>
                <w:sz w:val="20"/>
                <w:szCs w:val="20"/>
                <w:color w:val="auto"/>
              </w:rPr>
            </w:pPr>
            <w:r>
              <w:rPr>
                <w:rFonts w:ascii="Arial" w:cs="Arial" w:eastAsia="Arial" w:hAnsi="Arial"/>
                <w:sz w:val="18"/>
                <w:szCs w:val="18"/>
                <w:b w:val="1"/>
                <w:bCs w:val="1"/>
                <w:color w:val="auto"/>
                <w:w w:val="91"/>
              </w:rPr>
              <w:t>For the Three Months Ended June 30, 2016 and 2015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00" w:type="dxa"/>
            <w:vAlign w:val="bottom"/>
          </w:tcPr>
          <w:p>
            <w:pPr>
              <w:jc w:val="center"/>
              <w:ind w:left="3630"/>
              <w:spacing w:after="0"/>
              <w:rPr>
                <w:sz w:val="20"/>
                <w:szCs w:val="20"/>
                <w:color w:val="auto"/>
              </w:rPr>
            </w:pPr>
            <w:r>
              <w:rPr>
                <w:rFonts w:ascii="Arial" w:cs="Arial" w:eastAsia="Arial" w:hAnsi="Arial"/>
                <w:sz w:val="18"/>
                <w:szCs w:val="18"/>
                <w:b w:val="1"/>
                <w:bCs w:val="1"/>
                <w:color w:val="auto"/>
                <w:w w:val="93"/>
              </w:rPr>
              <w:t>(Unaudited)</w:t>
            </w:r>
          </w:p>
        </w:tc>
        <w:tc>
          <w:tcPr>
            <w:tcW w:w="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700" w:type="dxa"/>
            <w:vAlign w:val="bottom"/>
          </w:tcPr>
          <w:p>
            <w:pPr>
              <w:spacing w:after="0"/>
              <w:rPr>
                <w:sz w:val="24"/>
                <w:szCs w:val="24"/>
                <w:color w:val="auto"/>
              </w:rPr>
            </w:pPr>
          </w:p>
        </w:tc>
        <w:tc>
          <w:tcPr>
            <w:tcW w:w="110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ind w:right="59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80" w:type="dxa"/>
            <w:vAlign w:val="bottom"/>
            <w:tcBorders>
              <w:top w:val="single" w:sz="8" w:color="auto"/>
            </w:tcBorders>
            <w:gridSpan w:val="6"/>
          </w:tcPr>
          <w:p>
            <w:pPr>
              <w:jc w:val="right"/>
              <w:ind w:right="230"/>
              <w:spacing w:after="0" w:line="142" w:lineRule="exact"/>
              <w:rPr>
                <w:sz w:val="20"/>
                <w:szCs w:val="20"/>
                <w:color w:val="auto"/>
              </w:rPr>
            </w:pPr>
            <w:r>
              <w:rPr>
                <w:rFonts w:ascii="Arial" w:cs="Arial" w:eastAsia="Arial" w:hAnsi="Arial"/>
                <w:sz w:val="14"/>
                <w:szCs w:val="14"/>
                <w:b w:val="1"/>
                <w:bCs w:val="1"/>
                <w:color w:val="auto"/>
                <w:w w:val="98"/>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Interest and fees on loans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36,187</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dividends on investment securities: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80"/>
              <w:spacing w:after="0"/>
              <w:rPr>
                <w:sz w:val="20"/>
                <w:szCs w:val="20"/>
                <w:color w:val="auto"/>
              </w:rPr>
            </w:pPr>
            <w:r>
              <w:rPr>
                <w:rFonts w:ascii="Arial" w:cs="Arial" w:eastAsia="Arial" w:hAnsi="Arial"/>
                <w:sz w:val="18"/>
                <w:szCs w:val="18"/>
                <w:color w:val="auto"/>
              </w:rPr>
              <w:t>Taxable interest income</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3,576</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Non-taxable interest income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income</w:t>
            </w:r>
          </w:p>
        </w:tc>
        <w:tc>
          <w:tcPr>
            <w:tcW w:w="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40,538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28,910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1,792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Pr>
          <w:p>
            <w:pPr>
              <w:ind w:left="380"/>
              <w:spacing w:after="0"/>
              <w:rPr>
                <w:sz w:val="20"/>
                <w:szCs w:val="20"/>
                <w:color w:val="auto"/>
              </w:rPr>
            </w:pPr>
            <w:r>
              <w:rPr>
                <w:rFonts w:ascii="Arial" w:cs="Arial" w:eastAsia="Arial" w:hAnsi="Arial"/>
                <w:sz w:val="18"/>
                <w:szCs w:val="18"/>
                <w:color w:val="auto"/>
              </w:rPr>
              <w:t>Net interest income</w:t>
            </w:r>
          </w:p>
        </w:tc>
        <w:tc>
          <w:tcPr>
            <w:tcW w:w="40" w:type="dxa"/>
            <w:vAlign w:val="bottom"/>
          </w:tcPr>
          <w:p>
            <w:pPr>
              <w:spacing w:after="0"/>
              <w:rPr>
                <w:sz w:val="18"/>
                <w:szCs w:val="18"/>
                <w:color w:val="auto"/>
              </w:rPr>
            </w:pPr>
          </w:p>
        </w:tc>
        <w:tc>
          <w:tcPr>
            <w:tcW w:w="1060" w:type="dxa"/>
            <w:vAlign w:val="bottom"/>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27,351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1,100</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income:</w:t>
            </w: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Trust fees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5,045</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and brokers’ fees, net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Remittance processing</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3,919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Other service charges and fees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1,954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sales of loans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Security gains (losses), net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non-interest income</w:t>
            </w:r>
          </w:p>
        </w:tc>
        <w:tc>
          <w:tcPr>
            <w:tcW w:w="4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18,577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16,623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Non-interest expense:</w:t>
            </w:r>
          </w:p>
        </w:tc>
        <w:tc>
          <w:tcPr>
            <w:tcW w:w="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Salaries and wages</w:t>
            </w:r>
          </w:p>
        </w:tc>
        <w:tc>
          <w:tcPr>
            <w:tcW w:w="1100" w:type="dxa"/>
            <w:vAlign w:val="bottom"/>
            <w:gridSpan w:val="2"/>
          </w:tcPr>
          <w:p>
            <w:pPr>
              <w:jc w:val="right"/>
              <w:ind w:right="905"/>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14,507</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13,310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3,986</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Net occupancy expense of premises</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2,732</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equipment expense</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5,015</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7"/>
        </w:trPr>
        <w:tc>
          <w:tcPr>
            <w:tcW w:w="77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-5765800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-5765800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1,109</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0"/>
              <w:spacing w:after="0"/>
              <w:rPr>
                <w:sz w:val="20"/>
                <w:szCs w:val="20"/>
                <w:color w:val="auto"/>
              </w:rPr>
            </w:pPr>
            <w:r>
              <w:rPr>
                <w:rFonts w:ascii="Arial" w:cs="Arial" w:eastAsia="Arial" w:hAnsi="Arial"/>
                <w:sz w:val="18"/>
                <w:szCs w:val="18"/>
                <w:color w:val="auto"/>
              </w:rPr>
              <w:t>Regulatory expense</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6,471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non-interest expense</w:t>
            </w:r>
          </w:p>
        </w:tc>
        <w:tc>
          <w:tcPr>
            <w:tcW w:w="194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36,348</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6,698</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5,593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w:t>
            </w:r>
          </w:p>
        </w:tc>
        <w:tc>
          <w:tcPr>
            <w:tcW w:w="19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Preferred stock dividends</w:t>
            </w:r>
          </w:p>
        </w:tc>
        <w:tc>
          <w:tcPr>
            <w:tcW w:w="194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 available to common stockholders</w:t>
            </w:r>
          </w:p>
        </w:tc>
        <w:tc>
          <w:tcPr>
            <w:tcW w:w="194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12,383</w:t>
            </w:r>
          </w:p>
        </w:tc>
        <w:tc>
          <w:tcPr>
            <w:tcW w:w="2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9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00" w:type="dxa"/>
            <w:vAlign w:val="bottom"/>
            <w:tcBorders>
              <w:bottom w:val="single" w:sz="8" w:color="CCEEFF"/>
            </w:tcBorders>
            <w:vMerge w:val="continue"/>
          </w:tcPr>
          <w:p>
            <w:pPr>
              <w:spacing w:after="0"/>
              <w:rPr>
                <w:sz w:val="20"/>
                <w:szCs w:val="20"/>
                <w:color w:val="auto"/>
              </w:rPr>
            </w:pPr>
          </w:p>
        </w:tc>
        <w:tc>
          <w:tcPr>
            <w:tcW w:w="1940" w:type="dxa"/>
            <w:vAlign w:val="bottom"/>
            <w:tcBorders>
              <w:bottom w:val="single" w:sz="8" w:color="CCEEFF"/>
            </w:tcBorders>
            <w:vMerge w:val="continue"/>
          </w:tcPr>
          <w:p>
            <w:pPr>
              <w:spacing w:after="0"/>
              <w:rPr>
                <w:sz w:val="20"/>
                <w:szCs w:val="20"/>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8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0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1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19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00" w:type="dxa"/>
            <w:vAlign w:val="bottom"/>
            <w:vMerge w:val="continue"/>
          </w:tcPr>
          <w:p>
            <w:pPr>
              <w:spacing w:after="0"/>
              <w:rPr>
                <w:sz w:val="17"/>
                <w:szCs w:val="17"/>
                <w:color w:val="auto"/>
              </w:rPr>
            </w:pPr>
          </w:p>
        </w:tc>
        <w:tc>
          <w:tcPr>
            <w:tcW w:w="1940" w:type="dxa"/>
            <w:vAlign w:val="bottom"/>
            <w:vMerge w:val="continue"/>
          </w:tcPr>
          <w:p>
            <w:pPr>
              <w:spacing w:after="0"/>
              <w:rPr>
                <w:sz w:val="17"/>
                <w:szCs w:val="17"/>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0.17</w:t>
            </w:r>
          </w:p>
        </w:tc>
        <w:tc>
          <w:tcPr>
            <w:tcW w:w="28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0.15</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28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0" w:type="dxa"/>
            <w:vAlign w:val="bottom"/>
            <w:vMerge w:val="restart"/>
          </w:tcPr>
          <w:p>
            <w:pPr>
              <w:spacing w:after="0"/>
              <w:rPr>
                <w:sz w:val="9"/>
                <w:szCs w:val="9"/>
                <w:color w:val="auto"/>
              </w:rPr>
            </w:pPr>
          </w:p>
        </w:tc>
        <w:tc>
          <w:tcPr>
            <w:tcW w:w="6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12,383</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22,817</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Pr>
          <w:p>
            <w:pPr>
              <w:spacing w:after="0" w:line="196" w:lineRule="exact"/>
              <w:rPr>
                <w:sz w:val="20"/>
                <w:szCs w:val="20"/>
                <w:color w:val="auto"/>
              </w:rPr>
            </w:pPr>
            <w:r>
              <w:rPr>
                <w:rFonts w:ascii="Arial" w:cs="Arial" w:eastAsia="Arial" w:hAnsi="Arial"/>
                <w:sz w:val="18"/>
                <w:szCs w:val="18"/>
                <w:color w:val="auto"/>
              </w:rPr>
              <w:t>Other comprehensive income, before tax:</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available for sale: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Unrealized net gains (losses) on securities: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Unrealized net holding gains (losses) arising during period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10,599</w:t>
            </w:r>
          </w:p>
        </w:tc>
        <w:tc>
          <w:tcPr>
            <w:tcW w:w="30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520"/>
              <w:spacing w:after="0"/>
              <w:rPr>
                <w:sz w:val="20"/>
                <w:szCs w:val="20"/>
                <w:color w:val="auto"/>
              </w:rPr>
            </w:pPr>
            <w:r>
              <w:rPr>
                <w:rFonts w:ascii="Arial" w:cs="Arial" w:eastAsia="Arial" w:hAnsi="Arial"/>
                <w:sz w:val="18"/>
                <w:szCs w:val="18"/>
                <w:color w:val="auto"/>
              </w:rPr>
              <w:t>Reclassification adjustment for (gains) losses included in net income</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2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w w:val="95"/>
              </w:rPr>
              <w:t>Income tax expense (benefit) related to items of other comprehensive income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7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Preferred</w:t>
            </w:r>
          </w:p>
        </w:tc>
        <w:tc>
          <w:tcPr>
            <w:tcW w:w="140" w:type="dxa"/>
            <w:vAlign w:val="bottom"/>
          </w:tcPr>
          <w:p>
            <w:pPr>
              <w:spacing w:after="0"/>
              <w:rPr>
                <w:sz w:val="12"/>
                <w:szCs w:val="12"/>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Treasury</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Capital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Income</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Stock</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593,746</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(210,384)</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(28,233)</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treasury stock for employee stock</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 for restricted</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stock unit vesting and related tax benefit</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Issuance of treasury stock</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Cash dividends common stock at $0.30 per</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(8,687)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dividend equivalents restricted stock</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at $0.30 per share</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Stock-based employee compensation</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72,664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593,848</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(27,421)</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442,588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591,053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(190,265)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(29,971)</w:t>
            </w:r>
          </w:p>
        </w:tc>
        <w:tc>
          <w:tcPr>
            <w:tcW w:w="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373,186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40"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22,817</w:t>
            </w: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420" w:type="dxa"/>
            <w:vAlign w:val="bottom"/>
          </w:tcPr>
          <w:p>
            <w:pPr>
              <w:spacing w:after="0"/>
              <w:rPr>
                <w:sz w:val="18"/>
                <w:szCs w:val="18"/>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5,631</w:t>
            </w:r>
          </w:p>
        </w:tc>
        <w:tc>
          <w:tcPr>
            <w:tcW w:w="220" w:type="dxa"/>
            <w:vAlign w:val="bottom"/>
          </w:tcPr>
          <w:p>
            <w:pPr>
              <w:spacing w:after="0"/>
              <w:rPr>
                <w:sz w:val="18"/>
                <w:szCs w:val="18"/>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in acquisition of Pulaski, net of</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issuance costs</w:t>
            </w:r>
          </w:p>
        </w:tc>
        <w:tc>
          <w:tcPr>
            <w:tcW w:w="4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10</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195,188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w w:val="96"/>
              </w:rPr>
              <w:t>Issuance of treasury stock for employee stock</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purchase plan</w:t>
            </w:r>
          </w:p>
        </w:tc>
        <w:tc>
          <w:tcPr>
            <w:tcW w:w="420" w:type="dxa"/>
            <w:vAlign w:val="bottom"/>
          </w:tcPr>
          <w:p>
            <w:pPr>
              <w:spacing w:after="0"/>
              <w:rPr>
                <w:sz w:val="20"/>
                <w:szCs w:val="20"/>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668</w:t>
            </w: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treasury stock for restricted</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unit vesting and related tax benefit</w:t>
            </w:r>
          </w:p>
        </w:tc>
        <w:tc>
          <w:tcPr>
            <w:tcW w:w="4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w w:val="94"/>
              </w:rPr>
              <w:t>Net issuance of stock options exercised, net of</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shares redeemed and related tax benefit</w:t>
            </w:r>
          </w:p>
        </w:tc>
        <w:tc>
          <w:tcPr>
            <w:tcW w:w="420" w:type="dxa"/>
            <w:vAlign w:val="bottom"/>
          </w:tcPr>
          <w:p>
            <w:pPr>
              <w:spacing w:after="0"/>
              <w:rPr>
                <w:sz w:val="20"/>
                <w:szCs w:val="20"/>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(818)</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dividends common stock at $0.34 per</w:t>
            </w: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42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w:t>
            </w:r>
          </w:p>
        </w:tc>
        <w:tc>
          <w:tcPr>
            <w:tcW w:w="4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Stock dividend equivalents restricted stock</w:t>
            </w: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units at $0.34 per share</w:t>
            </w:r>
          </w:p>
        </w:tc>
        <w:tc>
          <w:tcPr>
            <w:tcW w:w="420" w:type="dxa"/>
            <w:vAlign w:val="bottom"/>
          </w:tcPr>
          <w:p>
            <w:pPr>
              <w:spacing w:after="0"/>
              <w:rPr>
                <w:sz w:val="20"/>
                <w:szCs w:val="20"/>
                <w:color w:val="auto"/>
              </w:rPr>
            </w:pPr>
          </w:p>
        </w:tc>
        <w:tc>
          <w:tcPr>
            <w:tcW w:w="110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(165)</w:t>
            </w:r>
          </w:p>
        </w:tc>
        <w:tc>
          <w:tcPr>
            <w:tcW w:w="4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Stock-based employee compensation</w:t>
            </w:r>
          </w:p>
        </w:tc>
        <w:tc>
          <w:tcPr>
            <w:tcW w:w="4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June 30, 2016</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79"/>
              </w:rPr>
              <w:t>39</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785,825</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(177,372) $</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(28,346)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0"/>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22,817</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17,697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Stock-based and non-cash compensation</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792</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3,218</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1,875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2,100</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Provision for deferred income taxes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(4,621)</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security premiums and discounts,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3,722</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Accretion of time deposits and trust preferred securities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Accretion of premiums and discounts on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Net security (gains) losses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(1,219)</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sales of loans, net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(3,604)</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Net losses (gains) on disposition of premises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Premises and equipment impairment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color w:val="auto"/>
              </w:rPr>
              <w:t>Increase in cash surrender value of bank owned life insurance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(678)</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assets and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40"/>
              <w:spacing w:after="0"/>
              <w:rPr>
                <w:sz w:val="20"/>
                <w:szCs w:val="20"/>
                <w:color w:val="auto"/>
              </w:rPr>
            </w:pPr>
            <w:r>
              <w:rPr>
                <w:rFonts w:ascii="Arial" w:cs="Arial" w:eastAsia="Arial" w:hAnsi="Arial"/>
                <w:sz w:val="18"/>
                <w:szCs w:val="18"/>
                <w:color w:val="auto"/>
              </w:rPr>
              <w:t>Decrease in other assets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7,184</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other liabilities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540"/>
              <w:spacing w:after="0"/>
              <w:rPr>
                <w:sz w:val="20"/>
                <w:szCs w:val="20"/>
                <w:color w:val="auto"/>
              </w:rPr>
            </w:pPr>
            <w:r>
              <w:rPr>
                <w:rFonts w:ascii="Arial" w:cs="Arial" w:eastAsia="Arial" w:hAnsi="Arial"/>
                <w:sz w:val="18"/>
                <w:szCs w:val="18"/>
                <w:color w:val="auto"/>
              </w:rPr>
              <w:t>Decrease in interest payable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(Increase) decrease in income taxes receivable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w w:val="95"/>
              </w:rPr>
              <w:t>Net cash provided by operating activities before activities for loans originated for sale</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26,676</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24,680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Loans originated for sale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(531,235)</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(160,203)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loans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446,662</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(57,897)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16,306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40,189</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Proceeds from sales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399</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maturities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118,723</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Proceeds from maturities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924</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securities classified available for sale</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(70,686)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Purchase of securities classified held to maturity</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(2,382)</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loans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76,883</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845</w:t>
            </w: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other real estate owned (“OREO”) properties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Purchases of premises and equipment</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(4,682)</w:t>
            </w:r>
          </w:p>
        </w:tc>
        <w:tc>
          <w:tcPr>
            <w:tcW w:w="5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in acquisitions</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25,575</w:t>
            </w:r>
          </w:p>
        </w:tc>
        <w:tc>
          <w:tcPr>
            <w:tcW w:w="5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180"/>
              <w:spacing w:after="0"/>
              <w:rPr>
                <w:sz w:val="20"/>
                <w:szCs w:val="20"/>
                <w:color w:val="auto"/>
              </w:rPr>
            </w:pPr>
            <w:r>
              <w:rPr>
                <w:rFonts w:ascii="Arial" w:cs="Arial" w:eastAsia="Arial" w:hAnsi="Arial"/>
                <w:sz w:val="18"/>
                <w:szCs w:val="18"/>
                <w:color w:val="auto"/>
              </w:rPr>
              <w:t>Proceeds from the redemption of Federal Home Loan Bank (“FHLB”) stock</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9,960</w:t>
            </w:r>
          </w:p>
        </w:tc>
        <w:tc>
          <w:tcPr>
            <w:tcW w:w="5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FHLB stock</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(9,288)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Pr>
          <w:p>
            <w:pPr>
              <w:ind w:left="36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500" w:type="dxa"/>
            <w:vAlign w:val="bottom"/>
          </w:tcPr>
          <w:p>
            <w:pPr>
              <w:spacing w:after="0"/>
              <w:rPr>
                <w:sz w:val="18"/>
                <w:szCs w:val="18"/>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187,849</w:t>
            </w:r>
          </w:p>
        </w:tc>
        <w:tc>
          <w:tcPr>
            <w:tcW w:w="280" w:type="dxa"/>
            <w:vAlign w:val="bottom"/>
          </w:tcPr>
          <w:p>
            <w:pPr>
              <w:spacing w:after="0"/>
              <w:rPr>
                <w:sz w:val="18"/>
                <w:szCs w:val="18"/>
                <w:color w:val="auto"/>
              </w:rPr>
            </w:pPr>
          </w:p>
        </w:tc>
        <w:tc>
          <w:tcPr>
            <w:tcW w:w="52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(25,732</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 on next page)</w:t>
      </w:r>
    </w:p>
    <w:p>
      <w:pPr>
        <w:sectPr>
          <w:pgSz w:w="11900" w:h="16838" w:orient="portrait"/>
          <w:cols w:equalWidth="0" w:num="1">
            <w:col w:w="11420"/>
          </w:cols>
          <w:pgMar w:left="240" w:top="140" w:right="239" w:bottom="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2016 and 2015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(71,071)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increase in demand, money market and savings deposits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(61,280)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Repayment of FHLB short term advances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(12,800)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FHLB long term advances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(4,906)</w:t>
            </w: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(9,759)</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shares surrendered upon vesting of restricted stock units to cover tax obligations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(22,086)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 issuance costs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(182,160)</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decrease in cash and cash equivalents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(52,208)</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7"/>
                <w:szCs w:val="17"/>
                <w:b w:val="1"/>
                <w:bCs w:val="1"/>
                <w:color w:val="auto"/>
              </w:rPr>
              <w:t>and cash equivalents,</w:t>
            </w:r>
            <w:r>
              <w:rPr>
                <w:rFonts w:ascii="Arial" w:cs="Arial" w:eastAsia="Arial" w:hAnsi="Arial"/>
                <w:sz w:val="18"/>
                <w:szCs w:val="18"/>
                <w:b w:val="1"/>
                <w:bCs w:val="1"/>
                <w:color w:val="auto"/>
              </w:rPr>
              <w:t xml:space="preserve"> beginning</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319,280</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339,438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Cash </w:t>
            </w:r>
            <w:r>
              <w:rPr>
                <w:rFonts w:ascii="Arial" w:cs="Arial" w:eastAsia="Arial" w:hAnsi="Arial"/>
                <w:sz w:val="17"/>
                <w:szCs w:val="17"/>
                <w:b w:val="1"/>
                <w:bCs w:val="1"/>
                <w:color w:val="auto"/>
              </w:rPr>
              <w:t>and cash equivalents,</w:t>
            </w:r>
            <w:r>
              <w:rPr>
                <w:rFonts w:ascii="Arial" w:cs="Arial" w:eastAsia="Arial" w:hAnsi="Arial"/>
                <w:sz w:val="18"/>
                <w:szCs w:val="18"/>
                <w:b w:val="1"/>
                <w:bCs w:val="1"/>
                <w:color w:val="auto"/>
              </w:rPr>
              <w:t xml:space="preserve"> ending</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289,385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4,205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real estate acquired in settlement of loans</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1,343</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unaudited Consolidated Interim Financial Statements of First Busey Corporation (“First Busey” or the “Company”), a Nevada corporation, have been prepared pursuant to the rules and regulations of the Securities and Exchange Commission (the “SEC”) for Quarterly Reports on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2015.</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May 20, 2015, at the Company’s Annual Meeting of Stockholders,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 All share and per share information has been restated for all prior periods presented in this Quarterly Report on Form 10-Q to give retroactive effect to the Reverse Stock Split.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Balance Sheet as of December 31, 2015, which has been derived from audited financial statements, and the unaudited Consolidated Interim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six months ended June 30, 2016 are not necessarily indicative of the results that may be expected for the year ending December 31, 2016 or any other period.</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30, 2016, First Busey completed its acquisition of Pulaski Financial Corp., a Missouri Corporation (“Pulaski”), and Pulaski Bank, National Association (“Pulaski Bank”). The Consolidated Financial Statements include the accounts of the Company, Busey Bank and Busey Bank’s wholly owned subsidiary FirsTech, Inc., Pulaski Bank and Pulaski Bank’s wholly owned subsidiaries, Pulaski Service Corporation and Priority Property Holdings, LLC (each as of April 30, 2016) and Busey Wealth Management, Inc. and its wholly owned subsidiary Busey Trust Company. All material intercompany transactions and balances have been eliminated in consolidation. Certain prior-year amounts have been reclassified to conform to the current presentation with no effect on net income or stockholders’ equity.</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preparing the accompanying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fair value of investment securities and the determination of the allowance for loan losses.</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Effective January 1, 2016, the Company elected to account for all loans held for sale at fair value. Prior to this change, the Company accounted for loans held for sale at the lower of cost or fair value. See Note 15 - Fair Value Measurements for further discussion.</w:t>
      </w:r>
    </w:p>
    <w:p>
      <w:pPr>
        <w:sectPr>
          <w:pgSz w:w="11900" w:h="16838" w:orient="portrait"/>
          <w:cols w:equalWidth="0" w:num="1">
            <w:col w:w="11420"/>
          </w:cols>
          <w:pgMar w:left="240" w:top="125" w:right="239" w:bottom="0" w:gutter="0" w:footer="0" w:header="0"/>
        </w:sectPr>
      </w:pPr>
    </w:p>
    <w:bookmarkStart w:id="6" w:name="page7"/>
    <w:bookmarkEnd w:id="6"/>
    <w:p>
      <w:pPr>
        <w:ind w:right="120"/>
        <w:spacing w:after="0" w:line="272" w:lineRule="auto"/>
        <w:rPr>
          <w:sz w:val="20"/>
          <w:szCs w:val="20"/>
          <w:color w:val="auto"/>
        </w:rPr>
      </w:pPr>
      <w:r>
        <w:rPr>
          <w:rFonts w:ascii="Arial" w:cs="Arial" w:eastAsia="Arial" w:hAnsi="Arial"/>
          <w:sz w:val="17"/>
          <w:szCs w:val="17"/>
          <w:color w:val="auto"/>
        </w:rPr>
        <w:t>The Company has evaluated subsequent events for potential recognition and/or disclosure through the date the consolidated financial statements included in this Quarterly Report on Form 10-Q were issued. On July 29, 2016, the Company announced its plan to close one branch in the Florida market. The closing of the branch will allow us to better deploy the Company’s resources and impairment related to this closure will not have a material impact on the Consolidated Financial Statements. In addition, in early August 2016, the Company made decisions to reduce employees in other areas to improve ongoing efficiencies in its operations which will result in related restructuring expenses in the third quarter of 2016. Other than the changes noted above, there were no significant subsequent events for the quarter ended June 30, 2016 through the issuance date of these Consolidated Financial Statements that warranted adjustment to or disclosure in the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Pulaski Financial Corp.</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On April 30, 2016, First Busey completed its acquisition of Pulaski. It is anticipated that Pulaski Bank, which was Pulaski’s wholly owned bank subsidiary prior to the acquisition, will be merged with and into Busey Bank in the fourth quarter of 2016. At the time of the bank merger, Pulaski Bank’s branches will become branches of Busey Bank. Pulaski Bank offers a full line of quality retail and commercial banking products through thirteen full-service branch offices in the St. Louis metropolitan area. Pulaski Bank also offers mortgage loan products through loan production offices in the St. Louis, Kansas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City, Chicago, and Omaha-Council Bluffs metropolitan areas and other locations across the Midwest. The operating results of Pulaski are included with the Company’s results of operations since the date of acquisition.</w:t>
      </w:r>
    </w:p>
    <w:p>
      <w:pPr>
        <w:spacing w:after="0" w:line="184"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color w:val="auto"/>
        </w:rPr>
        <w:t>Under the terms of the definitive agreement, at the effective time of the acquisition, each share of Pulaski common stock issued and outstanding was converted into 0.79 shares of First Busey common stock and cash in lieu of fractional shares. The market value of the 9.4 million shares of First Busey common stock issued at the effective time of the acquisition was approximately $193.0 million based on First Busey’s closing stock price of $20.44 on April 29, 2016. In addition, all the options to purchase shares of Pulaski common stock that were outstanding at the acquisition date were converted into options to purchase shares of First Busey common stock, adjusted for the 0.79 exchange ratio.</w:t>
      </w:r>
    </w:p>
    <w:p>
      <w:pPr>
        <w:spacing w:after="0" w:line="17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acquisition of Pulaski allows the Company to significantly expand its geographic presence through a premier St. Louis banking franchise with an almost 100-year history and a strong regional residential lending presence. In addition, this transaction is strategically compelling and financially attractive because it creates a Midwest community bank with greater scale and operating efficiency, along with geographic and balance sheet diversification. It also provides cross-sale opportunities with the Company’s Wealth Management operating segment. Pulaski has a deep and experienced management team to assist in post-acquisition integration and market expansion, and a similar culture to First Busey which will facilitate a successful integration process. By acquiring organizations with a similar philosophy in markets which complement the Company’s existing customer base, First Busey intends to expand its franchise through balanced, integrated growth strategies that generate value.</w:t>
      </w:r>
    </w:p>
    <w:p>
      <w:pPr>
        <w:spacing w:after="0" w:line="17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their estimated fair values on the date of acquisition. Fair values are subject to refinement for up to one year after the closing date of April 30, 2016 as additional information regarding the closing date fair values become available. The total consideration paid, which was used to determine the amount of goodwill resulting from the transaction, also included the fair value of outstanding Pulaski stock options that were converted into options to purchase common shares of First Busey. As the total consideration paid for Pulaski exceeded the net assets acquired, goodwill of $76.7 million was recorded on the acquisition. Goodwill recorded in the transaction, which reflects the synergies expected from the acquisition and the enhanced revenue opportunities from the Company’s broader service capabilities in the St. Louis market, is not tax deductible, and was assigned to the Banking operating segment.</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First Busey incurred $2.0 million and $2.3 million in pre-tax acquisition expenses related to the acquisition of Pulaski for the three and six months ended June 30, 2016, respectively, including professional and legal fees of $0.7 million and $0.9 million, respectively, to directly consummate the acquisition, all of which are reported as a component of non-interest expense in the accompanying unaudited Consolidated Interim Financial Statements. The remainder of the expenses primarily relate to data processing conversion expenses.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 xml:space="preserve">The following table presents the assets acquired and liabilities of Pulaski assumed as of April 30, 2016 and their initial fair value estimates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As Recorded by</w:t>
            </w:r>
          </w:p>
        </w:tc>
        <w:tc>
          <w:tcPr>
            <w:tcW w:w="260" w:type="dxa"/>
            <w:vAlign w:val="bottom"/>
          </w:tcPr>
          <w:p>
            <w:pPr>
              <w:spacing w:after="0"/>
              <w:rPr>
                <w:sz w:val="14"/>
                <w:szCs w:val="1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rPr>
              <w:t>Initial Fair</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As Recorded 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74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6"/>
              </w:rPr>
              <w:t>Value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Pulaski</w:t>
            </w: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Adjustments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First Busey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acquired</w:t>
            </w:r>
          </w:p>
        </w:tc>
        <w:tc>
          <w:tcPr>
            <w:tcW w:w="22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25,580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47,895</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105(a)</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Loans held for sale</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184,856</w:t>
            </w:r>
          </w:p>
        </w:tc>
        <w:tc>
          <w:tcPr>
            <w:tcW w:w="26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1,243,913</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(14,452)(b)</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17,236</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95(c)</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5,021</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(2,512)(d)</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3,939</w:t>
            </w: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(3,939)(e)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intangible assets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15,468(f)</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70,366</w:t>
            </w:r>
          </w:p>
        </w:tc>
        <w:tc>
          <w:tcPr>
            <w:tcW w:w="2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(414)(g)</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69,952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1,598,806</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(5,649)</w:t>
            </w:r>
          </w:p>
        </w:tc>
        <w:tc>
          <w:tcPr>
            <w:tcW w:w="3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1,593,157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Liabilities assumed</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1,226,906</w:t>
            </w:r>
          </w:p>
        </w:tc>
        <w:tc>
          <w:tcPr>
            <w:tcW w:w="26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1,102(h)</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1,228,008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borrowings</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205,840</w:t>
            </w:r>
          </w:p>
        </w:tc>
        <w:tc>
          <w:tcPr>
            <w:tcW w:w="26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906(i)</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206,746</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Trust preferred securities</w:t>
            </w:r>
          </w:p>
        </w:tc>
        <w:tc>
          <w:tcPr>
            <w:tcW w:w="54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19,589</w:t>
            </w:r>
          </w:p>
        </w:tc>
        <w:tc>
          <w:tcPr>
            <w:tcW w:w="660" w:type="dxa"/>
            <w:vAlign w:val="bottom"/>
          </w:tcPr>
          <w:p>
            <w:pPr>
              <w:spacing w:after="0"/>
              <w:rPr>
                <w:sz w:val="20"/>
                <w:szCs w:val="20"/>
                <w:color w:val="auto"/>
              </w:rPr>
            </w:pP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(3,805)(j)</w:t>
            </w:r>
          </w:p>
        </w:tc>
        <w:tc>
          <w:tcPr>
            <w:tcW w:w="52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15,784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24,594</w:t>
            </w:r>
          </w:p>
        </w:tc>
        <w:tc>
          <w:tcPr>
            <w:tcW w:w="6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(753)(k)</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liabilities assumed</w:t>
            </w:r>
          </w:p>
        </w:tc>
        <w:tc>
          <w:tcPr>
            <w:tcW w:w="5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1,476,929</w:t>
            </w:r>
          </w:p>
        </w:tc>
        <w:tc>
          <w:tcPr>
            <w:tcW w:w="240" w:type="dxa"/>
            <w:vAlign w:val="bottom"/>
            <w:tcBorders>
              <w:bottom w:val="single" w:sz="8" w:color="CCEEFF"/>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w w:val="80"/>
              </w:rPr>
              <w:t>(2,550)</w:t>
            </w: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1,474,379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assets acquired</w:t>
            </w:r>
          </w:p>
        </w:tc>
        <w:tc>
          <w:tcPr>
            <w:tcW w:w="540" w:type="dxa"/>
            <w:vAlign w:val="bottom"/>
          </w:tcPr>
          <w:p>
            <w:pPr>
              <w:jc w:val="right"/>
              <w:ind w:right="3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121,877</w:t>
            </w:r>
          </w:p>
        </w:tc>
        <w:tc>
          <w:tcPr>
            <w:tcW w:w="660" w:type="dxa"/>
            <w:vAlign w:val="bottom"/>
          </w:tcPr>
          <w:p>
            <w:pPr>
              <w:jc w:val="right"/>
              <w:ind w:right="505"/>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ind w:left="560"/>
              <w:spacing w:after="0"/>
              <w:rPr>
                <w:sz w:val="20"/>
                <w:szCs w:val="20"/>
                <w:color w:val="auto"/>
              </w:rPr>
            </w:pPr>
            <w:r>
              <w:rPr>
                <w:rFonts w:ascii="Arial" w:cs="Arial" w:eastAsia="Arial" w:hAnsi="Arial"/>
                <w:sz w:val="18"/>
                <w:szCs w:val="18"/>
                <w:color w:val="auto"/>
              </w:rPr>
              <w:t>(3,099)</w:t>
            </w: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118,778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Consideration paid:</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Common stock</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192,990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of stock options assumed</w:t>
            </w: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consideration paid</w:t>
            </w:r>
          </w:p>
        </w:tc>
        <w:tc>
          <w:tcPr>
            <w:tcW w:w="5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195,449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76,671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Explanation:</w:t>
      </w:r>
    </w:p>
    <w:p>
      <w:pPr>
        <w:spacing w:after="0" w:line="23" w:lineRule="exact"/>
        <w:rPr>
          <w:sz w:val="20"/>
          <w:szCs w:val="20"/>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of the securities portfolio as of the acquisition date.</w:t>
      </w:r>
    </w:p>
    <w:p>
      <w:pPr>
        <w:spacing w:after="0" w:line="9" w:lineRule="exact"/>
        <w:rPr>
          <w:rFonts w:ascii="Arial" w:cs="Arial" w:eastAsia="Arial" w:hAnsi="Arial"/>
          <w:sz w:val="18"/>
          <w:szCs w:val="18"/>
          <w:color w:val="auto"/>
        </w:rPr>
      </w:pPr>
    </w:p>
    <w:p>
      <w:pPr>
        <w:jc w:val="both"/>
        <w:ind w:left="400" w:right="420" w:hanging="392"/>
        <w:spacing w:after="0" w:line="250"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loan portfolio, write-off of net deferred loan costs and elimination of the allowance for loan losses recorded by Pulaski. $16.9 million is expected to be accreted over the estimated four year remaining life of the respective loans in a manner that approximates the level yield method.</w:t>
      </w:r>
    </w:p>
    <w:p>
      <w:pPr>
        <w:spacing w:after="0" w:line="1"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adjustments based on the Company’s evaluation of the acquired premises and equipment.</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based on the Company’s evaluation of the acquired OREO portfolio.</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Eliminate Pulaski’s existing goodwill.</w:t>
      </w:r>
    </w:p>
    <w:p>
      <w:pPr>
        <w:spacing w:after="0" w:line="9" w:lineRule="exact"/>
        <w:rPr>
          <w:rFonts w:ascii="Arial" w:cs="Arial" w:eastAsia="Arial" w:hAnsi="Arial"/>
          <w:sz w:val="18"/>
          <w:szCs w:val="18"/>
          <w:color w:val="auto"/>
        </w:rPr>
      </w:pPr>
    </w:p>
    <w:p>
      <w:pPr>
        <w:ind w:left="400" w:right="100" w:hanging="392"/>
        <w:spacing w:after="0" w:line="250"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Recording of the core deposit intangible asset on the acquired core deposit accounts. Amount to be amortized using a sum of years digits method over a 14 year useful life.</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assets at the acquisition date.</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time deposits. Amount to be accreted over two years in a manner that approximates the level yield method.</w:t>
      </w:r>
    </w:p>
    <w:p>
      <w:pPr>
        <w:spacing w:after="0" w:line="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6"/>
          <w:szCs w:val="16"/>
          <w:color w:val="auto"/>
        </w:rPr>
      </w:pPr>
      <w:r>
        <w:rPr>
          <w:rFonts w:ascii="Arial" w:cs="Arial" w:eastAsia="Arial" w:hAnsi="Arial"/>
          <w:sz w:val="16"/>
          <w:szCs w:val="16"/>
          <w:color w:val="auto"/>
        </w:rPr>
        <w:t>Fair value adjustment to the FHLB borrowings. Such borrowings were repaid shortly after the acquisition date, so there will be no discount accretion.</w:t>
      </w:r>
    </w:p>
    <w:p>
      <w:pPr>
        <w:spacing w:after="0" w:line="32" w:lineRule="exact"/>
        <w:rPr>
          <w:rFonts w:ascii="Arial" w:cs="Arial" w:eastAsia="Arial" w:hAnsi="Arial"/>
          <w:sz w:val="16"/>
          <w:szCs w:val="16"/>
          <w:color w:val="auto"/>
        </w:rPr>
      </w:pPr>
    </w:p>
    <w:p>
      <w:pPr>
        <w:ind w:left="400" w:right="20" w:hanging="392"/>
        <w:spacing w:after="0" w:line="250" w:lineRule="auto"/>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to the trust preferred securities at the acquisition date. Amount to be accreted over the weighted average remaining life of 18 years in a manner that approximates the level yield method.</w:t>
      </w: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Fair value adjustment of other liabilities at the acquisition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credit-impaired at the acquisition date were accounted for under FASB ASC 310-20,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xml:space="preserve"> and were subsequently considered as part of the Company’s determination of the adequacy of the allowance for loan losses. Purchased credit-impaired (“PCI”) loans, loans with evidence of credit quality deterioration, were accounted for under FASB ASC 310-30, </w:t>
      </w:r>
      <w:r>
        <w:rPr>
          <w:rFonts w:ascii="Arial" w:cs="Arial" w:eastAsia="Arial" w:hAnsi="Arial"/>
          <w:sz w:val="16"/>
          <w:szCs w:val="16"/>
          <w:i w:val="1"/>
          <w:iCs w:val="1"/>
          <w:color w:val="auto"/>
        </w:rPr>
        <w:t>Receivables — Loans and Debt Securities Acquired with</w:t>
      </w:r>
      <w:r>
        <w:rPr>
          <w:rFonts w:ascii="Arial" w:cs="Arial" w:eastAsia="Arial" w:hAnsi="Arial"/>
          <w:sz w:val="16"/>
          <w:szCs w:val="16"/>
          <w:color w:val="auto"/>
        </w:rPr>
        <w:t xml:space="preserve"> </w:t>
      </w:r>
      <w:r>
        <w:rPr>
          <w:rFonts w:ascii="Arial" w:cs="Arial" w:eastAsia="Arial" w:hAnsi="Arial"/>
          <w:sz w:val="16"/>
          <w:szCs w:val="16"/>
          <w:i w:val="1"/>
          <w:iCs w:val="1"/>
          <w:color w:val="auto"/>
        </w:rPr>
        <w:t>Deteriorated Credit Quality</w:t>
      </w:r>
      <w:r>
        <w:rPr>
          <w:rFonts w:ascii="Arial" w:cs="Arial" w:eastAsia="Arial" w:hAnsi="Arial"/>
          <w:sz w:val="16"/>
          <w:szCs w:val="16"/>
          <w:color w:val="auto"/>
        </w:rPr>
        <w:t>. As of the acquisition date, the principal outstanding and fair value of the acquired performing loans, including loans held for</w:t>
      </w:r>
      <w:r>
        <w:rPr>
          <w:rFonts w:ascii="Arial" w:cs="Arial" w:eastAsia="Arial" w:hAnsi="Arial"/>
          <w:sz w:val="16"/>
          <w:szCs w:val="16"/>
          <w:i w:val="1"/>
          <w:iCs w:val="1"/>
          <w:color w:val="auto"/>
        </w:rPr>
        <w:t xml:space="preserve"> </w:t>
      </w:r>
      <w:r>
        <w:rPr>
          <w:rFonts w:ascii="Arial" w:cs="Arial" w:eastAsia="Arial" w:hAnsi="Arial"/>
          <w:sz w:val="16"/>
          <w:szCs w:val="16"/>
          <w:color w:val="auto"/>
        </w:rPr>
        <w:t>sale, totaled $1.4 billion. The difference between the principal outstanding and fair value of $16.6 million is expected to be accreted over the estimated four year remaining life of the respective loans in a manner that approximates the level yield method. As of the acquisition date, the principal outstanding of PCI loans totaled $21.2 million and the fair value of PCI loans totaled $9.7 million. For PCI loans, the difference between contractually required payments at acquisition and the cash flow expected to be collected is referred to as the non-accretable difference. Further, the excess of cash flows expected at acquisition over the fair value is referred to as the accretable yield. The accretable yield of $0.3 million on PCI loans is expected to be recognized over the estimated four year remaining life of the respective loans in a manner that approximates the level yield method.</w:t>
      </w:r>
    </w:p>
    <w:p>
      <w:pPr>
        <w:spacing w:after="0" w:line="17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Since the acquisition date, Pulaski earned total revenues of $13.7 million and net income of $3.8 million, which are included in the Company’s Consolidated Statements of Income for the three and six months ended June 30, 2016. The following table provides the unaudited pro forma information for the results of operations for the three and six months ended June 30, 2016 and 2015, as if the acquisition had occurred on January 1, 2015. The pro forma results combine the historical results of Pulaski with the Company’s Consolidated Statements of Income, adjusted for the impact of the application of the acquisition method of accounting including loan discount accretion, intangible assets amortization, and deposit and trust preferred securities premium accretion, net of taxes. The pro forma results have been prepared for comparative purposes only and are not necessarily indicative of the results that would have been obtained had the acquisition actually occurred on January 1, 2015. No assumptions have been applied to the pro forma results of operations regarding possible revenue enhancements, expense efficiencies or asset dispositions. Only the acquisition related expenses that have been incurred as of June 30, 2016 are included in net income in the table below. Acquisition related expenses, pre-tax, that were recognized and are included in the pro forma net income for the three and six months ended June 30, 2016 totaled $6.7 million and $7.3 million, respectively. Such expenses consisted primarily of professional fees to transact the acquisition, data processing conversion expenses and compensation to certain officers required under employment agreements.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4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7"/>
              </w:rPr>
              <w:t>Pro Forma</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w w:val="97"/>
              </w:rPr>
              <w:t>Pro Forma</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000" w:type="dxa"/>
            <w:vAlign w:val="bottom"/>
          </w:tcPr>
          <w:p>
            <w:pPr>
              <w:spacing w:after="0"/>
              <w:rPr>
                <w:sz w:val="14"/>
                <w:szCs w:val="14"/>
                <w:color w:val="auto"/>
              </w:rPr>
            </w:pPr>
          </w:p>
        </w:tc>
        <w:tc>
          <w:tcPr>
            <w:tcW w:w="2480" w:type="dxa"/>
            <w:vAlign w:val="bottom"/>
            <w:gridSpan w:val="3"/>
          </w:tcPr>
          <w:p>
            <w:pPr>
              <w:jc w:val="center"/>
              <w:ind w:left="462"/>
              <w:spacing w:after="0"/>
              <w:rPr>
                <w:sz w:val="20"/>
                <w:szCs w:val="20"/>
                <w:color w:val="auto"/>
              </w:rPr>
            </w:pPr>
            <w:r>
              <w:rPr>
                <w:rFonts w:ascii="Arial" w:cs="Arial" w:eastAsia="Arial" w:hAnsi="Arial"/>
                <w:sz w:val="14"/>
                <w:szCs w:val="14"/>
                <w:b w:val="1"/>
                <w:bCs w:val="1"/>
                <w:color w:val="auto"/>
                <w:w w:val="93"/>
              </w:rPr>
              <w:t>Three Months Ended June 30,</w:t>
            </w: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42"/>
        </w:trPr>
        <w:tc>
          <w:tcPr>
            <w:tcW w:w="50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599"/>
              <w:spacing w:after="0" w:line="142" w:lineRule="exact"/>
              <w:rPr>
                <w:sz w:val="20"/>
                <w:szCs w:val="20"/>
                <w:color w:val="auto"/>
              </w:rPr>
            </w:pPr>
            <w:r>
              <w:rPr>
                <w:rFonts w:ascii="Arial" w:cs="Arial" w:eastAsia="Arial" w:hAnsi="Arial"/>
                <w:sz w:val="14"/>
                <w:szCs w:val="14"/>
                <w:b w:val="1"/>
                <w:bCs w:val="1"/>
                <w:color w:val="auto"/>
                <w:w w:val="89"/>
              </w:rPr>
              <w:t>2016</w:t>
            </w:r>
          </w:p>
        </w:tc>
        <w:tc>
          <w:tcPr>
            <w:tcW w:w="5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r>
      <w:tr>
        <w:trPr>
          <w:trHeight w:val="142"/>
        </w:trPr>
        <w:tc>
          <w:tcPr>
            <w:tcW w:w="5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3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 (net interest income plus non-interest income)</w:t>
            </w:r>
          </w:p>
        </w:tc>
        <w:tc>
          <w:tcPr>
            <w:tcW w:w="840" w:type="dxa"/>
            <w:vAlign w:val="bottom"/>
            <w:shd w:val="clear" w:color="auto" w:fill="CCEEFF"/>
          </w:tcPr>
          <w:p>
            <w:pPr>
              <w:jc w:val="right"/>
              <w:ind w:right="662"/>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0"/>
              </w:rPr>
              <w:t>61,344</w:t>
            </w:r>
          </w:p>
        </w:tc>
        <w:tc>
          <w:tcPr>
            <w:tcW w:w="9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63,897</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123,237</w:t>
            </w:r>
          </w:p>
        </w:tc>
        <w:tc>
          <w:tcPr>
            <w:tcW w:w="5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123,060</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spacing w:after="0"/>
              <w:rPr>
                <w:sz w:val="18"/>
                <w:szCs w:val="18"/>
                <w:color w:val="auto"/>
              </w:rPr>
            </w:pPr>
          </w:p>
        </w:tc>
        <w:tc>
          <w:tcPr>
            <w:tcW w:w="660" w:type="dxa"/>
            <w:vAlign w:val="bottom"/>
          </w:tcPr>
          <w:p>
            <w:pPr>
              <w:jc w:val="right"/>
              <w:ind w:right="54"/>
              <w:spacing w:after="0"/>
              <w:rPr>
                <w:sz w:val="20"/>
                <w:szCs w:val="20"/>
                <w:color w:val="auto"/>
              </w:rPr>
            </w:pPr>
            <w:r>
              <w:rPr>
                <w:rFonts w:ascii="Arial" w:cs="Arial" w:eastAsia="Arial" w:hAnsi="Arial"/>
                <w:sz w:val="18"/>
                <w:szCs w:val="18"/>
                <w:color w:val="auto"/>
              </w:rPr>
              <w:t>9,239</w:t>
            </w:r>
          </w:p>
        </w:tc>
        <w:tc>
          <w:tcPr>
            <w:tcW w:w="9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15,572</w:t>
            </w:r>
          </w:p>
        </w:tc>
        <w:tc>
          <w:tcPr>
            <w:tcW w:w="540" w:type="dxa"/>
            <w:vAlign w:val="bottom"/>
          </w:tcPr>
          <w:p>
            <w:pPr>
              <w:spacing w:after="0"/>
              <w:rPr>
                <w:sz w:val="18"/>
                <w:szCs w:val="18"/>
                <w:color w:val="auto"/>
              </w:rPr>
            </w:pP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23,165</w:t>
            </w:r>
          </w:p>
        </w:tc>
        <w:tc>
          <w:tcPr>
            <w:tcW w:w="5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27,536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0.24</w:t>
            </w:r>
          </w:p>
        </w:tc>
        <w:tc>
          <w:tcPr>
            <w:tcW w:w="9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0.40</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0.60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Herget Financial Corp.</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 owned bank subsidiary, Herget Bank, National Association (“Herget Bank”). First Busey operated Herget Bank as a separate banking subsidiary from January 9, 2015 until</w:t>
      </w:r>
    </w:p>
    <w:p>
      <w:pPr>
        <w:ind w:right="100"/>
        <w:spacing w:after="0" w:line="254" w:lineRule="auto"/>
        <w:rPr>
          <w:sz w:val="20"/>
          <w:szCs w:val="20"/>
          <w:color w:val="auto"/>
        </w:rPr>
      </w:pPr>
      <w:r>
        <w:rPr>
          <w:rFonts w:ascii="Arial" w:cs="Arial" w:eastAsia="Arial" w:hAnsi="Arial"/>
          <w:sz w:val="18"/>
          <w:szCs w:val="18"/>
          <w:color w:val="auto"/>
        </w:rPr>
        <w:t>March 13, 2015, when it was merged with and into Busey Bank, the Company’s wholly owned bank subsidiary. At that time, Herget Bank’s branches in Pekin, Illinois became branches of Busey Bank. The operating results of Herget Financial are included with the Company’s results of operations since the date of acquisition. This transaction was accounted for using the acquisition method of accounting and, accordingly, assets acquired, liabilities assumed, and consideration exchanged were recorded at estimated fair values on the date of acquisition.</w:t>
      </w:r>
    </w:p>
    <w:p>
      <w:pPr>
        <w:sectPr>
          <w:pgSz w:w="11900" w:h="16838" w:orient="portrait"/>
          <w:cols w:equalWidth="0" w:num="1">
            <w:col w:w="11420"/>
          </w:cols>
          <w:pgMar w:left="240" w:top="125" w:right="239" w:bottom="0" w:gutter="0" w:footer="0" w:header="0"/>
        </w:sectPr>
      </w:pPr>
    </w:p>
    <w:bookmarkStart w:id="8" w:name="page9"/>
    <w:bookmarkEnd w:id="8"/>
    <w:p>
      <w:pPr>
        <w:spacing w:after="0" w:line="62"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Expenses related to the acquisition of Herget Financial for the first six months of 2016 were insignificant. During the first six months of 2015, pre-tax expenses related to the acquisition of Herget Financial totaled $1.0 million. The 2015 expenses were comprised primarily of system conversion, restructuring, legal, consulting, regulatory and marketing costs, all of which are reported as a component of non-interest expense in the accompanying unaudited Consolidated Interim Financial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6"/>
          <w:szCs w:val="16"/>
          <w:i w:val="1"/>
          <w:iCs w:val="1"/>
          <w:color w:val="auto"/>
        </w:rPr>
        <w:t>ASU 2015-14, “Revenue from Contracts with Customers (Topic 606)”</w:t>
      </w:r>
      <w:r>
        <w:rPr>
          <w:rFonts w:ascii="Arial" w:cs="Arial" w:eastAsia="Arial" w:hAnsi="Arial"/>
          <w:sz w:val="16"/>
          <w:szCs w:val="16"/>
          <w:color w:val="auto"/>
        </w:rPr>
        <w:t xml:space="preserve"> was issued to delay the effective date of ASU 2014-09 by one year. The Company is evaluating the impact this guidance will have on its Consolidated Financial Statements and related disclosures.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2016-01, “Financial Instruments — Overall (Subtopic 825-10): Recognition and Measurement of Financial Assets and Financial Liabilities.”</w:t>
      </w:r>
    </w:p>
    <w:p>
      <w:pPr>
        <w:spacing w:after="0" w:line="2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financial statements; eliminating the requirement for public business entities to disclose the method and significant assumptions used to estimate the fair value that is to be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evaluating the impact this guidance will have on its Consolidated Financial Statements and related disclosures.</w:t>
      </w:r>
    </w:p>
    <w:p>
      <w:pPr>
        <w:spacing w:after="0" w:line="166"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i w:val="1"/>
          <w:iCs w:val="1"/>
          <w:color w:val="auto"/>
        </w:rPr>
        <w:t xml:space="preserve">ASU 2016-02, “Leases (Topic 842).” </w:t>
      </w:r>
      <w:r>
        <w:rPr>
          <w:rFonts w:ascii="Arial" w:cs="Arial" w:eastAsia="Arial" w:hAnsi="Arial"/>
          <w:sz w:val="17"/>
          <w:szCs w:val="17"/>
          <w:color w:val="auto"/>
        </w:rPr>
        <w:t>ASU 2016-02 intends to increase transparency and comparability among organizations by recognizing all lease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(with terms in excess of 12 months) on the balance sheet as a lease liability and a right-of-use asset. The guidance also requires qualitative and quantitative disclosures designed to assess the amount, timing and uncertainty of cash flows arising from leases. This guidance is effective for annual reporting periods beginning after December 15, 2018, including interim periods within those fiscal years. Upon adoption, the lessee will apply the new standard retrospectively to all periods presented or retrospectively using a cumulative effect adjustment in the year of adoption. The Company is evaluating the impact this guidance will have on its Consolidated Financial Statements and related disclosures.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ASU </w:t>
      </w:r>
      <w:r>
        <w:rPr>
          <w:rFonts w:ascii="Arial" w:cs="Arial" w:eastAsia="Arial" w:hAnsi="Arial"/>
          <w:sz w:val="17"/>
          <w:szCs w:val="17"/>
          <w:i w:val="1"/>
          <w:iCs w:val="1"/>
          <w:color w:val="auto"/>
        </w:rPr>
        <w:t>2016-09, “Compensation -</w:t>
      </w:r>
      <w:r>
        <w:rPr>
          <w:rFonts w:ascii="Arial" w:cs="Arial" w:eastAsia="Arial" w:hAnsi="Arial"/>
          <w:sz w:val="18"/>
          <w:szCs w:val="18"/>
          <w:i w:val="1"/>
          <w:iCs w:val="1"/>
          <w:color w:val="auto"/>
        </w:rPr>
        <w:t xml:space="preserve"> Stock Compensation (Topic 718): Improvements to Employee Share-Based Payment Accounting.” </w:t>
      </w:r>
      <w:r>
        <w:rPr>
          <w:rFonts w:ascii="Arial" w:cs="Arial" w:eastAsia="Arial" w:hAnsi="Arial"/>
          <w:sz w:val="18"/>
          <w:szCs w:val="18"/>
          <w:color w:val="auto"/>
        </w:rPr>
        <w:t>ASU 2016-09 is intended</w:t>
      </w:r>
      <w:r>
        <w:rPr>
          <w:rFonts w:ascii="Arial" w:cs="Arial" w:eastAsia="Arial" w:hAnsi="Arial"/>
          <w:sz w:val="18"/>
          <w:szCs w:val="18"/>
          <w:i w:val="1"/>
          <w:iCs w:val="1"/>
          <w:color w:val="auto"/>
        </w:rPr>
        <w:t xml:space="preserve"> </w:t>
      </w:r>
      <w:r>
        <w:rPr>
          <w:rFonts w:ascii="Arial" w:cs="Arial" w:eastAsia="Arial" w:hAnsi="Arial"/>
          <w:sz w:val="18"/>
          <w:szCs w:val="18"/>
          <w:color w:val="auto"/>
        </w:rPr>
        <w:t>to simplify several aspects of the accounting for share-based payment transactions, including the income tax consequences, classification of awards as either equity or liabilities and classification on the statement of cash flows. This guidance is effective for reporting periods after December 15, 2016, and interim periods within those fiscal years with early adoption permitted. The Company is evaluating the impact this guidance will have on its Consolidated Financial Statements and related disclosures.</w:t>
      </w:r>
    </w:p>
    <w:p>
      <w:pPr>
        <w:spacing w:after="0" w:line="188"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ASU 2016-13, “Financial Instruments — Credit Losses (Topic 326): Measurement of Credit Losses on Financial Instruments.” </w:t>
      </w:r>
      <w:r>
        <w:rPr>
          <w:rFonts w:ascii="Arial" w:cs="Arial" w:eastAsia="Arial" w:hAnsi="Arial"/>
          <w:sz w:val="17"/>
          <w:szCs w:val="17"/>
          <w:color w:val="auto"/>
        </w:rPr>
        <w:t>ASU 2016-13 implements a</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change in estimating the allowances for loan losses from the current model of losses inherent in the loan portfolio to a current expected credit loss model that generally is expected to result in earlier recognition of allowances for losses. Further, purchase accounting rules have been modified as well as credit losses on held to maturity debt securities. ASU 2016-13 will be effective in the first quarter of 2020. The Company is evaluating the impact this guidance will have on its Consolidated Financial Statements and related disclosures.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unrealized gains and losses and fair values of securities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4"/>
                <w:szCs w:val="14"/>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June 30, 2016:</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1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64,882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628</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65,510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140,428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141,177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165,098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168,175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265,706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5,789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271,495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149,144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2,936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(307)</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151,773</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785,258</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788,066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801,349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9" w:name="page10"/>
    <w:bookmarkEnd w:id="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47,511</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48,761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51,031</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52,371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5"/>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24"/>
                <w:szCs w:val="24"/>
                <w:color w:val="auto"/>
              </w:rPr>
            </w:pPr>
          </w:p>
        </w:tc>
        <w:tc>
          <w:tcPr>
            <w:tcW w:w="11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3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Losses</w:t>
            </w:r>
          </w:p>
        </w:tc>
        <w:tc>
          <w:tcPr>
            <w:tcW w:w="3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0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U.S. Treasury securities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65,003</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65,191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w w:val="99"/>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176,764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178,612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307,549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(1,503)</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148,805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829,293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832,762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Mutual funds and other equity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830,935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834,838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Obligations of states and political subdivisions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48,835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49,250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49,832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50,271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amortized cost and fair value of debt securities as of June 30, 2016, by contractual maturity or pre-refunded date, are shown below. Mutual funds and other equity securities do not have stated maturity dates and therefore are not included in the following maturity summary. Mortgages underlying mortgage-backed securities may be called or prepaid; therefore, actual maturities could differ from the contractual maturities. All mortgage-backed securities were issued by U.S. government agencies and corporations.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w w:val="95"/>
              </w:rPr>
              <w:t>Available for sale</w:t>
            </w: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Held to maturity</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gridSpan w:val="5"/>
          </w:tcPr>
          <w:p>
            <w:pPr>
              <w:jc w:val="center"/>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Fair</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80" w:type="dxa"/>
            <w:vAlign w:val="bottom"/>
            <w:gridSpan w:val="5"/>
          </w:tcPr>
          <w:p>
            <w:pPr>
              <w:jc w:val="right"/>
              <w:ind w:right="480"/>
              <w:spacing w:after="0" w:line="119" w:lineRule="exact"/>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00" w:type="dxa"/>
            <w:vAlign w:val="bottom"/>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gridSpan w:val="2"/>
          </w:tcPr>
          <w:p>
            <w:pPr>
              <w:jc w:val="center"/>
              <w:ind w:left="115"/>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Value</w:t>
            </w:r>
          </w:p>
        </w:tc>
      </w:tr>
      <w:tr>
        <w:trPr>
          <w:trHeight w:val="142"/>
        </w:trPr>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8"/>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6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400" w:type="dxa"/>
            <w:vAlign w:val="bottom"/>
            <w:gridSpan w:val="3"/>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120,900</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121,290</w:t>
            </w:r>
          </w:p>
        </w:tc>
        <w:tc>
          <w:tcPr>
            <w:tcW w:w="46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3,969</w:t>
            </w:r>
          </w:p>
        </w:tc>
        <w:tc>
          <w:tcPr>
            <w:tcW w:w="5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3,976</w:t>
            </w:r>
          </w:p>
        </w:tc>
      </w:tr>
      <w:tr>
        <w:trPr>
          <w:trHeight w:val="216"/>
        </w:trPr>
        <w:tc>
          <w:tcPr>
            <w:tcW w:w="2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369,627</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374,852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w w:val="87"/>
              </w:rPr>
              <w:t>17,894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18,242</w:t>
            </w:r>
          </w:p>
        </w:tc>
      </w:tr>
      <w:tr>
        <w:trPr>
          <w:trHeight w:val="216"/>
        </w:trPr>
        <w:tc>
          <w:tcPr>
            <w:tcW w:w="260" w:type="dxa"/>
            <w:vAlign w:val="bottom"/>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63,523</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7"/>
              </w:rPr>
              <w:t>65,999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7"/>
              </w:rPr>
              <w:t>25,619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26,497</w:t>
            </w:r>
          </w:p>
        </w:tc>
      </w:tr>
      <w:tr>
        <w:trPr>
          <w:trHeight w:val="216"/>
        </w:trPr>
        <w:tc>
          <w:tcPr>
            <w:tcW w:w="260" w:type="dxa"/>
            <w:vAlign w:val="bottom"/>
          </w:tcPr>
          <w:p>
            <w:pPr>
              <w:spacing w:after="0"/>
              <w:rPr>
                <w:sz w:val="18"/>
                <w:szCs w:val="18"/>
                <w:color w:val="auto"/>
              </w:rPr>
            </w:pPr>
          </w:p>
        </w:tc>
        <w:tc>
          <w:tcPr>
            <w:tcW w:w="328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5"/>
          </w:tcPr>
          <w:p>
            <w:pPr>
              <w:jc w:val="right"/>
              <w:ind w:right="140"/>
              <w:spacing w:after="0"/>
              <w:rPr>
                <w:sz w:val="20"/>
                <w:szCs w:val="20"/>
                <w:color w:val="auto"/>
              </w:rPr>
            </w:pPr>
            <w:r>
              <w:rPr>
                <w:rFonts w:ascii="Arial" w:cs="Arial" w:eastAsia="Arial" w:hAnsi="Arial"/>
                <w:sz w:val="18"/>
                <w:szCs w:val="18"/>
                <w:color w:val="auto"/>
              </w:rPr>
              <w:t>231,208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235,989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3,549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3,656</w:t>
            </w:r>
          </w:p>
        </w:tc>
      </w:tr>
      <w:tr>
        <w:trPr>
          <w:trHeight w:val="210"/>
        </w:trPr>
        <w:tc>
          <w:tcPr>
            <w:tcW w:w="260" w:type="dxa"/>
            <w:vAlign w:val="bottom"/>
          </w:tcPr>
          <w:p>
            <w:pPr>
              <w:spacing w:after="0"/>
              <w:rPr>
                <w:sz w:val="18"/>
                <w:szCs w:val="18"/>
                <w:color w:val="auto"/>
              </w:rPr>
            </w:pPr>
          </w:p>
        </w:tc>
        <w:tc>
          <w:tcPr>
            <w:tcW w:w="32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785,258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798,130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51,031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52,371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60" w:type="dxa"/>
            <w:vAlign w:val="bottom"/>
            <w:gridSpan w:val="2"/>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6120" w:type="dxa"/>
            <w:vAlign w:val="bottom"/>
            <w:gridSpan w:val="11"/>
          </w:tcPr>
          <w:p>
            <w:pPr>
              <w:jc w:val="right"/>
              <w:ind w:right="220"/>
              <w:spacing w:after="0"/>
              <w:rPr>
                <w:sz w:val="20"/>
                <w:szCs w:val="20"/>
                <w:color w:val="auto"/>
              </w:rPr>
            </w:pPr>
            <w:r>
              <w:rPr>
                <w:rFonts w:ascii="Arial" w:cs="Arial" w:eastAsia="Arial" w:hAnsi="Arial"/>
                <w:sz w:val="18"/>
                <w:szCs w:val="18"/>
                <w:color w:val="auto"/>
                <w:w w:val="89"/>
              </w:rPr>
              <w:t>Realized gains and losses related to sales of securities are summarized as follows:</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5"/>
        </w:trPr>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8"/>
          </w:tcPr>
          <w:p>
            <w:pPr>
              <w:ind w:left="100"/>
              <w:spacing w:after="0"/>
              <w:rPr>
                <w:sz w:val="20"/>
                <w:szCs w:val="20"/>
                <w:color w:val="auto"/>
              </w:rPr>
            </w:pPr>
            <w:r>
              <w:rPr>
                <w:rFonts w:ascii="Arial" w:cs="Arial" w:eastAsia="Arial" w:hAnsi="Arial"/>
                <w:sz w:val="14"/>
                <w:szCs w:val="14"/>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Borders>
              <w:bottom w:val="single" w:sz="8" w:color="auto"/>
            </w:tcBorders>
            <w:gridSpan w:val="2"/>
          </w:tcPr>
          <w:p>
            <w:pPr>
              <w:ind w:left="540"/>
              <w:spacing w:after="0" w:line="142" w:lineRule="exact"/>
              <w:rPr>
                <w:sz w:val="20"/>
                <w:szCs w:val="20"/>
                <w:color w:val="auto"/>
              </w:rPr>
            </w:pPr>
            <w:r>
              <w:rPr>
                <w:rFonts w:ascii="Arial" w:cs="Arial" w:eastAsia="Arial" w:hAnsi="Arial"/>
                <w:sz w:val="14"/>
                <w:szCs w:val="14"/>
                <w:b w:val="1"/>
                <w:bCs w:val="1"/>
                <w:color w:val="auto"/>
                <w:w w:val="96"/>
              </w:rPr>
              <w:t>2016</w:t>
            </w: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8"/>
          </w:tcPr>
          <w:p>
            <w:pPr>
              <w:jc w:val="right"/>
              <w:ind w:right="2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1060" w:type="dxa"/>
            <w:vAlign w:val="bottom"/>
            <w:gridSpan w:val="2"/>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5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Gross security (losses)</w:t>
            </w: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3"/>
          </w:tcPr>
          <w:p>
            <w:pPr>
              <w:jc w:val="right"/>
              <w:ind w:right="116"/>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(losses) gains</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tax provision for the net realized gains and losses was $0.1 million and $0.4 million for the three and six months ended June 30, 2016, respectively. The tax provision for the net realized gains and losses was insignificant for the three and six months ended June 30, 2015.</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During the second quarter of 2016, the Company sold one held to maturity security, which was an obligation of state and political subdivisions, with a fair value of $0.4 million due to significant credit deterioration. The sale resulted in an insignificant loss during the quarter.</w:t>
      </w:r>
    </w:p>
    <w:p>
      <w:pPr>
        <w:spacing w:after="0" w:line="14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Investment securities with carrying amounts of $604.5 million and $627.4 million on June 30, 2016 and December 31, 2015,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Information pertaining to securities with gross unrealized losses at June 30, 2016 and December 31, 2015 aggregated by investment category and length of time that individual securities have been in a continuous loss position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5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2"/>
              </w:rPr>
              <w:t>Continuous unrealized</w:t>
            </w: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4"/>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52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140" w:type="dxa"/>
            <w:vAlign w:val="bottom"/>
            <w:gridSpan w:val="4"/>
            <w:vMerge w:val="restart"/>
          </w:tcPr>
          <w:p>
            <w:pPr>
              <w:jc w:val="right"/>
              <w:ind w:right="88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12 months, gross</w:t>
            </w:r>
          </w:p>
        </w:tc>
        <w:tc>
          <w:tcPr>
            <w:tcW w:w="220" w:type="dxa"/>
            <w:vAlign w:val="bottom"/>
          </w:tcPr>
          <w:p>
            <w:pPr>
              <w:spacing w:after="0"/>
              <w:rPr>
                <w:sz w:val="14"/>
                <w:szCs w:val="14"/>
                <w:color w:val="auto"/>
              </w:rPr>
            </w:pPr>
          </w:p>
        </w:tc>
        <w:tc>
          <w:tcPr>
            <w:tcW w:w="25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than 12 months, gross</w:t>
            </w:r>
          </w:p>
        </w:tc>
        <w:tc>
          <w:tcPr>
            <w:tcW w:w="21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June 30, 2016:</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6"/>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506"/>
              <w:spacing w:after="0" w:line="119" w:lineRule="exact"/>
              <w:rPr>
                <w:sz w:val="20"/>
                <w:szCs w:val="20"/>
                <w:color w:val="auto"/>
              </w:rPr>
            </w:pPr>
            <w:r>
              <w:rPr>
                <w:rFonts w:ascii="Arial" w:cs="Arial" w:eastAsia="Arial" w:hAnsi="Arial"/>
                <w:sz w:val="13"/>
                <w:szCs w:val="13"/>
                <w:b w:val="1"/>
                <w:bCs w:val="1"/>
                <w:color w:val="auto"/>
              </w:rPr>
              <w:t>Fair</w:t>
            </w:r>
          </w:p>
        </w:tc>
        <w:tc>
          <w:tcPr>
            <w:tcW w:w="900" w:type="dxa"/>
            <w:vAlign w:val="bottom"/>
            <w:tcBorders>
              <w:top w:val="single" w:sz="8" w:color="auto"/>
            </w:tcBorders>
          </w:tcPr>
          <w:p>
            <w:pPr>
              <w:jc w:val="center"/>
              <w:ind w:right="84"/>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265"/>
              <w:spacing w:after="0" w:line="119" w:lineRule="exact"/>
              <w:rPr>
                <w:sz w:val="20"/>
                <w:szCs w:val="20"/>
                <w:color w:val="auto"/>
              </w:rPr>
            </w:pPr>
            <w:r>
              <w:rPr>
                <w:rFonts w:ascii="Arial" w:cs="Arial" w:eastAsia="Arial" w:hAnsi="Arial"/>
                <w:sz w:val="13"/>
                <w:szCs w:val="13"/>
                <w:b w:val="1"/>
                <w:bCs w:val="1"/>
                <w:color w:val="auto"/>
              </w:rPr>
              <w:t>Fair</w:t>
            </w:r>
          </w:p>
        </w:tc>
        <w:tc>
          <w:tcPr>
            <w:tcW w:w="2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ind w:right="6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ind w:right="246"/>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1200" w:type="dxa"/>
            <w:vAlign w:val="bottom"/>
          </w:tcPr>
          <w:p>
            <w:pPr>
              <w:jc w:val="center"/>
              <w:ind w:right="506"/>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ind w:right="265"/>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3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4"/>
          </w:tcPr>
          <w:p>
            <w:pPr>
              <w:jc w:val="center"/>
              <w:ind w:right="7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gridSpan w:val="2"/>
          </w:tcPr>
          <w:p>
            <w:pPr>
              <w:spacing w:after="0" w:line="201" w:lineRule="exact"/>
              <w:rPr>
                <w:sz w:val="20"/>
                <w:szCs w:val="20"/>
                <w:color w:val="auto"/>
              </w:rPr>
            </w:pPr>
            <w:r>
              <w:rPr>
                <w:rFonts w:ascii="Arial" w:cs="Arial" w:eastAsia="Arial" w:hAnsi="Arial"/>
                <w:sz w:val="18"/>
                <w:szCs w:val="18"/>
                <w:color w:val="auto"/>
              </w:rPr>
              <w:t>Obligations of U.S. government corporations and</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ind w:left="180"/>
              <w:spacing w:after="0"/>
              <w:rPr>
                <w:sz w:val="20"/>
                <w:szCs w:val="20"/>
                <w:color w:val="auto"/>
              </w:rPr>
            </w:pPr>
            <w:r>
              <w:rPr>
                <w:rFonts w:ascii="Arial" w:cs="Arial" w:eastAsia="Arial" w:hAnsi="Arial"/>
                <w:sz w:val="18"/>
                <w:szCs w:val="18"/>
                <w:color w:val="auto"/>
              </w:rPr>
              <w:t>agencies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46"/>
              <w:spacing w:after="0"/>
              <w:rPr>
                <w:sz w:val="20"/>
                <w:szCs w:val="20"/>
                <w:color w:val="auto"/>
              </w:rPr>
            </w:pPr>
            <w:r>
              <w:rPr>
                <w:rFonts w:ascii="Arial" w:cs="Arial" w:eastAsia="Arial" w:hAnsi="Arial"/>
                <w:sz w:val="18"/>
                <w:szCs w:val="18"/>
                <w:color w:val="auto"/>
              </w:rPr>
              <w:t>10,001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center"/>
              <w:ind w:left="506"/>
              <w:spacing w:after="0"/>
              <w:rPr>
                <w:sz w:val="20"/>
                <w:szCs w:val="20"/>
                <w:color w:val="auto"/>
              </w:rPr>
            </w:pPr>
            <w:r>
              <w:rPr>
                <w:rFonts w:ascii="Arial" w:cs="Arial" w:eastAsia="Arial" w:hAnsi="Arial"/>
                <w:sz w:val="18"/>
                <w:szCs w:val="18"/>
                <w:color w:val="auto"/>
              </w:rPr>
              <w:t>—   $</w:t>
            </w:r>
          </w:p>
        </w:tc>
        <w:tc>
          <w:tcPr>
            <w:tcW w:w="1320" w:type="dxa"/>
            <w:vAlign w:val="bottom"/>
            <w:gridSpan w:val="3"/>
          </w:tcPr>
          <w:p>
            <w:pPr>
              <w:ind w:left="72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45"/>
              <w:spacing w:after="0"/>
              <w:rPr>
                <w:sz w:val="20"/>
                <w:szCs w:val="20"/>
                <w:color w:val="auto"/>
              </w:rPr>
            </w:pPr>
            <w:r>
              <w:rPr>
                <w:rFonts w:ascii="Arial" w:cs="Arial" w:eastAsia="Arial" w:hAnsi="Arial"/>
                <w:sz w:val="18"/>
                <w:szCs w:val="18"/>
                <w:color w:val="auto"/>
              </w:rPr>
              <w:t>10,001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97"/>
        </w:trPr>
        <w:tc>
          <w:tcPr>
            <w:tcW w:w="37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3,701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5,504</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Residential mortgage-backed securities(1)</w:t>
            </w:r>
          </w:p>
        </w:tc>
        <w:tc>
          <w:tcPr>
            <w:tcW w:w="3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temporarily impaired securities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20,869</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599</w:t>
            </w:r>
          </w:p>
        </w:tc>
        <w:tc>
          <w:tcPr>
            <w:tcW w:w="56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5"/>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599</w:t>
            </w:r>
          </w:p>
        </w:tc>
        <w:tc>
          <w:tcPr>
            <w:tcW w:w="380" w:type="dxa"/>
            <w:vAlign w:val="bottom"/>
            <w:gridSpan w:val="2"/>
            <w:shd w:val="clear" w:color="auto" w:fill="CCEEFF"/>
          </w:tcPr>
          <w:p>
            <w:pPr>
              <w:jc w:val="right"/>
              <w:ind w:right="250"/>
              <w:spacing w:after="0"/>
              <w:rPr>
                <w:sz w:val="20"/>
                <w:szCs w:val="20"/>
                <w:color w:val="auto"/>
              </w:rPr>
            </w:pPr>
            <w:r>
              <w:rPr>
                <w:rFonts w:ascii="Arial" w:cs="Arial" w:eastAsia="Arial" w:hAnsi="Arial"/>
                <w:sz w:val="15"/>
                <w:szCs w:val="15"/>
                <w:color w:val="auto"/>
                <w:w w:val="71"/>
              </w:rPr>
              <w:t>$</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(1)Unrealized losses existing for less than 12 months, gross, was less than one thousand dollars.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Continuous unrealized</w:t>
            </w:r>
          </w:p>
        </w:tc>
        <w:tc>
          <w:tcPr>
            <w:tcW w:w="220" w:type="dxa"/>
            <w:vAlign w:val="bottom"/>
          </w:tcPr>
          <w:p>
            <w:pPr>
              <w:spacing w:after="0"/>
              <w:rPr>
                <w:sz w:val="14"/>
                <w:szCs w:val="14"/>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Continuous unrealized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2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20" w:type="dxa"/>
            <w:vAlign w:val="bottom"/>
          </w:tcPr>
          <w:p>
            <w:pPr>
              <w:spacing w:after="0"/>
              <w:rPr>
                <w:sz w:val="12"/>
                <w:szCs w:val="12"/>
                <w:color w:val="auto"/>
              </w:rPr>
            </w:pPr>
          </w:p>
        </w:tc>
        <w:tc>
          <w:tcPr>
            <w:tcW w:w="224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12 months, gross</w:t>
            </w:r>
          </w:p>
        </w:tc>
        <w:tc>
          <w:tcPr>
            <w:tcW w:w="220" w:type="dxa"/>
            <w:vAlign w:val="bottom"/>
          </w:tcPr>
          <w:p>
            <w:pPr>
              <w:spacing w:after="0"/>
              <w:rPr>
                <w:sz w:val="14"/>
                <w:szCs w:val="14"/>
                <w:color w:val="auto"/>
              </w:rPr>
            </w:pPr>
          </w:p>
        </w:tc>
        <w:tc>
          <w:tcPr>
            <w:tcW w:w="224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89"/>
              </w:rPr>
              <w:t>than 12 months, gross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Unrealized</w:t>
            </w: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11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9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6"/>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Available for sale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Obligations of U.S. government corporations and</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agencies</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40,026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11,419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51,445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99,148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(1,503)</w:t>
            </w: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99,148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285,300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296,719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Held to maturity</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Obligations of states and political subdivisions(2)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8,542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(2)Unrealized losses existing for greater than 12 months, gross,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Securities are periodically evaluated for other-than-temporary impairment (“OTTI”). The total number of securities in the investment portfolio in an unrealized loss position as of June 30, 2016 was 23, and represented a loss of 1.47% of the aggregate carrying value. As of June 30, 2016, the Company does not intend to sell such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OTTI at June 30, 2016.</w:t>
      </w:r>
    </w:p>
    <w:p>
      <w:pPr>
        <w:spacing w:after="0" w:line="188" w:lineRule="exact"/>
        <w:rPr>
          <w:sz w:val="20"/>
          <w:szCs w:val="20"/>
          <w:color w:val="auto"/>
        </w:rPr>
      </w:pPr>
    </w:p>
    <w:p>
      <w:pPr>
        <w:jc w:val="both"/>
        <w:ind w:right="500"/>
        <w:spacing w:after="0" w:line="286" w:lineRule="auto"/>
        <w:rPr>
          <w:sz w:val="20"/>
          <w:szCs w:val="20"/>
          <w:color w:val="auto"/>
        </w:rPr>
      </w:pPr>
      <w:r>
        <w:rPr>
          <w:rFonts w:ascii="Arial" w:cs="Arial" w:eastAsia="Arial" w:hAnsi="Arial"/>
          <w:sz w:val="17"/>
          <w:szCs w:val="17"/>
          <w:color w:val="auto"/>
        </w:rPr>
        <w:t>The Company had available for sale obligations of state and political subdivisions with aggregate fair values of $168.2 million and $178.6 million as of June 30, 2016 and December 31, 2015, respectively. In addition, the Company had held to maturity obligations of state and political subdivisions with aggregate fair values of $48.7 million and $49.3 million as of June 30, 2016 and December 31, 2015, respectively.</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June 30, 2016, the aggregate fair value of the Company’s obligations of state and political subdivisions portfolio was comprised of $180.7 million of general obligation bonds and $36.2 million of revenue bonds issued by 266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16 states, including two states where the aggregate fair value exceeded $5.0 million.</w:t>
      </w:r>
    </w:p>
    <w:p>
      <w:pPr>
        <w:spacing w:after="0" w:line="18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As of December 31, 2015, the aggregate fair value of the Company’s obligations of state and political subdivisions portfolio was comprised of $193.4 million of general obligation bonds and $34.4 million of revenue bonds issued by 278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vMerge w:val="restart"/>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2016:</w:t>
            </w:r>
          </w:p>
        </w:tc>
        <w:tc>
          <w:tcPr>
            <w:tcW w:w="10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420" w:type="dxa"/>
            <w:vAlign w:val="bottom"/>
            <w:gridSpan w:val="4"/>
            <w:vMerge w:val="continue"/>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85"/>
              </w:rPr>
              <w:t>Issuers</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6"/>
          </w:tcPr>
          <w:p>
            <w:pPr>
              <w:ind w:lef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State</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Illinois</w:t>
            </w:r>
          </w:p>
        </w:tc>
        <w:tc>
          <w:tcPr>
            <w:tcW w:w="270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65,584</w:t>
            </w:r>
          </w:p>
        </w:tc>
        <w:tc>
          <w:tcPr>
            <w:tcW w:w="44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67,236</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24,000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24,324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24,742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25,385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Pennsylvania</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11,195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Texas</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11,646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11,854</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10,830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Iowa</w:t>
            </w:r>
          </w:p>
        </w:tc>
        <w:tc>
          <w:tcPr>
            <w:tcW w:w="106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5,333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5,385</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23,841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24,514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230</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176,896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180,723</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40" w:right="239" w:bottom="0" w:gutter="0" w:footer="0" w:header="0"/>
        </w:sectPr>
      </w:pPr>
    </w:p>
    <w:p>
      <w:pPr>
        <w:ind w:left="9120"/>
        <w:spacing w:after="0"/>
        <w:rPr>
          <w:sz w:val="20"/>
          <w:szCs w:val="20"/>
          <w:color w:val="auto"/>
        </w:rPr>
      </w:pPr>
      <w:r>
        <w:rPr>
          <w:rFonts w:ascii="Arial" w:cs="Arial" w:eastAsia="Arial" w:hAnsi="Arial"/>
          <w:sz w:val="12"/>
          <w:szCs w:val="12"/>
          <w:b w:val="1"/>
          <w:bCs w:val="1"/>
          <w:color w:val="auto"/>
        </w:rPr>
        <w:t>Average Exposure</w:t>
      </w:r>
    </w:p>
    <w:p>
      <w:pPr>
        <w:sectPr>
          <w:pgSz w:w="11900" w:h="16838" w:orient="portrait"/>
          <w:cols w:equalWidth="0" w:num="1">
            <w:col w:w="11420"/>
          </w:cols>
          <w:pgMar w:left="240" w:top="140" w:right="239" w:bottom="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4080" w:type="dxa"/>
            <w:vAlign w:val="bottom"/>
            <w:gridSpan w:val="4"/>
            <w:vMerge w:val="restart"/>
          </w:tcPr>
          <w:p>
            <w:pPr>
              <w:ind w:left="660"/>
              <w:spacing w:after="0"/>
              <w:rPr>
                <w:sz w:val="20"/>
                <w:szCs w:val="20"/>
                <w:color w:val="auto"/>
              </w:rPr>
            </w:pPr>
            <w:r>
              <w:rPr>
                <w:rFonts w:ascii="Arial" w:cs="Arial" w:eastAsia="Arial" w:hAnsi="Arial"/>
                <w:sz w:val="14"/>
                <w:szCs w:val="14"/>
                <w:b w:val="1"/>
                <w:bCs w:val="1"/>
                <w:color w:val="auto"/>
              </w:rPr>
              <w:t>December 31, 2015:</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Per Issuer</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80" w:type="dxa"/>
            <w:vAlign w:val="bottom"/>
            <w:gridSpan w:val="4"/>
            <w:vMerge w:val="continue"/>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85"/>
              </w:rPr>
              <w:t>Issuers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(Fair Value)</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6"/>
          </w:tcPr>
          <w:p>
            <w:pPr>
              <w:ind w:lef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3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State</w:t>
            </w: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Illinois</w:t>
            </w:r>
          </w:p>
        </w:tc>
        <w:tc>
          <w:tcPr>
            <w:tcW w:w="2700" w:type="dxa"/>
            <w:vAlign w:val="bottom"/>
            <w:tcBorders>
              <w:top w:val="single" w:sz="8" w:color="CCEEFF"/>
            </w:tcBorders>
            <w:gridSpan w:val="2"/>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77</w:t>
            </w:r>
          </w:p>
        </w:tc>
        <w:tc>
          <w:tcPr>
            <w:tcW w:w="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64,455</w:t>
            </w:r>
          </w:p>
        </w:tc>
        <w:tc>
          <w:tcPr>
            <w:tcW w:w="44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65,557</w:t>
            </w:r>
          </w:p>
        </w:tc>
        <w:tc>
          <w:tcPr>
            <w:tcW w:w="34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851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Wisconsin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30,889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Michigan</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27,923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28,339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727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Pennsylvania</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Texas</w:t>
            </w:r>
          </w:p>
        </w:tc>
        <w:tc>
          <w:tcPr>
            <w:tcW w:w="10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12,117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12,165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Ohio</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Iowa</w:t>
            </w:r>
          </w:p>
        </w:tc>
        <w:tc>
          <w:tcPr>
            <w:tcW w:w="106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5,550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1,857</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26,938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Total general obligations bonds</w:t>
            </w:r>
          </w:p>
        </w:tc>
        <w:tc>
          <w:tcPr>
            <w:tcW w:w="10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191,196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193,441</w:t>
            </w:r>
          </w:p>
        </w:tc>
        <w:tc>
          <w:tcPr>
            <w:tcW w:w="14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24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general obligation bonds are diversified across many issuers, with $3.5 million and $3.4 million being the largest exposure to a single issuer at June 30, 2016 and December 31, 2015, respectively. Accordingly, as of June 30, 2016 and December 31, 2015, the Company did not hold general obligation bonds of any single issuer, the aggregate book or market value of which exceeded 10% of the Company’s stockholders’ equity. Of the general obligation bonds in the Company’s portfolio, 98.3% had been rated by at least one nationally recognized statistical rating organization and 1.7% were unrated, based on the aggregate fair value as of June 30, 2016. Of the general obligation bonds in the Company’s portfolio, 97.6% had been rated by at least one nationally recognized statistical rating organization and 2.4% were unrated, based on the aggregate fair value as of December 31,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June 30, 2016:</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420" w:type="dxa"/>
            <w:vAlign w:val="bottom"/>
            <w:gridSpan w:val="4"/>
            <w:vMerge w:val="continue"/>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6"/>
          </w:tcPr>
          <w:p>
            <w:pPr>
              <w:ind w:lef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State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Indiana</w:t>
            </w:r>
          </w:p>
        </w:tc>
        <w:tc>
          <w:tcPr>
            <w:tcW w:w="270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9,393</w:t>
            </w:r>
          </w:p>
        </w:tc>
        <w:tc>
          <w:tcPr>
            <w:tcW w:w="44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9,506</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18,337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 2015:</w:t>
            </w: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420" w:type="dxa"/>
            <w:vAlign w:val="bottom"/>
            <w:gridSpan w:val="4"/>
            <w:vMerge w:val="continue"/>
          </w:tcPr>
          <w:p>
            <w:pPr>
              <w:spacing w:after="0"/>
              <w:rPr>
                <w:sz w:val="14"/>
                <w:szCs w:val="14"/>
                <w:color w:val="auto"/>
              </w:rPr>
            </w:pPr>
          </w:p>
        </w:tc>
        <w:tc>
          <w:tcPr>
            <w:tcW w:w="1100" w:type="dxa"/>
            <w:vAlign w:val="bottom"/>
          </w:tcPr>
          <w:p>
            <w:pPr>
              <w:jc w:val="center"/>
              <w:ind w:left="208"/>
              <w:spacing w:after="0"/>
              <w:rPr>
                <w:sz w:val="20"/>
                <w:szCs w:val="20"/>
                <w:color w:val="auto"/>
              </w:rPr>
            </w:pPr>
            <w:r>
              <w:rPr>
                <w:rFonts w:ascii="Arial" w:cs="Arial" w:eastAsia="Arial" w:hAnsi="Arial"/>
                <w:sz w:val="14"/>
                <w:szCs w:val="14"/>
                <w:b w:val="1"/>
                <w:bCs w:val="1"/>
                <w:color w:val="auto"/>
                <w:w w:val="85"/>
              </w:rPr>
              <w:t>Issuers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6"/>
          </w:tcPr>
          <w:p>
            <w:pPr>
              <w:ind w:left="6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U.S. State</w:t>
            </w: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Indiana</w:t>
            </w:r>
          </w:p>
        </w:tc>
        <w:tc>
          <w:tcPr>
            <w:tcW w:w="270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10,187</w:t>
            </w:r>
          </w:p>
        </w:tc>
        <w:tc>
          <w:tcPr>
            <w:tcW w:w="440" w:type="dxa"/>
            <w:vAlign w:val="bottom"/>
            <w:tcBorders>
              <w:top w:val="single" w:sz="8" w:color="CCEEFF"/>
            </w:tcBorders>
            <w:gridSpan w:val="2"/>
          </w:tcPr>
          <w:p>
            <w:pPr>
              <w:jc w:val="right"/>
              <w:ind w:right="145"/>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10,173</w:t>
            </w:r>
          </w:p>
        </w:tc>
        <w:tc>
          <w:tcPr>
            <w:tcW w:w="2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1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8,450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15,766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15,770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revenue bonds</w:t>
            </w: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34,421</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revenue bonds are diversified across many issuers and revenue sources with $3.8 million and $3.0 million being the largest exposure to a single issuer at each of June 30, 2016 and December 31, 2015, respectively. Accordingly, as of June 30, 2016 and December 31, 2015, the Company did not hold revenue bonds of any single issuer, the aggregate book or market value of which exceeded 10% of the Company’s stockholders’ equity. Of the revenue bonds in the Company’s portfolio, 97.0% had been rated by at least one nationally recognized statistical rating organization and 3.0% were unrated, based on the fair value as of June 30, 2016. All of the revenue bonds in the Company’s portfolio had been rated by at least one nationally recognized statistical rating organization as of December 31, 2015. Some of the primary types of revenue bonds held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78"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Substantially all of the Company’s obligations of state and political subdivision securities are owned by its subsidiary banks</w:t>
      </w:r>
      <w:r>
        <w:rPr>
          <w:rFonts w:ascii="Arial" w:cs="Arial" w:eastAsia="Arial" w:hAnsi="Arial"/>
          <w:sz w:val="17"/>
          <w:szCs w:val="17"/>
          <w:b w:val="1"/>
          <w:bCs w:val="1"/>
          <w:color w:val="auto"/>
        </w:rPr>
        <w:t>,</w:t>
      </w:r>
      <w:r>
        <w:rPr>
          <w:rFonts w:ascii="Arial" w:cs="Arial" w:eastAsia="Arial" w:hAnsi="Arial"/>
          <w:sz w:val="17"/>
          <w:szCs w:val="17"/>
          <w:color w:val="auto"/>
        </w:rPr>
        <w:t xml:space="preserve"> which have adopted First Busey’s investment policy requiring that state and political subdivision securities purchased be investment grade. Such investment policy also limits the amount of rated state and political subdivision securities to an aggregate 100% of the subsidiary banks’ Total Capital (as defined by federal regulations) at the time of purchase and an aggregate 15% of Total Capital for unrated state and political subdivision securities issued by municipalities having taxing authority or located in counties/micropolitan statistical areas/metropolitan statistical areas in which an office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 All securities in First Busey’s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Distributions of loans were as follows:</w:t>
      </w:r>
    </w:p>
    <w:p>
      <w:pPr>
        <w:sectPr>
          <w:pgSz w:w="11900" w:h="16838" w:orient="portrait"/>
          <w:cols w:equalWidth="0" w:num="1">
            <w:col w:w="11460"/>
          </w:cols>
          <w:pgMar w:left="240" w:top="104" w:right="199" w:bottom="0" w:gutter="0" w:footer="0" w:header="0"/>
        </w:sectPr>
      </w:pPr>
    </w:p>
    <w:bookmarkStart w:id="12" w:name="page13"/>
    <w:bookmarkEnd w:id="12"/>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540" w:type="dxa"/>
            <w:vAlign w:val="bottom"/>
            <w:gridSpan w:val="3"/>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60" w:type="dxa"/>
            <w:vAlign w:val="bottom"/>
            <w:gridSpan w:val="4"/>
          </w:tcPr>
          <w:p>
            <w:pPr>
              <w:jc w:val="right"/>
              <w:ind w:right="1093"/>
              <w:spacing w:after="0"/>
              <w:rPr>
                <w:sz w:val="20"/>
                <w:szCs w:val="20"/>
                <w:color w:val="auto"/>
              </w:rPr>
            </w:pPr>
            <w:r>
              <w:rPr>
                <w:rFonts w:ascii="Arial" w:cs="Arial" w:eastAsia="Arial" w:hAnsi="Arial"/>
                <w:sz w:val="14"/>
                <w:szCs w:val="14"/>
                <w:b w:val="1"/>
                <w:bCs w:val="1"/>
                <w:color w:val="auto"/>
              </w:rPr>
              <w:t>(dollars in thousands)</w:t>
            </w: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9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886,298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1,624,129</w:t>
            </w:r>
          </w:p>
        </w:tc>
        <w:tc>
          <w:tcPr>
            <w:tcW w:w="2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1,208,429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175,506</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Retail real estate</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1,357,445</w:t>
            </w:r>
          </w:p>
        </w:tc>
        <w:tc>
          <w:tcPr>
            <w:tcW w:w="2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660,542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15,713</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gross loans</w:t>
            </w:r>
          </w:p>
        </w:tc>
        <w:tc>
          <w:tcPr>
            <w:tcW w:w="1560" w:type="dxa"/>
            <w:vAlign w:val="bottom"/>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4,059,091</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Less held for sale(1)</w:t>
            </w: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278,125</w:t>
            </w:r>
          </w:p>
        </w:tc>
        <w:tc>
          <w:tcPr>
            <w:tcW w:w="28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3,780,966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45,358</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Net loans</w:t>
            </w:r>
          </w:p>
        </w:tc>
        <w:tc>
          <w:tcPr>
            <w:tcW w:w="156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3,735,608</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Net loans increased $1.2 billion as of June 30, 2016 as compared to December 31, 2015 primarily as a result of the Pulaski acquisition. Net deferred loan origination costs included in the tables above were $1.8 million as of June 30, 2016 and $0.9 million as of December 31, 2015.</w:t>
      </w:r>
    </w:p>
    <w:p>
      <w:pPr>
        <w:spacing w:after="0" w:line="14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geographic areas within 125 miles of its lending offices. Loans might be originated outside of these areas, but such loans are generally residential mortgage loans originated for sale in the secondary market.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Management reviews and approves the Company’s lending policies and procedures on a routine basis. The policies for legacy Pulaski loans are similar in nature to Busey Bank’s policies and the Company is migrating Pulaski’s loan production towards the Busey Bank policies.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pacing w:after="0" w:line="167"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At no time is a borrower’s total borrowing relationship permitted to exceed the Company’s regulatory lending limit and the Company generally limits such relationships to amounts substantially less than the regulatory limit. Loans to related parties, including executive officers and directors of the Company and its subsidiaries, are reviewed for compliance with regulatory guidelines by the Company’s board of directors at least annually.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lending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2015. The significant majority of the Company’s portfolio lending activity occurs in its Illinois and Missouri markets, with the remainder in the Indiana and Florida markets.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A description of the general characteristics of each grade is as follows:</w:t>
      </w:r>
    </w:p>
    <w:p>
      <w:pPr>
        <w:spacing w:after="0" w:line="248" w:lineRule="exact"/>
        <w:rPr>
          <w:sz w:val="20"/>
          <w:szCs w:val="20"/>
          <w:color w:val="auto"/>
        </w:rPr>
      </w:pPr>
    </w:p>
    <w:p>
      <w:pPr>
        <w:ind w:left="680" w:right="680" w:hanging="322"/>
        <w:spacing w:after="0" w:line="264"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This category includes loans which are all considered strong credits, from investment or near investment grade to loans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borrowers that exhibit credit fundamentals that exceed industry standards and loan policy guidelines and loans that exhibit acceptable credit fundamentals.</w:t>
      </w:r>
    </w:p>
    <w:p>
      <w:pPr>
        <w:spacing w:after="0" w:line="181" w:lineRule="exact"/>
        <w:rPr>
          <w:rFonts w:ascii="Arial" w:cs="Arial" w:eastAsia="Arial" w:hAnsi="Arial"/>
          <w:sz w:val="18"/>
          <w:szCs w:val="18"/>
          <w:color w:val="auto"/>
        </w:rPr>
      </w:pPr>
    </w:p>
    <w:p>
      <w:pPr>
        <w:ind w:left="680" w:right="340" w:hanging="322"/>
        <w:spacing w:after="0" w:line="277"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This category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620" w:hanging="322"/>
        <w:spacing w:after="0" w:line="277" w:lineRule="auto"/>
        <w:tabs>
          <w:tab w:leader="none" w:pos="644"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This category is for “Other Assets Specially Mentioned” loans that have potential weaknesses which may, if not checked or</w:t>
      </w:r>
      <w:r>
        <w:rPr>
          <w:rFonts w:ascii="Arial" w:cs="Arial" w:eastAsia="Arial" w:hAnsi="Arial"/>
          <w:sz w:val="18"/>
          <w:szCs w:val="18"/>
          <w:i w:val="1"/>
          <w:iCs w:val="1"/>
          <w:color w:val="auto"/>
        </w:rPr>
        <w:t xml:space="preserve"> </w:t>
      </w:r>
      <w:r>
        <w:rPr>
          <w:rFonts w:ascii="Arial" w:cs="Arial" w:eastAsia="Arial" w:hAnsi="Arial"/>
          <w:sz w:val="18"/>
          <w:szCs w:val="18"/>
          <w:color w:val="auto"/>
        </w:rPr>
        <w:t>corrected, weaken 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80" w:hanging="322"/>
        <w:spacing w:after="0" w:line="286" w:lineRule="auto"/>
        <w:tabs>
          <w:tab w:leader="none" w:pos="644"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This category includes “Substandard” loans, determined in accordance with regulatory guidelines, for which the accrual of interest has</w:t>
      </w:r>
      <w:r>
        <w:rPr>
          <w:rFonts w:ascii="Arial" w:cs="Arial" w:eastAsia="Arial" w:hAnsi="Arial"/>
          <w:sz w:val="17"/>
          <w:szCs w:val="17"/>
          <w:i w:val="1"/>
          <w:iCs w:val="1"/>
          <w:color w:val="auto"/>
        </w:rPr>
        <w:t xml:space="preserve"> </w:t>
      </w:r>
      <w:r>
        <w:rPr>
          <w:rFonts w:ascii="Arial" w:cs="Arial" w:eastAsia="Arial" w:hAnsi="Arial"/>
          <w:sz w:val="17"/>
          <w:szCs w:val="17"/>
          <w:color w:val="auto"/>
        </w:rPr>
        <w:t>not been stopped. Assets so classified must have a well-defined weakness or weaknesses that jeopardize the liquidation of the debt. They are characterized by the distinct possibility that the Company will sustain some loss if the deficiencies are not corrected.</w:t>
      </w:r>
    </w:p>
    <w:p>
      <w:pPr>
        <w:sectPr>
          <w:pgSz w:w="11900" w:h="16838" w:orient="portrait"/>
          <w:cols w:equalWidth="0" w:num="1">
            <w:col w:w="11420"/>
          </w:cols>
          <w:pgMar w:left="240" w:top="320" w:right="239" w:bottom="0" w:gutter="0" w:footer="0" w:header="0"/>
        </w:sectPr>
      </w:pPr>
    </w:p>
    <w:bookmarkStart w:id="13" w:name="page14"/>
    <w:bookmarkEnd w:id="13"/>
    <w:p>
      <w:pPr>
        <w:ind w:left="680" w:right="200" w:hanging="322"/>
        <w:spacing w:after="0" w:line="264" w:lineRule="auto"/>
        <w:tabs>
          <w:tab w:leader="none" w:pos="644"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Doubtful- </w:t>
      </w:r>
      <w:r>
        <w:rPr>
          <w:rFonts w:ascii="Arial" w:cs="Arial" w:eastAsia="Arial" w:hAnsi="Arial"/>
          <w:sz w:val="18"/>
          <w:szCs w:val="18"/>
          <w:color w:val="auto"/>
        </w:rPr>
        <w:t>This category includes “Doubtful” loans that have all the characteristics of a “Substandard” loan with additional factors that make</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in full highly questionable and improbable. Such loans are placed on non-accrual status and may be dependent on collateral with a value that is difficult to determine.</w:t>
      </w:r>
    </w:p>
    <w:p>
      <w:pPr>
        <w:spacing w:after="0" w:line="18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All loans are graded at their inception.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Most commercial loans greater than $1.0 million are included in a portfolio review at least annually. Commercial loans greater than $0.35 million that have a grading of special mention or worse are reviewed on a quarterly basis. Interim reviews may take place if circumstances of the borrower warrant a more timely review.</w:t>
      </w:r>
    </w:p>
    <w:p>
      <w:pPr>
        <w:spacing w:after="0" w:line="188"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Loans in the highest grades, represented by the pass and watch categories, totaled $3.6 billion at June 30, 2016, compared to $2.5 billion at December 31, 2015. Loans in the lowest grades, represented by the special mention, substandard and doubtful, totaled $183.9 million at June 30, 2016, compared to $166.8 million at December 31, 2015.</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is a summary of risk grades segregated by category of loans (excluding held for sale, accretable carrying value adjustments, and non-posted and clearings):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June 30, 2016</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Watch</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749,909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85,558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31,680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14,578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1,462,988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74,937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57,453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30,442</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132,426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Retail real estate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1,038,330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19,700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15,060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3,398,713</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214,919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111,797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49,678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Pass</w:t>
            </w:r>
          </w:p>
        </w:tc>
        <w:tc>
          <w:tcPr>
            <w:tcW w:w="240" w:type="dxa"/>
            <w:vAlign w:val="bottom"/>
          </w:tcPr>
          <w:p>
            <w:pPr>
              <w:spacing w:after="0"/>
              <w:rPr>
                <w:sz w:val="10"/>
                <w:szCs w:val="10"/>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Watch</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Special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0"/>
                <w:szCs w:val="10"/>
                <w:color w:val="auto"/>
              </w:rPr>
            </w:pPr>
          </w:p>
        </w:tc>
        <w:tc>
          <w:tcPr>
            <w:tcW w:w="10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Doubtful</w:t>
            </w: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Mention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9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1,068,568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58,238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51,418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29,781</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65,284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Retail real estate</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607,398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21,637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13,974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60" w:type="dxa"/>
            <w:vAlign w:val="bottom"/>
          </w:tcPr>
          <w:p>
            <w:pPr>
              <w:ind w:left="180"/>
              <w:spacing w:after="0"/>
              <w:rPr>
                <w:sz w:val="20"/>
                <w:szCs w:val="20"/>
                <w:color w:val="auto"/>
              </w:rPr>
            </w:pPr>
            <w:r>
              <w:rPr>
                <w:rFonts w:ascii="Arial" w:cs="Arial" w:eastAsia="Arial" w:hAnsi="Arial"/>
                <w:sz w:val="18"/>
                <w:szCs w:val="18"/>
                <w:color w:val="auto"/>
              </w:rPr>
              <w:t>Total</w:t>
            </w:r>
          </w:p>
        </w:tc>
        <w:tc>
          <w:tcPr>
            <w:tcW w:w="6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2,308,716</w:t>
            </w: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152,695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46,108</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the principal and interest amounts contractually due are brought current and future payments are reasonably assured.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past due loans that are still accruing and non-accrual loans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 2016</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6"/>
          </w:tcPr>
          <w:p>
            <w:pPr>
              <w:jc w:val="center"/>
              <w:ind w:left="10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30-59 Days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60-89 Days</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7,645</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3,133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Retail real estate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11,077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360" w:type="dxa"/>
            <w:vAlign w:val="bottom"/>
            <w:tcBorders>
              <w:bottom w:val="single" w:sz="8" w:color="808080"/>
            </w:tcBorders>
            <w:gridSpan w:val="3"/>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r>
        <w:trPr>
          <w:trHeight w:val="713"/>
        </w:trPr>
        <w:tc>
          <w:tcPr>
            <w:tcW w:w="6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2015</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980" w:type="dxa"/>
            <w:vAlign w:val="bottom"/>
            <w:tcBorders>
              <w:bottom w:val="single" w:sz="8" w:color="auto"/>
            </w:tcBorders>
            <w:gridSpan w:val="6"/>
          </w:tcPr>
          <w:p>
            <w:pPr>
              <w:jc w:val="center"/>
              <w:ind w:left="1054"/>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10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gridSpan w:val="2"/>
          </w:tcPr>
          <w:p>
            <w:pPr>
              <w:spacing w:after="0"/>
              <w:rPr>
                <w:sz w:val="12"/>
                <w:szCs w:val="12"/>
                <w:color w:val="auto"/>
              </w:rPr>
            </w:pP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30-59 Days</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92"/>
              </w:rPr>
              <w:t>60-89 Days</w:t>
            </w:r>
          </w:p>
        </w:tc>
        <w:tc>
          <w:tcPr>
            <w:tcW w:w="10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Loans</w:t>
            </w:r>
          </w:p>
        </w:tc>
        <w:tc>
          <w:tcPr>
            <w:tcW w:w="1000" w:type="dxa"/>
            <w:vAlign w:val="bottom"/>
          </w:tcPr>
          <w:p>
            <w:pPr>
              <w:spacing w:after="0"/>
              <w:rPr>
                <w:sz w:val="12"/>
                <w:szCs w:val="12"/>
                <w:color w:val="auto"/>
              </w:rPr>
            </w:pPr>
          </w:p>
        </w:tc>
      </w:tr>
      <w:tr>
        <w:trPr>
          <w:trHeight w:val="142"/>
        </w:trPr>
        <w:tc>
          <w:tcPr>
            <w:tcW w:w="6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3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26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1000" w:type="dxa"/>
            <w:vAlign w:val="bottom"/>
            <w:shd w:val="clear" w:color="auto" w:fill="CCEEFF"/>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7,617</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1,496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366</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Retail real estate</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160</w:t>
            </w:r>
          </w:p>
        </w:tc>
        <w:tc>
          <w:tcPr>
            <w:tcW w:w="100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3,139</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6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-1647825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-1647825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4" w:name="page15"/>
    <w:bookmarkEnd w:id="14"/>
    <w:p>
      <w:pPr>
        <w:ind w:right="80"/>
        <w:spacing w:after="0" w:line="291" w:lineRule="auto"/>
        <w:rPr>
          <w:sz w:val="20"/>
          <w:szCs w:val="20"/>
          <w:color w:val="auto"/>
        </w:rPr>
      </w:pPr>
      <w:r>
        <w:rPr>
          <w:rFonts w:ascii="Arial" w:cs="Arial" w:eastAsia="Arial" w:hAnsi="Arial"/>
          <w:sz w:val="16"/>
          <w:szCs w:val="16"/>
          <w:color w:val="auto"/>
        </w:rPr>
        <w:t>A loan is classified as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substandard or doubtful and loans classified as a troubled debt restructuring (“TDR”) are assessed for impairment by the Company.</w:t>
      </w:r>
    </w:p>
    <w:p>
      <w:pPr>
        <w:spacing w:after="0" w:line="16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2016 if impaired loans had been current in accordance with their original terms was $0.2 million and $0.4 million, respectively. The amount of interest collected on those loans and recognized on a cash basis that was included in interest income was insignificant for the three and six months ended June 30, 2016.</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but who may be unable to meet the terms of the loan in the near term due to individual circumstances.</w:t>
      </w:r>
    </w:p>
    <w:p>
      <w:pPr>
        <w:spacing w:after="0" w:line="166"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exceeds 90 days past due or is placed on non-accrual status, it is classified as non-performing loan totals. A summary of restructured loans as of June 30, 2016 and December 31, 2015 is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80" w:type="dxa"/>
            <w:vAlign w:val="bottom"/>
          </w:tcPr>
          <w:p>
            <w:pPr>
              <w:jc w:val="right"/>
              <w:ind w:right="7"/>
              <w:spacing w:after="0"/>
              <w:rPr>
                <w:sz w:val="20"/>
                <w:szCs w:val="20"/>
                <w:color w:val="auto"/>
              </w:rPr>
            </w:pPr>
            <w:r>
              <w:rPr>
                <w:rFonts w:ascii="Arial" w:cs="Arial" w:eastAsia="Arial" w:hAnsi="Arial"/>
                <w:sz w:val="14"/>
                <w:szCs w:val="14"/>
                <w:b w:val="1"/>
                <w:bCs w:val="1"/>
                <w:color w:val="auto"/>
              </w:rPr>
              <w:t>June 30, 2016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100" w:type="dxa"/>
            <w:vAlign w:val="bottom"/>
            <w:tcBorders>
              <w:top w:val="single" w:sz="8" w:color="auto"/>
            </w:tcBorders>
            <w:gridSpan w:val="6"/>
          </w:tcPr>
          <w:p>
            <w:pPr>
              <w:jc w:val="right"/>
              <w:ind w:right="12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 compliance with modified terms</w:t>
            </w:r>
          </w:p>
        </w:tc>
        <w:tc>
          <w:tcPr>
            <w:tcW w:w="2820" w:type="dxa"/>
            <w:vAlign w:val="bottom"/>
            <w:gridSpan w:val="2"/>
          </w:tcPr>
          <w:p>
            <w:pPr>
              <w:jc w:val="right"/>
              <w:ind w:right="1327"/>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8,184</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8,770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30 — 89 days past due</w:t>
            </w:r>
          </w:p>
        </w:tc>
        <w:tc>
          <w:tcPr>
            <w:tcW w:w="1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Included in non-performing loans</w:t>
            </w:r>
          </w:p>
        </w:tc>
        <w:tc>
          <w:tcPr>
            <w:tcW w:w="1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643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340" w:type="dxa"/>
            <w:vAlign w:val="bottom"/>
            <w:tcBorders>
              <w:top w:val="single" w:sz="8" w:color="CCEEFF"/>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ind w:right="132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23</w:t>
            </w: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5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7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fair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Performing loans classified as TDRs during the three months ended June 30, 2016 included four retail real estate modifications for short-term principal payment relief, with a recorded investment of $0.1 million. Performing loans classified as TDRs during the six months ended June 30, 2016 included three commercial real estate modifications for short-term principal payment relief, with a recorded investment of $0.3 million and six retail real estate modifications for short-term principal payment relief, with a recorded investment of $0.4 million.</w:t>
      </w:r>
    </w:p>
    <w:p>
      <w:pPr>
        <w:spacing w:after="0" w:line="18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Performing loans classified as TDRs during the three months ended June 30, 2015 included one retail real estate modification for short-term interest rate relief, with a recorded investment of $0.1 million. Performing loans classified as TDRs during the six months ended June 30, 2015 included one retail real estate modification for short-term interest rate relief, with a recorded investment of $0.1 million and four retail real estate modifications for short-term principal payment relief, with a recorded investment of $0.4 million.</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six months ended June 30, 2016 and 2015 if performing TDRs had been performing in accordance with their original terms compared with their modified terms was insignificant.</w:t>
      </w:r>
    </w:p>
    <w:p>
      <w:pPr>
        <w:spacing w:after="0" w:line="17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TDRs that were entered into during the last twelve months that were subsequently classified as non-performing and had payment defaults (a default occurs when a loan is 90 days or more past due or transferred to non-accrual) during the three months ended June 30, 2016 consisted of three retail real estate modifications totaling $0.2 million. TDRs that were entered into during the last twelve months that were subsequently classified as non-performing and had payment defaults during the six months ended June 30, 2016 consisted of four retail real estate modifications totaling $0.2 million and one retail other modification totaling $0.1 million.</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TDRs that were entered into during the prior twelve months that were subsequently classified as non-performing and had payment defaults during the three months ended June 30, 2015 consisted of one commercial real estate modification totaling $1.0 million. TDRs that were entered into during the last twelve months that were subsequently classified as non-performing and had payment defaults during the six months ended June 30, 2015 consisted of one commercial real estate modification totaling $1.0 million and one commercial modification totaling $1.0 million.</w:t>
      </w:r>
    </w:p>
    <w:p>
      <w:pPr>
        <w:spacing w:after="0" w:line="17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3"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June 30, 2016</w:t>
      </w:r>
    </w:p>
    <w:p>
      <w:pPr>
        <w:spacing w:after="0" w:line="10" w:lineRule="exact"/>
        <w:rPr>
          <w:sz w:val="20"/>
          <w:szCs w:val="20"/>
          <w:color w:val="auto"/>
        </w:rPr>
      </w:pPr>
    </w:p>
    <w:tbl>
      <w:tblPr>
        <w:tblLayout w:type="fixed"/>
        <w:tblInd w:w="3340" w:type="dxa"/>
        <w:tblCellMar>
          <w:top w:w="0" w:type="dxa"/>
          <w:left w:w="0" w:type="dxa"/>
          <w:bottom w:w="0" w:type="dxa"/>
          <w:right w:w="0" w:type="dxa"/>
        </w:tblCellMar>
      </w:tblPr>
      <w:tr>
        <w:trPr>
          <w:trHeight w:val="119"/>
        </w:trPr>
        <w:tc>
          <w:tcPr>
            <w:tcW w:w="1280" w:type="dxa"/>
            <w:vAlign w:val="bottom"/>
            <w:tcBorders>
              <w:top w:val="single" w:sz="8" w:color="auto"/>
            </w:tcBorders>
          </w:tcPr>
          <w:p>
            <w:pPr>
              <w:jc w:val="center"/>
              <w:ind w:right="71"/>
              <w:spacing w:after="0" w:line="119" w:lineRule="exact"/>
              <w:rPr>
                <w:sz w:val="20"/>
                <w:szCs w:val="20"/>
                <w:color w:val="auto"/>
              </w:rPr>
            </w:pPr>
            <w:r>
              <w:rPr>
                <w:rFonts w:ascii="Arial" w:cs="Arial" w:eastAsia="Arial" w:hAnsi="Arial"/>
                <w:sz w:val="13"/>
                <w:szCs w:val="13"/>
                <w:b w:val="1"/>
                <w:bCs w:val="1"/>
                <w:color w:val="auto"/>
              </w:rPr>
              <w:t>Unpaid</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Recorded</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Recorded</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Total</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Related</w:t>
            </w:r>
          </w:p>
        </w:tc>
        <w:tc>
          <w:tcPr>
            <w:tcW w:w="1240" w:type="dxa"/>
            <w:vAlign w:val="bottom"/>
            <w:tcBorders>
              <w:top w:val="single" w:sz="8" w:color="auto"/>
            </w:tcBorders>
          </w:tcPr>
          <w:p>
            <w:pPr>
              <w:jc w:val="center"/>
              <w:ind w:left="31"/>
              <w:spacing w:after="0" w:line="119" w:lineRule="exact"/>
              <w:rPr>
                <w:sz w:val="20"/>
                <w:szCs w:val="20"/>
                <w:color w:val="auto"/>
              </w:rPr>
            </w:pPr>
            <w:r>
              <w:rPr>
                <w:rFonts w:ascii="Arial" w:cs="Arial" w:eastAsia="Arial" w:hAnsi="Arial"/>
                <w:sz w:val="13"/>
                <w:szCs w:val="13"/>
                <w:b w:val="1"/>
                <w:bCs w:val="1"/>
                <w:color w:val="auto"/>
                <w:w w:val="97"/>
              </w:rPr>
              <w:t>Average</w:t>
            </w:r>
          </w:p>
        </w:tc>
      </w:tr>
      <w:tr>
        <w:trPr>
          <w:trHeight w:val="186"/>
        </w:trPr>
        <w:tc>
          <w:tcPr>
            <w:tcW w:w="1280" w:type="dxa"/>
            <w:vAlign w:val="bottom"/>
          </w:tcPr>
          <w:p>
            <w:pPr>
              <w:jc w:val="center"/>
              <w:ind w:right="71"/>
              <w:spacing w:after="0"/>
              <w:rPr>
                <w:sz w:val="20"/>
                <w:szCs w:val="20"/>
                <w:color w:val="auto"/>
              </w:rPr>
            </w:pPr>
            <w:r>
              <w:rPr>
                <w:rFonts w:ascii="Arial" w:cs="Arial" w:eastAsia="Arial" w:hAnsi="Arial"/>
                <w:sz w:val="14"/>
                <w:szCs w:val="14"/>
                <w:b w:val="1"/>
                <w:bCs w:val="1"/>
                <w:color w:val="auto"/>
                <w:w w:val="95"/>
              </w:rPr>
              <w:t>Contractual</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2"/>
              </w:rPr>
              <w:t>Recorded</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Allowance</w:t>
            </w:r>
          </w:p>
        </w:tc>
        <w:tc>
          <w:tcPr>
            <w:tcW w:w="1240" w:type="dxa"/>
            <w:vAlign w:val="bottom"/>
          </w:tcPr>
          <w:p>
            <w:pPr>
              <w:jc w:val="center"/>
              <w:ind w:left="11"/>
              <w:spacing w:after="0"/>
              <w:rPr>
                <w:sz w:val="20"/>
                <w:szCs w:val="20"/>
                <w:color w:val="auto"/>
              </w:rPr>
            </w:pPr>
            <w:r>
              <w:rPr>
                <w:rFonts w:ascii="Arial" w:cs="Arial" w:eastAsia="Arial" w:hAnsi="Arial"/>
                <w:sz w:val="14"/>
                <w:szCs w:val="14"/>
                <w:b w:val="1"/>
                <w:bCs w:val="1"/>
                <w:color w:val="auto"/>
                <w:w w:val="92"/>
              </w:rPr>
              <w:t>Recorded</w:t>
            </w:r>
          </w:p>
        </w:tc>
      </w:tr>
    </w:tbl>
    <w:p>
      <w:pPr>
        <w:sectPr>
          <w:pgSz w:w="11900" w:h="16838" w:orient="portrait"/>
          <w:cols w:equalWidth="0" w:num="1">
            <w:col w:w="11460"/>
          </w:cols>
          <w:pgMar w:left="240" w:top="125" w:right="19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40" w:type="dxa"/>
            <w:vAlign w:val="bottom"/>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7,115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8,583</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7,528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7,511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883</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24,462</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18,609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19,012</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13,023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50,613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3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gridSpan w:val="6"/>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3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2015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14,302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8,238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3,304</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5,865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5,381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859</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Retail real estate</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12,378</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11,560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34,386</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29,638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-1828165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-1828165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allowance for loan losses represents an estimate of the amount of losses believed to be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June 30, 2016 and December 31, 2015.</w:t>
      </w:r>
    </w:p>
    <w:p>
      <w:pPr>
        <w:spacing w:after="0" w:line="19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special mention and substandard portfolios. The substandard portfolio has an additional allocation of 3.00% placed on such loans, which is an estimate of the additional loss inherent in these loan grades based upon a review of overall historical charge-offs. As of June 30, 2016, the Company believed this reserve remained adequate. Special mention loans have an additional allocation of 1.00% placed on such loans, which is an estimate of the additional loss inherent in these loan grades. As of June 30, 2016, the Company believed this reserve remained adequate.</w:t>
      </w:r>
    </w:p>
    <w:p>
      <w:pPr>
        <w:spacing w:after="0" w:line="18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specific portion of the Company’s allowance relates to loans that are impaired, which includes non-performing loans, TDRs and other loans determined to be impaired. Impaired loans are excluded from the determination of the general allowance for non-impaired loans and are allocated specific reserves as discussed above.</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The general reserve quantitative allocation that is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Factors; (vi) Impact of Competition, Legal &amp; Regulatory Issues; (vii) Nature and Volume of Loan Portfolio; (viii) Concentrations of Credit; (ix) Net Charge-Off Trends; and (x) Non-Accrual, Past Due and Classified Trends. Management evaluates the degree of risk that each one of these components has on the quality of the loan portfolio on a quarterly basis.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each component’s risk factor, a qualitative adjustment to the reserve may be applied to the appropriate loan categories. During the second quarter of 2016, the Company adjusted qualitative factors relating to Impact of Competition, Legal &amp; Regulatory Issues. The adjustment of these factors increased our allowance requirements by $1.9 million at June 30, 2016 compared to the method used for March 31, 2016. Adjustments to increase these qualitative factors were made to recognize perceived changing degrees of risk, offset decreasing quantitative factors and reflect management’s evaluation of risk. The Company will continue to monitor its qualitative factors on a quarterly basis.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holds acquired loans from business combinations with uncollected principal balances. These loans are carried net of a fair value adjustment for credit risk and interest rates and are only included in the allowance calculation to the extent that the reserve requirement exceeds the fair value adjustment. However, as the acquired loans renew, it is necessary to establish an allowance which represents an amount that, in management’s opinion, will be adequate to absorb probable credit losses inherent in such loans.</w:t>
      </w:r>
    </w:p>
    <w:p>
      <w:pPr>
        <w:sectPr>
          <w:pgSz w:w="11900" w:h="16838" w:orient="portrait"/>
          <w:cols w:equalWidth="0" w:num="1">
            <w:col w:w="11460"/>
          </w:cols>
          <w:pgMar w:left="240" w:top="104" w:right="199" w:bottom="0" w:gutter="0" w:footer="0" w:header="0"/>
        </w:sectPr>
      </w:pPr>
    </w:p>
    <w:bookmarkStart w:id="16" w:name="page17"/>
    <w:bookmarkEnd w:id="16"/>
    <w:p>
      <w:pPr>
        <w:ind w:right="80"/>
        <w:spacing w:after="0" w:line="277" w:lineRule="auto"/>
        <w:rPr>
          <w:sz w:val="20"/>
          <w:szCs w:val="20"/>
          <w:color w:val="auto"/>
        </w:rPr>
      </w:pPr>
      <w:r>
        <w:rPr>
          <w:rFonts w:ascii="Arial" w:cs="Arial" w:eastAsia="Arial" w:hAnsi="Arial"/>
          <w:sz w:val="18"/>
          <w:szCs w:val="18"/>
          <w:color w:val="auto"/>
        </w:rPr>
        <w:t>The following table details activity in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7"/>
          </w:tcPr>
          <w:p>
            <w:pPr>
              <w:jc w:val="center"/>
              <w:ind w:left="757"/>
              <w:spacing w:after="0"/>
              <w:rPr>
                <w:sz w:val="20"/>
                <w:szCs w:val="20"/>
                <w:color w:val="auto"/>
              </w:rPr>
            </w:pPr>
            <w:r>
              <w:rPr>
                <w:rFonts w:ascii="Arial" w:cs="Arial" w:eastAsia="Arial" w:hAnsi="Arial"/>
                <w:sz w:val="14"/>
                <w:szCs w:val="14"/>
                <w:b w:val="1"/>
                <w:bCs w:val="1"/>
                <w:color w:val="auto"/>
                <w:w w:val="93"/>
              </w:rPr>
              <w:t>As of and for the Three Months Ended June 30, 2016</w:t>
            </w:r>
          </w:p>
        </w:tc>
        <w:tc>
          <w:tcPr>
            <w:tcW w:w="9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Retail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13,323</w:t>
            </w: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18,240</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11,487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45,171</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(1,969)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1,056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7"/>
          </w:tcPr>
          <w:p>
            <w:pPr>
              <w:jc w:val="center"/>
              <w:ind w:left="777"/>
              <w:spacing w:after="0"/>
              <w:rPr>
                <w:sz w:val="20"/>
                <w:szCs w:val="20"/>
                <w:color w:val="auto"/>
              </w:rPr>
            </w:pPr>
            <w:r>
              <w:rPr>
                <w:rFonts w:ascii="Arial" w:cs="Arial" w:eastAsia="Arial" w:hAnsi="Arial"/>
                <w:sz w:val="14"/>
                <w:szCs w:val="14"/>
                <w:b w:val="1"/>
                <w:bCs w:val="1"/>
                <w:color w:val="auto"/>
                <w:w w:val="92"/>
              </w:rPr>
              <w:t>As of and for the Six Months Ended June 30, 2016</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13,115</w:t>
            </w: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18,604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1,763</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13,714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47,487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(898)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2,100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(4,874)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(5,840)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660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608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1,611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10,146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20,275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7"/>
          </w:tcPr>
          <w:p>
            <w:pPr>
              <w:jc w:val="center"/>
              <w:ind w:left="757"/>
              <w:spacing w:after="0"/>
              <w:rPr>
                <w:sz w:val="20"/>
                <w:szCs w:val="20"/>
                <w:color w:val="auto"/>
              </w:rPr>
            </w:pPr>
            <w:r>
              <w:rPr>
                <w:rFonts w:ascii="Arial" w:cs="Arial" w:eastAsia="Arial" w:hAnsi="Arial"/>
                <w:sz w:val="14"/>
                <w:szCs w:val="14"/>
                <w:b w:val="1"/>
                <w:bCs w:val="1"/>
                <w:color w:val="auto"/>
                <w:w w:val="93"/>
              </w:rPr>
              <w:t>As of and for the Three Months Ended June 30, 2015</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3"/>
              </w:rPr>
              <w:t>Retail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9,528</w:t>
            </w:r>
          </w:p>
        </w:tc>
        <w:tc>
          <w:tcPr>
            <w:tcW w:w="1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20,513</w:t>
            </w: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2,096</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15,207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47,652</w:t>
            </w:r>
          </w:p>
        </w:tc>
        <w:tc>
          <w:tcPr>
            <w:tcW w:w="80" w:type="dxa"/>
            <w:vAlign w:val="bottom"/>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47,720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gridSpan w:val="17"/>
          </w:tcPr>
          <w:p>
            <w:pPr>
              <w:jc w:val="center"/>
              <w:ind w:left="777"/>
              <w:spacing w:after="0"/>
              <w:rPr>
                <w:sz w:val="20"/>
                <w:szCs w:val="20"/>
                <w:color w:val="auto"/>
              </w:rPr>
            </w:pPr>
            <w:r>
              <w:rPr>
                <w:rFonts w:ascii="Arial" w:cs="Arial" w:eastAsia="Arial" w:hAnsi="Arial"/>
                <w:sz w:val="14"/>
                <w:szCs w:val="14"/>
                <w:b w:val="1"/>
                <w:bCs w:val="1"/>
                <w:color w:val="auto"/>
                <w:w w:val="92"/>
              </w:rPr>
              <w:t>As of and for the Six Months Ended June 30, 2015</w:t>
            </w: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9"/>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tcPr>
          <w:p>
            <w:pPr>
              <w:jc w:val="right"/>
              <w:ind w:right="320"/>
              <w:spacing w:after="0" w:line="119" w:lineRule="exact"/>
              <w:rPr>
                <w:sz w:val="20"/>
                <w:szCs w:val="20"/>
                <w:color w:val="auto"/>
              </w:rPr>
            </w:pPr>
            <w:r>
              <w:rPr>
                <w:rFonts w:ascii="Arial" w:cs="Arial" w:eastAsia="Arial" w:hAnsi="Arial"/>
                <w:sz w:val="13"/>
                <w:szCs w:val="13"/>
                <w:b w:val="1"/>
                <w:bCs w:val="1"/>
                <w:color w:val="auto"/>
              </w:rPr>
              <w:t>Real Estate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4"/>
                <w:szCs w:val="14"/>
                <w:b w:val="1"/>
                <w:bCs w:val="1"/>
                <w:color w:val="auto"/>
              </w:rPr>
              <w:t>Construction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9"/>
          </w:tcPr>
          <w:p>
            <w:pPr>
              <w:jc w:val="center"/>
              <w:ind w:right="3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10,041</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20,639</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2,795</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13,662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c>
          <w:tcPr>
            <w:tcW w:w="3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47,453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140" w:type="dxa"/>
            <w:vAlign w:val="bottom"/>
            <w:gridSpan w:val="3"/>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(746)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500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398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1,335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20,945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47,720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w w:val="79"/>
              </w:rPr>
              <w:t>26</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4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loans, excluding loans held for sale, by category: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4"/>
                <w:szCs w:val="14"/>
                <w:b w:val="1"/>
                <w:bCs w:val="1"/>
                <w:color w:val="auto"/>
                <w:w w:val="90"/>
              </w:rPr>
              <w:t>As of June 30, 2016</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0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Loans individually evaluated for impairment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882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 impairment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9,787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19,393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12,908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10,146</w:t>
            </w: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20,275</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13,039</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45,358</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individually evaluated for impairment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Loans collectively evaluated for impairment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878,462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1,616,601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1,060,308</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15,514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3,745,508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1,882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886,298</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1,624,129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175,506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1,079,320</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3,780,966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2"/>
              </w:rPr>
              <w:t>As of December 31, 2015</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100" w:type="dxa"/>
            <w:vAlign w:val="bottom"/>
          </w:tcPr>
          <w:p>
            <w:pPr>
              <w:spacing w:after="0"/>
              <w:rPr>
                <w:sz w:val="10"/>
                <w:szCs w:val="10"/>
                <w:color w:val="auto"/>
              </w:rPr>
            </w:pPr>
          </w:p>
        </w:tc>
        <w:tc>
          <w:tcPr>
            <w:tcW w:w="12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0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Retail Real</w:t>
            </w:r>
          </w:p>
        </w:tc>
        <w:tc>
          <w:tcPr>
            <w:tcW w:w="100" w:type="dxa"/>
            <w:vAlign w:val="bottom"/>
          </w:tcPr>
          <w:p>
            <w:pPr>
              <w:spacing w:after="0"/>
              <w:rPr>
                <w:sz w:val="10"/>
                <w:szCs w:val="10"/>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Retail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Construction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Estate</w:t>
            </w: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6"/>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Amount allocated to:</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Loans individually evaluated for impairment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3,304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collectively evaluated for impairment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18,145</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13,562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Ending Balance</w:t>
            </w:r>
          </w:p>
        </w:tc>
        <w:tc>
          <w:tcPr>
            <w:tcW w:w="2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13,115</w:t>
            </w:r>
          </w:p>
        </w:tc>
        <w:tc>
          <w:tcPr>
            <w:tcW w:w="3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13,714</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47,487</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9"/>
              </w:rPr>
              <w:t>Loans individually evaluated for impairment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200" w:type="dxa"/>
            <w:vAlign w:val="bottom"/>
            <w:gridSpan w:val="2"/>
            <w:shd w:val="clear" w:color="auto" w:fill="CCEEFF"/>
          </w:tcPr>
          <w:p>
            <w:pPr>
              <w:jc w:val="right"/>
              <w:ind w:right="7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w w:val="99"/>
              </w:rPr>
              <w:t>Loans collectively evaluated for impairment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644,976</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1,203,048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95,709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639,631</w:t>
            </w: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14,737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2,598,101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PCI loans evaluated for Impairment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Ending Balance</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656,576</w:t>
            </w:r>
          </w:p>
        </w:tc>
        <w:tc>
          <w:tcPr>
            <w:tcW w:w="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1,208,429</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96,568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651,191</w:t>
            </w: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14,975</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2,627,739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ectPr>
          <w:pgSz w:w="11900" w:h="16838" w:orient="portrait"/>
          <w:cols w:equalWidth="0" w:num="1">
            <w:col w:w="11460"/>
          </w:cols>
          <w:pgMar w:left="240" w:top="125" w:right="199" w:bottom="0" w:gutter="0" w:footer="0" w:header="0"/>
        </w:sectPr>
      </w:pPr>
    </w:p>
    <w:bookmarkStart w:id="17" w:name="page18"/>
    <w:bookmarkEnd w:id="17"/>
    <w:p>
      <w:pPr>
        <w:spacing w:after="0" w:line="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Properties are evaluated regularly to ensure each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June 30, 2016, the Company held $2.8 million in commercial OREO, $0.5 million in residential OREO and an insignificant amount of other repossessed assets. At December 31, 2015, the Company held $0.5 million in commercial OREO, $0.3 million in residential OREO and an insignificant amount of other repossessed assets. At June 30, 2016 the Company had $2.4 million of residential real estate in the process of foreclosure.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related to OREO:</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Six Months Ended</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June 30, 2016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2015</w:t>
            </w:r>
          </w:p>
        </w:tc>
      </w:tr>
      <w:tr>
        <w:trPr>
          <w:trHeight w:val="142"/>
        </w:trPr>
        <w:tc>
          <w:tcPr>
            <w:tcW w:w="5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5"/>
          </w:tcPr>
          <w:p>
            <w:pPr>
              <w:jc w:val="right"/>
              <w:ind w:right="85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1,251</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284</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fair value from Pulaski acquisition</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Proceeds from sales of OREO</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(1,090)</w:t>
            </w: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sales of OREO</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Valuation allowance for OREO</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5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Short-term borrowings consist of FHLB advances which mature in less than one year from date of origination.</w:t>
      </w:r>
    </w:p>
    <w:p>
      <w:pPr>
        <w:spacing w:after="0" w:line="225"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November 20, 2015, the Company entered into a credit agreement to make available a revolving loan facility to the Company in the maximum principal amount of $20.0 million. The loan has an annual interest rate of 2.50% plus the one-month LIBOR rate and has a maturity date of November 19, 2016. The loan also bears a non-usage fee calculated based on the average daily principal balance of the loan outstanding during the prior fiscal quarter. The Company had no outstanding amounts on its loan at June 30, 2016 or December 31, 2015.</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sets forth the distribution of securities sold under agreements to repurchase and short-term borrowings and weighted average interest rates: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jc w:val="right"/>
              <w:ind w:right="554"/>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3"/>
          </w:tcPr>
          <w:p>
            <w:pPr>
              <w:jc w:val="right"/>
              <w:ind w:right="753"/>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173,726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172,972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197,397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202,376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balance for the year-to-date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171,077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179,662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during period(1)</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r>
      <w:tr>
        <w:trPr>
          <w:trHeight w:val="216"/>
        </w:trPr>
        <w:tc>
          <w:tcPr>
            <w:tcW w:w="59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166,200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0.42%</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224,200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4"/>
              <w:spacing w:after="0"/>
              <w:rPr>
                <w:sz w:val="20"/>
                <w:szCs w:val="20"/>
                <w:color w:val="auto"/>
              </w:rPr>
            </w:pPr>
            <w:r>
              <w:rPr>
                <w:rFonts w:ascii="Arial" w:cs="Arial" w:eastAsia="Arial" w:hAnsi="Arial"/>
                <w:sz w:val="18"/>
                <w:szCs w:val="18"/>
                <w:color w:val="auto"/>
              </w:rPr>
              <w:t>66,834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period(1)</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(1)The weighted average interest rate is computed by dividing total annualized interest for the year-to-date period by the average daily balance outstanding.</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summarized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40" w:type="dxa"/>
            <w:vAlign w:val="bottom"/>
            <w:gridSpan w:val="4"/>
          </w:tcPr>
          <w:p>
            <w:pPr>
              <w:jc w:val="right"/>
              <w:ind w:right="762"/>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6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Notes payable, FHLB, ranging in maturity from nineteen months to ten years,</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collateralized by FHLB deposits, residential and commercial real estate loans and</w:t>
            </w: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7"/>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FHLB stock.</w:t>
            </w:r>
          </w:p>
        </w:tc>
        <w:tc>
          <w:tcPr>
            <w:tcW w:w="580" w:type="dxa"/>
            <w:vAlign w:val="bottom"/>
            <w:gridSpan w:val="2"/>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340"/>
          </w:cols>
          <w:pgMar w:left="240" w:top="125" w:right="319" w:bottom="0" w:gutter="0" w:footer="0" w:header="0"/>
        </w:sectPr>
      </w:pPr>
    </w:p>
    <w:bookmarkStart w:id="18" w:name="page19"/>
    <w:bookmarkEnd w:id="18"/>
    <w:p>
      <w:pPr>
        <w:ind w:right="140"/>
        <w:spacing w:after="0" w:line="259" w:lineRule="auto"/>
        <w:rPr>
          <w:sz w:val="20"/>
          <w:szCs w:val="20"/>
          <w:color w:val="auto"/>
        </w:rPr>
      </w:pPr>
      <w:r>
        <w:rPr>
          <w:rFonts w:ascii="Arial" w:cs="Arial" w:eastAsia="Arial" w:hAnsi="Arial"/>
          <w:sz w:val="18"/>
          <w:szCs w:val="18"/>
          <w:color w:val="auto"/>
        </w:rPr>
        <w:t>As of June 30, 2016, funds borrowed from the FHLB, listed above, consisted of variable-rate notes maturing through September 2024, with interest rates ranging from 0.14% to 0.28%. The weighted average rate on these long-term advances was 0.18% as of June 30, 2016. As of December 31, 2015, funds borrowed from the FHLB, listed above, consisted of variable-rate notes maturing through September 2024, with interest rates ranging from 0.10% to 0.28%. The weighted average rate on these long-term advances was 0.15% as of December 31,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adjusted to reflect the Reverse Stock Split, have been computed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4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1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 share data)</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12,383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9,755</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22,817</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34,984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29,002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31,861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Dilutive effect of outstanding options, warrants and restricted</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stock units as determined by the application of the treasury</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method</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common shares outstanding, as adjusted for</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w w:val="90"/>
              </w:rPr>
              <w:t>35,292</w:t>
            </w:r>
          </w:p>
        </w:tc>
        <w:tc>
          <w:tcPr>
            <w:tcW w:w="24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29,188</w:t>
            </w: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32,102</w:t>
            </w:r>
          </w:p>
        </w:tc>
        <w:tc>
          <w:tcPr>
            <w:tcW w:w="48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29,176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share calculation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gridSpan w:val="2"/>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0.33</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Diluted earnings per common share are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June 30, 2016, 10,850 outstanding options and 191,278 warrants were anti-dilutive and excluded from the calculation of common stock equivalents. At June 30, 2015, 86,585 outstanding options, 191,278 warrants, and 126,844 restricted stock units were anti-dilutive and excluded from the calculation of common stock equivalents.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Company’s 2010 Equity Incentive Plan, the Company is allowed, but not required, to source stock option exercises and grants of RSUs and DSUs from its inventory of treasury stock. As of June 30, 2016, the Company held 707,405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the third quarter of 2015, the Company purchased 333,333 shares under this repurchase plan. At June 30, 2016 the Company had 333,334 shares that may yet be purchased under the plan.</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description of the 2010 Equity Incentive Plan, which was amended in 2015,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relation to the Pulaski acquisition, the Company assumed stock options that were previously issued under shareholder approved Pulaski incentive plans. At the effective time of the acquisition, each outstanding option to purchase shares of Pulaski common stock was converted automatically into a stock option exercisable for that number of shares of First Busey common stock equal to (i) the number of shares of Pulaski common stock subject to the Pulaski stock option immediately prior to the effective time multiplied by (ii) the exchange ratio (rounded down to the nearest whole share), with an exercise price per share equal to (A) the exercise price per share of Pulaski common stock of the Pulaski stock option immediately prior to the effective time divided by (B) the exchange ratio (rounded up to the nearest whole cent). Each Pulaski stock option assumed and converted continues to be subject to the same terms and conditions, as applicable immediately prior to the effective time. All Pulaski stock options are fully vested.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six months ended June 30, 2016 follows:</w:t>
      </w:r>
    </w:p>
    <w:p>
      <w:pPr>
        <w:sectPr>
          <w:pgSz w:w="11900" w:h="16838" w:orient="portrait"/>
          <w:cols w:equalWidth="0" w:num="1">
            <w:col w:w="11420"/>
          </w:cols>
          <w:pgMar w:left="240" w:top="341" w:right="239" w:bottom="0" w:gutter="0" w:footer="0" w:header="0"/>
        </w:sectPr>
      </w:pPr>
    </w:p>
    <w:bookmarkStart w:id="19" w:name="page20"/>
    <w:bookmarkEnd w:id="19"/>
    <w:tbl>
      <w:tblPr>
        <w:tblLayout w:type="fixed"/>
        <w:tblInd w:w="66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180" w:type="dxa"/>
            <w:vAlign w:val="bottom"/>
          </w:tcPr>
          <w:p>
            <w:pPr>
              <w:spacing w:after="0"/>
              <w:rPr>
                <w:sz w:val="12"/>
                <w:szCs w:val="12"/>
                <w:color w:val="auto"/>
              </w:rPr>
            </w:pPr>
          </w:p>
        </w:tc>
        <w:tc>
          <w:tcPr>
            <w:tcW w:w="16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07"/>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40" w:type="dxa"/>
            <w:vAlign w:val="bottom"/>
          </w:tcPr>
          <w:p>
            <w:pPr>
              <w:jc w:val="center"/>
              <w:ind w:left="307"/>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96,568</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43.64</w:t>
            </w:r>
          </w:p>
        </w:tc>
        <w:tc>
          <w:tcPr>
            <w:tcW w:w="28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Converted options from Pulaski</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309,700</w:t>
            </w:r>
          </w:p>
        </w:tc>
        <w:tc>
          <w:tcPr>
            <w:tcW w:w="9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13.29</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(41,813)</w:t>
            </w:r>
          </w:p>
        </w:tc>
        <w:tc>
          <w:tcPr>
            <w:tcW w:w="9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15.08</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13.87</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Arial" w:cs="Arial" w:eastAsia="Arial" w:hAnsi="Arial"/>
                <w:sz w:val="18"/>
                <w:szCs w:val="18"/>
                <w:color w:val="auto"/>
              </w:rPr>
              <w:t>Expired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(50,718)</w:t>
            </w:r>
          </w:p>
        </w:tc>
        <w:tc>
          <w:tcPr>
            <w:tcW w:w="9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58.23</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period</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313,343</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15.13</w:t>
            </w:r>
          </w:p>
        </w:tc>
        <w:tc>
          <w:tcPr>
            <w:tcW w:w="28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end of period</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180" w:type="dxa"/>
            <w:vAlign w:val="bottom"/>
            <w:vMerge w:val="continue"/>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313,343</w:t>
            </w:r>
          </w:p>
        </w:tc>
        <w:tc>
          <w:tcPr>
            <w:tcW w:w="300" w:type="dxa"/>
            <w:vAlign w:val="bottom"/>
            <w:vMerge w:val="continue"/>
          </w:tcPr>
          <w:p>
            <w:pPr>
              <w:spacing w:after="0"/>
              <w:rPr>
                <w:sz w:val="18"/>
                <w:szCs w:val="18"/>
                <w:color w:val="auto"/>
              </w:rPr>
            </w:pPr>
          </w:p>
        </w:tc>
        <w:tc>
          <w:tcPr>
            <w:tcW w:w="940" w:type="dxa"/>
            <w:vAlign w:val="bottom"/>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15.13</w:t>
            </w:r>
          </w:p>
        </w:tc>
        <w:tc>
          <w:tcPr>
            <w:tcW w:w="280" w:type="dxa"/>
            <w:vAlign w:val="bottom"/>
            <w:vMerge w:val="continue"/>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or six months ended June 30, 2016 or 2015.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six months ended June 30, 2016,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Restricted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Director</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Deferred</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5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Units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424,930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24,763</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19.38</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Vested</w:t>
            </w: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(1,920)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14.59</w:t>
            </w:r>
          </w:p>
        </w:tc>
        <w:tc>
          <w:tcPr>
            <w:tcW w:w="1640" w:type="dxa"/>
            <w:vAlign w:val="bottom"/>
            <w:gridSpan w:val="2"/>
          </w:tcPr>
          <w:p>
            <w:pPr>
              <w:jc w:val="right"/>
              <w:ind w:right="240"/>
              <w:spacing w:after="0"/>
              <w:rPr>
                <w:sz w:val="20"/>
                <w:szCs w:val="20"/>
                <w:color w:val="auto"/>
              </w:rPr>
            </w:pPr>
            <w:r>
              <w:rPr>
                <w:rFonts w:ascii="Arial" w:cs="Arial" w:eastAsia="Arial" w:hAnsi="Arial"/>
                <w:sz w:val="18"/>
                <w:szCs w:val="18"/>
                <w:color w:val="auto"/>
              </w:rPr>
              <w:t>(13,867)</w:t>
            </w: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18.82</w:t>
            </w:r>
          </w:p>
        </w:tc>
        <w:tc>
          <w:tcPr>
            <w:tcW w:w="1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427,411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28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12,102</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427,411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17.14</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69,662</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relation to the Pulaski acquisition, the Company also assumed performance based restricted stock units. At the effective time of the acquisition, the number of shares covered by each outstanding restricted stock unit award in respect of Pulaski common stock was fixed at the target level under Pulaski’s existing plan and automatically converted into a service-based restricted stock unit award of First Busey common stock that is equal to the number of shares of Pulaski common stock subject to such Pulaski performance stock award multiplied by the exchange ratio. Following the change in control, each restricted stock award will vest, without regard to any performance metrics, on the earlier to occur of September 30, 2017 or the award holders’ involuntary termination of employment for reasons other than cause or voluntary termination of employment for good reason, as specified in the award agreement. Dividends related to these units are accrued and will be paid in cash upon vesting. At June 30, 2016 these awards represented 53,004 First Busey restricted stock units.</w:t>
      </w:r>
    </w:p>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recognized $0.4 million and $0.3 million of compensation expense related to non-vested stock units for the three months ended June 30, 2016 and 2015, respectively. The Company recognized $0.8 million and $0.6 million of compensation expense related to non-vested stock units for the six months ended June 30, 2016 and 2015, respectively. As of June 30, 2016, there was $3.6 million of total unrecognized compensation cost related to these non-vested stock units. This cost is expected to be recognized over a period of 3.1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June 30, 2016, the Company was not under examination by any tax authority.</w:t>
      </w:r>
    </w:p>
    <w:p>
      <w:pPr>
        <w:spacing w:after="0" w:line="225"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At June 30, 2016, the Company had $0.1 million of unrecognized tax benefits which would affect the effective tax rate if recognized. The Company recognizes interest related to uncertain tax positions in income tax expense and classifies such interest and penalties in the liability for unrecognized tax benefits. As of June 30, 2016, the Company had an insignificant amount accrued for the payment of interest and penalties.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ectPr>
          <w:pgSz w:w="11900" w:h="16838" w:orient="portrait"/>
          <w:cols w:equalWidth="0" w:num="1">
            <w:col w:w="11420"/>
          </w:cols>
          <w:pgMar w:left="240" w:top="320" w:right="239" w:bottom="0" w:gutter="0" w:footer="0" w:header="0"/>
        </w:sectPr>
      </w:pPr>
    </w:p>
    <w:bookmarkStart w:id="20" w:name="page21"/>
    <w:bookmarkEnd w:id="20"/>
    <w:p>
      <w:pPr>
        <w:jc w:val="both"/>
        <w:ind w:right="52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319"/>
              <w:spacing w:after="0"/>
              <w:rPr>
                <w:sz w:val="20"/>
                <w:szCs w:val="20"/>
                <w:color w:val="auto"/>
              </w:rPr>
            </w:pPr>
            <w:r>
              <w:rPr>
                <w:rFonts w:ascii="Arial" w:cs="Arial" w:eastAsia="Arial" w:hAnsi="Arial"/>
                <w:sz w:val="14"/>
                <w:szCs w:val="14"/>
                <w:b w:val="1"/>
                <w:bCs w:val="1"/>
                <w:color w:val="auto"/>
                <w:w w:val="98"/>
              </w:rPr>
              <w:t>June 30, 2016</w:t>
            </w:r>
          </w:p>
        </w:tc>
        <w:tc>
          <w:tcPr>
            <w:tcW w:w="240" w:type="dxa"/>
            <w:vAlign w:val="bottom"/>
          </w:tcPr>
          <w:p>
            <w:pPr>
              <w:spacing w:after="0"/>
              <w:rPr>
                <w:sz w:val="14"/>
                <w:szCs w:val="14"/>
                <w:color w:val="auto"/>
              </w:rPr>
            </w:pP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December 31, 2015</w:t>
            </w:r>
          </w:p>
        </w:tc>
      </w:tr>
      <w:tr>
        <w:trPr>
          <w:trHeight w:val="142"/>
        </w:trPr>
        <w:tc>
          <w:tcPr>
            <w:tcW w:w="8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3"/>
          </w:tcPr>
          <w:p>
            <w:pPr>
              <w:jc w:val="right"/>
              <w:ind w:right="75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2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9"/>
              <w:spacing w:after="0"/>
              <w:rPr>
                <w:sz w:val="20"/>
                <w:szCs w:val="20"/>
                <w:color w:val="auto"/>
              </w:rPr>
            </w:pPr>
            <w:r>
              <w:rPr>
                <w:rFonts w:ascii="Arial" w:cs="Arial" w:eastAsia="Arial" w:hAnsi="Arial"/>
                <w:sz w:val="18"/>
                <w:szCs w:val="18"/>
                <w:color w:val="auto"/>
              </w:rPr>
              <w:t>901,836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618,551</w:t>
            </w:r>
          </w:p>
        </w:tc>
      </w:tr>
      <w:tr>
        <w:trPr>
          <w:trHeight w:val="216"/>
        </w:trPr>
        <w:tc>
          <w:tcPr>
            <w:tcW w:w="8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21,776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15,325</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June 30, 2016 and December 31, 2015, no amounts were recorded as liabilities for the Company’s potential obligations under these guarantees.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will sign contracts for construction projects relating to the Company’s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w:t>
      </w:r>
    </w:p>
    <w:p>
      <w:pPr>
        <w:spacing w:after="0" w:line="22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ability of the Company to pay cash dividends to its stockholders and to service its debt historically was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has distributed funds to the Company, the most recent of which was $60.0 million on December 8, 2015. The Company expects to seek regulatory approval for additional capital distributions in future periods.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Pulaski Bank is a national bank regulated by the Office of the Comptroller of the Currency (“OCC”). Under federal regulations, the approval of the OCC is required prior to any capital distribution when the total amount of capital distributions for the current calendar year exceeds net income for that year plus retained net income for the preceding two years. In connection with the application of the acquisition method of accounting, Pulaski Bank’s retained earnings were reduced to zero at the date of the acquisition. Accordingly, the amount of Pulaski Bank’s capital available for distribution to the Company without prior regulatory approval is limited to Pulaski Bank’s undistributed earnings since the date of the acquisition.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and both of its subsidiary banks are subject to regulatory capital requirements administered by federal and/or state agencies that involve the quantitative measure of their assets, liabilities, and certain off-balance-sheet items, as calculated under regulatory accounting practices. Quantitative measures established by regulations to ensure capital adequacy require the Company and the banks to maintain minimum dollar amounts and ratios of such to risk weighted assets (as defined in the regulations and set forth in the table below) of total capital, Tier 1 capital and Common Equity Tier 1 capital, and for both of the subsidiary banks, Tier 1 capital to average assets. Failure to meet minimum capital requirements may cause regulatory bodies to initiate certain discretionary and/or mandatory actions that, if undertaken, could have a direct material effect on our financial statements. The Company, as a financial holding company, is required to be “well capitalized” in the capital categories shown in the table below. As of June 30, 2016, the Company and both of its subsidiary banks met all capital adequacy requirements to which they were subject, including the guidelines to be considered “well capitalized.”</w:t>
      </w:r>
    </w:p>
    <w:p>
      <w:pPr>
        <w:spacing w:after="0" w:line="16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at least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total assets. Since the Company has assets of less than $15.0 billion, it is able to maintain its trust preferred securities as Tier 1 capital but it will have to comply with new capital mandates in other respects, and it will not be able to raise Tier 1 capital through the issuance of trust preferred securities in the future.</w:t>
      </w:r>
    </w:p>
    <w:p>
      <w:pPr>
        <w:spacing w:after="0" w:line="16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under the old guidelines no longer qualify, or their qualifications will change, as the Basel III Rules are being fully implemented.</w:t>
      </w:r>
    </w:p>
    <w:p>
      <w:pPr>
        <w:sectPr>
          <w:pgSz w:w="11900" w:h="16838" w:orient="portrait"/>
          <w:cols w:equalWidth="0" w:num="1">
            <w:col w:w="11420"/>
          </w:cols>
          <w:pgMar w:left="240" w:top="125" w:right="239" w:bottom="0" w:gutter="0" w:footer="0" w:header="0"/>
        </w:sectPr>
      </w:pPr>
    </w:p>
    <w:bookmarkStart w:id="21" w:name="page22"/>
    <w:bookmarkEnd w:id="21"/>
    <w:p>
      <w:pPr>
        <w:ind w:right="100"/>
        <w:spacing w:after="0" w:line="288" w:lineRule="auto"/>
        <w:rPr>
          <w:sz w:val="20"/>
          <w:szCs w:val="20"/>
          <w:color w:val="auto"/>
        </w:rPr>
      </w:pPr>
      <w:r>
        <w:rPr>
          <w:rFonts w:ascii="Arial" w:cs="Arial" w:eastAsia="Arial" w:hAnsi="Arial"/>
          <w:sz w:val="16"/>
          <w:szCs w:val="16"/>
          <w:color w:val="auto"/>
        </w:rPr>
        <w:t>The Basel III Rules also permitted banking organizations with less than $15.0 billion in assets to retain, through a one-time election, the past treatment for accumulated other comprehensive income, which did not affect regulatory capital. First Busey and both of its subsidiary banks made this election in the first quarter of 2015 to avoid variations in the level of their capital depending on fluctuations in the fair value of their securities portfolio. The Basel III</w:t>
      </w:r>
    </w:p>
    <w:p>
      <w:pPr>
        <w:spacing w:after="0" w:line="268" w:lineRule="auto"/>
        <w:rPr>
          <w:sz w:val="20"/>
          <w:szCs w:val="20"/>
          <w:color w:val="auto"/>
        </w:rPr>
      </w:pPr>
      <w:r>
        <w:rPr>
          <w:rFonts w:ascii="Arial" w:cs="Arial" w:eastAsia="Arial" w:hAnsi="Arial"/>
          <w:sz w:val="17"/>
          <w:szCs w:val="17"/>
          <w:color w:val="auto"/>
        </w:rPr>
        <w:t>Rules maintained the general structure of the prompt corrective action framework, while incorporating increased requirements. The prompt corrective action guidelines were also revised to add the Common Equity Tier 1 Capital ratio. Under the final capital rules that became effective on January 1, 2015, there was a requirement for a Common Equity Tier 1 capital conservation buffer of 2.5% of risk weighted assets which is in addition to the other minimum risk based capital standards in the rule. Failure to maintain the buffer will result in restrictions on the Company’s ability to make capital distributions, including the payment of dividends, and to pay discretionary bonuses to executive officers. The capital buffer requirement is being phased-in over three years beginning in 2016. The table below includes the 0.625% increase for 2016 in the minimum capital requirement ratios. The capital buffer requirement effectively raises the minimum required Common Equity Tier 1 Capital ratio to 7.0%, the Tier 1 Capital ratio to 8.5%, and the Total Capital ratio to 10.5% on a fully phased-in basis on January 1, 2019. As of June 30, 2016, the Company and both of its subsidiary banks were in compliance with the current phase of the Basel III Rules and management believes that the Company and both of its subsidiary banks would meet all capital adequacy requirements under the Basel III Rules on a fully phased-in basis as if such requirements had been in effect.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left="475"/>
              <w:spacing w:after="0"/>
              <w:rPr>
                <w:sz w:val="20"/>
                <w:szCs w:val="20"/>
                <w:color w:val="auto"/>
              </w:rPr>
            </w:pPr>
            <w:r>
              <w:rPr>
                <w:rFonts w:ascii="Arial" w:cs="Arial" w:eastAsia="Arial" w:hAnsi="Arial"/>
                <w:sz w:val="14"/>
                <w:szCs w:val="14"/>
                <w:b w:val="1"/>
                <w:bCs w:val="1"/>
                <w:color w:val="auto"/>
                <w:w w:val="97"/>
              </w:rPr>
              <w:t>Minimum</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Minimum To Be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vMerge w:val="restart"/>
          </w:tcPr>
          <w:p>
            <w:pPr>
              <w:ind w:left="840"/>
              <w:spacing w:after="0"/>
              <w:rPr>
                <w:sz w:val="20"/>
                <w:szCs w:val="20"/>
                <w:color w:val="auto"/>
              </w:rPr>
            </w:pPr>
            <w:r>
              <w:rPr>
                <w:rFonts w:ascii="Arial" w:cs="Arial" w:eastAsia="Arial" w:hAnsi="Arial"/>
                <w:sz w:val="14"/>
                <w:szCs w:val="14"/>
                <w:b w:val="1"/>
                <w:bCs w:val="1"/>
                <w:color w:val="auto"/>
              </w:rPr>
              <w:t>Actual</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Capital Requirement with</w:t>
            </w: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left="475"/>
              <w:spacing w:after="0"/>
              <w:rPr>
                <w:sz w:val="20"/>
                <w:szCs w:val="20"/>
                <w:color w:val="auto"/>
              </w:rPr>
            </w:pPr>
            <w:r>
              <w:rPr>
                <w:rFonts w:ascii="Arial" w:cs="Arial" w:eastAsia="Arial" w:hAnsi="Arial"/>
                <w:sz w:val="14"/>
                <w:szCs w:val="14"/>
                <w:b w:val="1"/>
                <w:bCs w:val="1"/>
                <w:color w:val="auto"/>
                <w:w w:val="95"/>
              </w:rPr>
              <w:t>Capital Buffer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20" w:type="dxa"/>
            <w:vAlign w:val="bottom"/>
            <w:gridSpan w:val="3"/>
          </w:tcPr>
          <w:p>
            <w:pPr>
              <w:jc w:val="right"/>
              <w:ind w:right="88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Amount</w:t>
            </w:r>
          </w:p>
        </w:tc>
        <w:tc>
          <w:tcPr>
            <w:tcW w:w="8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15"/>
              <w:spacing w:after="0" w:line="142" w:lineRule="exact"/>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520" w:type="dxa"/>
            <w:vAlign w:val="bottom"/>
            <w:tcBorders>
              <w:top w:val="single" w:sz="8" w:color="auto"/>
              <w:bottom w:val="single" w:sz="8" w:color="auto"/>
            </w:tcBorders>
          </w:tcPr>
          <w:p>
            <w:pPr>
              <w:jc w:val="right"/>
              <w:ind w:right="834"/>
              <w:spacing w:after="0" w:line="142" w:lineRule="exact"/>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1"/>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gridSpan w:val="3"/>
          </w:tcPr>
          <w:p>
            <w:pPr>
              <w:jc w:val="center"/>
              <w:ind w:right="44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As of June 30, 2016: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920" w:type="dxa"/>
            <w:vAlign w:val="bottom"/>
            <w:gridSpan w:val="4"/>
          </w:tcPr>
          <w:p>
            <w:pPr>
              <w:spacing w:after="0" w:line="176" w:lineRule="exact"/>
              <w:rPr>
                <w:sz w:val="20"/>
                <w:szCs w:val="20"/>
                <w:color w:val="auto"/>
              </w:rPr>
            </w:pPr>
            <w:r>
              <w:rPr>
                <w:rFonts w:ascii="Arial" w:cs="Arial" w:eastAsia="Arial" w:hAnsi="Arial"/>
                <w:sz w:val="18"/>
                <w:szCs w:val="18"/>
                <w:color w:val="auto"/>
                <w:w w:val="92"/>
              </w:rPr>
              <w:t>Total Capital (to Risk Weighted Assets)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584,299</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369,232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428,095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920" w:type="dxa"/>
            <w:vAlign w:val="bottom"/>
            <w:gridSpan w:val="4"/>
          </w:tcPr>
          <w:p>
            <w:pPr>
              <w:ind w:left="180"/>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418,465</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13.79%</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15"/>
              <w:spacing w:after="0"/>
              <w:rPr>
                <w:sz w:val="20"/>
                <w:szCs w:val="20"/>
                <w:color w:val="auto"/>
              </w:rPr>
            </w:pPr>
            <w:r>
              <w:rPr>
                <w:rFonts w:ascii="Arial" w:cs="Arial" w:eastAsia="Arial" w:hAnsi="Arial"/>
                <w:sz w:val="18"/>
                <w:szCs w:val="18"/>
                <w:color w:val="auto"/>
              </w:rPr>
              <w:t>261,764</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8.625%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303,495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Pulaski Bank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133,140</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10.98%</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104,620</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121,298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920" w:type="dxa"/>
            <w:vAlign w:val="bottom"/>
            <w:tcBorders>
              <w:bottom w:val="single" w:sz="8" w:color="auto"/>
            </w:tcBorders>
            <w:gridSpan w:val="4"/>
            <w:shd w:val="clear" w:color="auto" w:fill="CCEEFF"/>
          </w:tcPr>
          <w:p>
            <w:pPr>
              <w:spacing w:after="0" w:line="176" w:lineRule="exact"/>
              <w:rPr>
                <w:sz w:val="20"/>
                <w:szCs w:val="20"/>
                <w:color w:val="auto"/>
              </w:rPr>
            </w:pPr>
            <w:r>
              <w:rPr>
                <w:rFonts w:ascii="Arial" w:cs="Arial" w:eastAsia="Arial" w:hAnsi="Arial"/>
                <w:sz w:val="18"/>
                <w:szCs w:val="18"/>
                <w:color w:val="auto"/>
                <w:w w:val="90"/>
              </w:rPr>
              <w:t>Tier 1 Capital (to Risk Weighted Assets)</w:t>
            </w:r>
          </w:p>
        </w:tc>
        <w:tc>
          <w:tcPr>
            <w:tcW w:w="2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gridSpan w:val="4"/>
          </w:tcPr>
          <w:p>
            <w:pPr>
              <w:ind w:left="180"/>
              <w:spacing w:after="0"/>
              <w:rPr>
                <w:sz w:val="20"/>
                <w:szCs w:val="20"/>
                <w:color w:val="auto"/>
              </w:rPr>
            </w:pPr>
            <w:r>
              <w:rPr>
                <w:rFonts w:ascii="Arial" w:cs="Arial" w:eastAsia="Arial" w:hAnsi="Arial"/>
                <w:sz w:val="18"/>
                <w:szCs w:val="18"/>
                <w:color w:val="auto"/>
              </w:rPr>
              <w:t>Consolidated</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538,764</w:t>
            </w: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12.59%</w:t>
            </w: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CCEEFF"/>
            </w:tcBorders>
          </w:tcPr>
          <w:p>
            <w:pPr>
              <w:jc w:val="right"/>
              <w:ind w:right="515"/>
              <w:spacing w:after="0"/>
              <w:rPr>
                <w:sz w:val="20"/>
                <w:szCs w:val="20"/>
                <w:color w:val="auto"/>
              </w:rPr>
            </w:pPr>
            <w:r>
              <w:rPr>
                <w:rFonts w:ascii="Arial" w:cs="Arial" w:eastAsia="Arial" w:hAnsi="Arial"/>
                <w:sz w:val="18"/>
                <w:szCs w:val="18"/>
                <w:color w:val="auto"/>
              </w:rPr>
              <w:t>283,613</w:t>
            </w:r>
          </w:p>
        </w:tc>
        <w:tc>
          <w:tcPr>
            <w:tcW w:w="9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6.625%</w:t>
            </w: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CCEEFF"/>
            </w:tcBorders>
          </w:tcPr>
          <w:p>
            <w:pPr>
              <w:jc w:val="right"/>
              <w:ind w:right="514"/>
              <w:spacing w:after="0"/>
              <w:rPr>
                <w:sz w:val="20"/>
                <w:szCs w:val="20"/>
                <w:color w:val="auto"/>
              </w:rPr>
            </w:pPr>
            <w:r>
              <w:rPr>
                <w:rFonts w:ascii="Arial" w:cs="Arial" w:eastAsia="Arial" w:hAnsi="Arial"/>
                <w:sz w:val="18"/>
                <w:szCs w:val="18"/>
                <w:color w:val="auto"/>
              </w:rPr>
              <w:t>342,476</w:t>
            </w:r>
          </w:p>
        </w:tc>
        <w:tc>
          <w:tcPr>
            <w:tcW w:w="9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380,254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201,065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242,796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920" w:type="dxa"/>
            <w:vAlign w:val="bottom"/>
            <w:gridSpan w:val="4"/>
          </w:tcPr>
          <w:p>
            <w:pPr>
              <w:ind w:left="180"/>
              <w:spacing w:after="0"/>
              <w:rPr>
                <w:sz w:val="20"/>
                <w:szCs w:val="20"/>
                <w:color w:val="auto"/>
              </w:rPr>
            </w:pPr>
            <w:r>
              <w:rPr>
                <w:rFonts w:ascii="Arial" w:cs="Arial" w:eastAsia="Arial" w:hAnsi="Arial"/>
                <w:sz w:val="18"/>
                <w:szCs w:val="18"/>
                <w:color w:val="auto"/>
              </w:rPr>
              <w:t>Pulaski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132,181</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10.90%</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15"/>
              <w:spacing w:after="0"/>
              <w:rPr>
                <w:sz w:val="20"/>
                <w:szCs w:val="20"/>
                <w:color w:val="auto"/>
              </w:rPr>
            </w:pPr>
            <w:r>
              <w:rPr>
                <w:rFonts w:ascii="Arial" w:cs="Arial" w:eastAsia="Arial" w:hAnsi="Arial"/>
                <w:sz w:val="18"/>
                <w:szCs w:val="18"/>
                <w:color w:val="auto"/>
              </w:rPr>
              <w:t>80,360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97,039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520" w:type="dxa"/>
            <w:vAlign w:val="bottom"/>
            <w:gridSpan w:val="7"/>
          </w:tcPr>
          <w:p>
            <w:pPr>
              <w:spacing w:after="0" w:line="176" w:lineRule="exact"/>
              <w:rPr>
                <w:sz w:val="20"/>
                <w:szCs w:val="20"/>
                <w:color w:val="auto"/>
              </w:rPr>
            </w:pPr>
            <w:r>
              <w:rPr>
                <w:rFonts w:ascii="Arial" w:cs="Arial" w:eastAsia="Arial" w:hAnsi="Arial"/>
                <w:sz w:val="18"/>
                <w:szCs w:val="18"/>
                <w:color w:val="auto"/>
                <w:w w:val="99"/>
              </w:rPr>
              <w:t>Common Equity Tier 1 Capital (to Risk Weighted Assets)</w:t>
            </w: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468,938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10.95%</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219,399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278,262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920" w:type="dxa"/>
            <w:vAlign w:val="bottom"/>
            <w:gridSpan w:val="4"/>
          </w:tcPr>
          <w:p>
            <w:pPr>
              <w:ind w:left="180"/>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380,254</w:t>
            </w:r>
          </w:p>
        </w:tc>
        <w:tc>
          <w:tcPr>
            <w:tcW w:w="3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15"/>
              <w:spacing w:after="0"/>
              <w:rPr>
                <w:sz w:val="20"/>
                <w:szCs w:val="20"/>
                <w:color w:val="auto"/>
              </w:rPr>
            </w:pPr>
            <w:r>
              <w:rPr>
                <w:rFonts w:ascii="Arial" w:cs="Arial" w:eastAsia="Arial" w:hAnsi="Arial"/>
                <w:sz w:val="18"/>
                <w:szCs w:val="18"/>
                <w:color w:val="auto"/>
              </w:rPr>
              <w:t>155,541</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5.125%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197,272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Pulaski Bank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132,181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10.90%</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62,166</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5.125%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78,844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92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Consolidated</w:t>
            </w:r>
          </w:p>
        </w:tc>
        <w:tc>
          <w:tcPr>
            <w:tcW w:w="480" w:type="dxa"/>
            <w:vAlign w:val="bottom"/>
            <w:tcBorders>
              <w:top w:val="single" w:sz="8" w:color="CCEEFF"/>
            </w:tcBorders>
            <w:gridSpan w:val="3"/>
          </w:tcPr>
          <w:p>
            <w:pPr>
              <w:spacing w:after="0"/>
              <w:rPr>
                <w:sz w:val="18"/>
                <w:szCs w:val="18"/>
                <w:color w:val="auto"/>
              </w:rPr>
            </w:pPr>
          </w:p>
        </w:tc>
        <w:tc>
          <w:tcPr>
            <w:tcW w:w="200" w:type="dxa"/>
            <w:vAlign w:val="bottom"/>
            <w:tcBorders>
              <w:top w:val="single" w:sz="8" w:color="CCEEFF"/>
            </w:tcBorders>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CCEEFF"/>
            </w:tcBorders>
          </w:tcPr>
          <w:p>
            <w:pPr>
              <w:jc w:val="right"/>
              <w:ind w:right="13"/>
              <w:spacing w:after="0"/>
              <w:rPr>
                <w:sz w:val="20"/>
                <w:szCs w:val="20"/>
                <w:color w:val="auto"/>
              </w:rPr>
            </w:pPr>
            <w:r>
              <w:rPr>
                <w:rFonts w:ascii="Arial" w:cs="Arial" w:eastAsia="Arial" w:hAnsi="Arial"/>
                <w:sz w:val="18"/>
                <w:szCs w:val="18"/>
                <w:color w:val="auto"/>
              </w:rPr>
              <w:t>538,764</w:t>
            </w:r>
          </w:p>
        </w:tc>
        <w:tc>
          <w:tcPr>
            <w:tcW w:w="3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11.00%</w:t>
            </w:r>
          </w:p>
        </w:tc>
        <w:tc>
          <w:tcPr>
            <w:tcW w:w="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CCEEFF"/>
            </w:tcBorders>
          </w:tcPr>
          <w:p>
            <w:pPr>
              <w:jc w:val="right"/>
              <w:ind w:right="515"/>
              <w:spacing w:after="0"/>
              <w:rPr>
                <w:sz w:val="20"/>
                <w:szCs w:val="20"/>
                <w:color w:val="auto"/>
              </w:rPr>
            </w:pPr>
            <w:r>
              <w:rPr>
                <w:rFonts w:ascii="Arial" w:cs="Arial" w:eastAsia="Arial" w:hAnsi="Arial"/>
                <w:sz w:val="18"/>
                <w:szCs w:val="18"/>
                <w:color w:val="auto"/>
              </w:rPr>
              <w:t>195,890</w:t>
            </w:r>
          </w:p>
        </w:tc>
        <w:tc>
          <w:tcPr>
            <w:tcW w:w="980" w:type="dxa"/>
            <w:vAlign w:val="bottom"/>
            <w:tcBorders>
              <w:top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jc w:val="right"/>
              <w:ind w:right="514"/>
              <w:spacing w:after="0"/>
              <w:rPr>
                <w:sz w:val="20"/>
                <w:szCs w:val="20"/>
                <w:color w:val="auto"/>
              </w:rPr>
            </w:pPr>
            <w:r>
              <w:rPr>
                <w:rFonts w:ascii="Arial" w:cs="Arial" w:eastAsia="Arial" w:hAnsi="Arial"/>
                <w:sz w:val="18"/>
                <w:szCs w:val="18"/>
                <w:color w:val="auto"/>
              </w:rPr>
              <w:t>N/A</w:t>
            </w:r>
          </w:p>
        </w:tc>
        <w:tc>
          <w:tcPr>
            <w:tcW w:w="9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92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Busey Bank</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380,254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9.91%</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153,515</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rPr>
              <w:t>191,894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920" w:type="dxa"/>
            <w:vAlign w:val="bottom"/>
            <w:gridSpan w:val="4"/>
          </w:tcPr>
          <w:p>
            <w:pPr>
              <w:ind w:left="180"/>
              <w:spacing w:after="0"/>
              <w:rPr>
                <w:sz w:val="20"/>
                <w:szCs w:val="20"/>
                <w:color w:val="auto"/>
              </w:rPr>
            </w:pPr>
            <w:r>
              <w:rPr>
                <w:rFonts w:ascii="Arial" w:cs="Arial" w:eastAsia="Arial" w:hAnsi="Arial"/>
                <w:sz w:val="18"/>
                <w:szCs w:val="18"/>
                <w:color w:val="auto"/>
              </w:rPr>
              <w:t>Pulaski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132,181</w:t>
            </w:r>
          </w:p>
        </w:tc>
        <w:tc>
          <w:tcPr>
            <w:tcW w:w="3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8.28%</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515"/>
              <w:spacing w:after="0"/>
              <w:rPr>
                <w:sz w:val="20"/>
                <w:szCs w:val="20"/>
                <w:color w:val="auto"/>
              </w:rPr>
            </w:pPr>
            <w:r>
              <w:rPr>
                <w:rFonts w:ascii="Arial" w:cs="Arial" w:eastAsia="Arial" w:hAnsi="Arial"/>
                <w:sz w:val="18"/>
                <w:szCs w:val="18"/>
                <w:color w:val="auto"/>
              </w:rPr>
              <w:t>63,892</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ind w:right="514"/>
              <w:spacing w:after="0"/>
              <w:rPr>
                <w:sz w:val="20"/>
                <w:szCs w:val="20"/>
                <w:color w:val="auto"/>
              </w:rPr>
            </w:pPr>
            <w:r>
              <w:rPr>
                <w:rFonts w:ascii="Arial" w:cs="Arial" w:eastAsia="Arial" w:hAnsi="Arial"/>
                <w:sz w:val="18"/>
                <w:szCs w:val="18"/>
                <w:color w:val="auto"/>
              </w:rPr>
              <w:t>79,864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Operating Segments and Related Information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Company has three reportable operating segments, Banking, Remittance Processing and Wealth Management. The Banking operating segment provides a full range of banking services to individual and corporate customers through its branch network in downstate Illinois, Missouri, southwest Florida and through its branch in Indianapolis, Indiana. Banking services for Busey Bank and Pulaski Bank are aggregated into the banking operating segment as they have similar operations and activities. The Remittance Processing operating segment provides for online bill payments, lockbox and walk-in payments. The Wealth Management operating segment provides a full range of asset management, investment and fiduciary services to individuals, businesses and foundations, tax preparation, philanthropic advisory services and farm and brokerage services.</w:t>
      </w:r>
    </w:p>
    <w:p>
      <w:pPr>
        <w:spacing w:after="0" w:line="178"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2015.</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Effective for the year ended December 31, 2015, the Company realigned its operating segments. Results for the operating segments were revised for prior periods to reflect the impact of this realignment.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operating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18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1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r>
      <w:tr>
        <w:trPr>
          <w:trHeight w:val="171"/>
        </w:trPr>
        <w:tc>
          <w:tcPr>
            <w:tcW w:w="50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Banking</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81,495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5,468,684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3,944,031</w:t>
            </w:r>
          </w:p>
        </w:tc>
        <w:tc>
          <w:tcPr>
            <w:tcW w:w="1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Remittance Processing</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8,992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31,140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30,231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Wealth Management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27,719</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27,651</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4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(17,344)</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(2,937)</w:t>
            </w:r>
          </w:p>
        </w:tc>
      </w:tr>
      <w:tr>
        <w:trPr>
          <w:trHeight w:val="210"/>
        </w:trPr>
        <w:tc>
          <w:tcPr>
            <w:tcW w:w="5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Totals</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3,998,976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22" w:name="page23"/>
    <w:bookmarkEnd w:id="2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 June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Borders>
              <w:top w:val="single" w:sz="8" w:color="auto"/>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880" w:type="dxa"/>
            <w:vAlign w:val="bottom"/>
            <w:gridSpan w:val="6"/>
            <w:shd w:val="clear" w:color="auto" w:fill="CCEEFF"/>
          </w:tcPr>
          <w:p>
            <w:pPr>
              <w:spacing w:after="0" w:line="156" w:lineRule="exact"/>
              <w:rPr>
                <w:sz w:val="20"/>
                <w:szCs w:val="20"/>
                <w:color w:val="auto"/>
              </w:rPr>
            </w:pPr>
            <w:r>
              <w:rPr>
                <w:rFonts w:ascii="Arial" w:cs="Arial" w:eastAsia="Arial" w:hAnsi="Arial"/>
                <w:sz w:val="18"/>
                <w:szCs w:val="18"/>
                <w:color w:val="auto"/>
              </w:rPr>
              <w:t>Net interest income:</w:t>
            </w:r>
          </w:p>
        </w:tc>
        <w:tc>
          <w:tcPr>
            <w:tcW w:w="1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gridSpan w:val="2"/>
          </w:tcPr>
          <w:p>
            <w:pPr>
              <w:ind w:left="180"/>
              <w:spacing w:after="0"/>
              <w:rPr>
                <w:sz w:val="20"/>
                <w:szCs w:val="20"/>
                <w:color w:val="auto"/>
              </w:rPr>
            </w:pPr>
            <w:r>
              <w:rPr>
                <w:rFonts w:ascii="Arial" w:cs="Arial" w:eastAsia="Arial" w:hAnsi="Arial"/>
                <w:sz w:val="18"/>
                <w:szCs w:val="18"/>
                <w:color w:val="auto"/>
              </w:rPr>
              <w:t>Banking</w:t>
            </w:r>
          </w:p>
        </w:tc>
        <w:tc>
          <w:tcPr>
            <w:tcW w:w="2440" w:type="dxa"/>
            <w:vAlign w:val="bottom"/>
            <w:tcBorders>
              <w:top w:val="single" w:sz="8" w:color="CCEEFF"/>
            </w:tcBorders>
            <w:gridSpan w:val="4"/>
          </w:tcPr>
          <w:p>
            <w:pPr>
              <w:spacing w:after="0"/>
              <w:rPr>
                <w:sz w:val="18"/>
                <w:szCs w:val="18"/>
                <w:color w:val="auto"/>
              </w:rPr>
            </w:pPr>
          </w:p>
        </w:tc>
        <w:tc>
          <w:tcPr>
            <w:tcW w:w="1940" w:type="dxa"/>
            <w:vAlign w:val="bottom"/>
            <w:tcBorders>
              <w:top w:val="single" w:sz="8" w:color="CCEEFF"/>
            </w:tcBorders>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90"/>
              </w:rPr>
              <w:t>38,349</w:t>
            </w:r>
          </w:p>
        </w:tc>
        <w:tc>
          <w:tcPr>
            <w:tcW w:w="860" w:type="dxa"/>
            <w:vAlign w:val="bottom"/>
            <w:tcBorders>
              <w:top w:val="single" w:sz="8" w:color="CCEEFF"/>
            </w:tcBorders>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90"/>
              </w:rPr>
              <w:t>27,570</w:t>
            </w:r>
          </w:p>
        </w:tc>
        <w:tc>
          <w:tcPr>
            <w:tcW w:w="42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66,561</w:t>
            </w: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54,450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(475)</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net interest income</w:t>
            </w:r>
          </w:p>
        </w:tc>
        <w:tc>
          <w:tcPr>
            <w:tcW w:w="11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37,952</w:t>
            </w:r>
          </w:p>
        </w:tc>
        <w:tc>
          <w:tcPr>
            <w:tcW w:w="3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27,351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65,894</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54,021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6"/>
          </w:tcPr>
          <w:p>
            <w:pPr>
              <w:spacing w:after="0" w:line="176" w:lineRule="exact"/>
              <w:rPr>
                <w:sz w:val="20"/>
                <w:szCs w:val="20"/>
                <w:color w:val="auto"/>
              </w:rPr>
            </w:pPr>
            <w:r>
              <w:rPr>
                <w:rFonts w:ascii="Arial" w:cs="Arial" w:eastAsia="Arial" w:hAnsi="Arial"/>
                <w:sz w:val="18"/>
                <w:szCs w:val="18"/>
                <w:color w:val="auto"/>
              </w:rPr>
              <w:t>Non-interest income:</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94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10,930</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7,950</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2,896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3,013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5,936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12,068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(1,056)</w:t>
            </w: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(1,301)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non-interest income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18,577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16,623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Non-interest expense:</w:t>
            </w: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Borders>
              <w:top w:val="single" w:sz="8" w:color="auto"/>
            </w:tcBorders>
            <w:gridSpan w:val="4"/>
          </w:tcPr>
          <w:p>
            <w:pPr>
              <w:ind w:left="180"/>
              <w:spacing w:after="0"/>
              <w:rPr>
                <w:sz w:val="20"/>
                <w:szCs w:val="20"/>
                <w:color w:val="auto"/>
              </w:rPr>
            </w:pPr>
            <w:r>
              <w:rPr>
                <w:rFonts w:ascii="Arial" w:cs="Arial" w:eastAsia="Arial" w:hAnsi="Arial"/>
                <w:sz w:val="18"/>
                <w:szCs w:val="18"/>
                <w:color w:val="auto"/>
              </w:rPr>
              <w:t>Banking</w:t>
            </w:r>
          </w:p>
        </w:tc>
        <w:tc>
          <w:tcPr>
            <w:tcW w:w="2320" w:type="dxa"/>
            <w:vAlign w:val="bottom"/>
            <w:tcBorders>
              <w:top w:val="single" w:sz="8" w:color="CCEEFF"/>
            </w:tcBorders>
            <w:gridSpan w:val="2"/>
          </w:tcPr>
          <w:p>
            <w:pPr>
              <w:spacing w:after="0"/>
              <w:rPr>
                <w:sz w:val="18"/>
                <w:szCs w:val="18"/>
                <w:color w:val="auto"/>
              </w:rPr>
            </w:pPr>
          </w:p>
        </w:tc>
        <w:tc>
          <w:tcPr>
            <w:tcW w:w="1940" w:type="dxa"/>
            <w:vAlign w:val="bottom"/>
            <w:tcBorders>
              <w:top w:val="single" w:sz="8" w:color="CCEEFF"/>
            </w:tcBorders>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90"/>
              </w:rPr>
              <w:t>28,963</w:t>
            </w:r>
          </w:p>
        </w:tc>
        <w:tc>
          <w:tcPr>
            <w:tcW w:w="860" w:type="dxa"/>
            <w:vAlign w:val="bottom"/>
            <w:tcBorders>
              <w:top w:val="single" w:sz="8" w:color="CCEEFF"/>
            </w:tcBorders>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w w:val="90"/>
              </w:rPr>
              <w:t>21,460</w:t>
            </w:r>
          </w:p>
        </w:tc>
        <w:tc>
          <w:tcPr>
            <w:tcW w:w="420" w:type="dxa"/>
            <w:vAlign w:val="bottom"/>
            <w:tcBorders>
              <w:top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48,939</w:t>
            </w:r>
          </w:p>
        </w:tc>
        <w:tc>
          <w:tcPr>
            <w:tcW w:w="32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44,867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3,704</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4,140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7,809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6"/>
          </w:tcPr>
          <w:p>
            <w:pPr>
              <w:ind w:left="360"/>
              <w:spacing w:after="0"/>
              <w:rPr>
                <w:sz w:val="20"/>
                <w:szCs w:val="20"/>
                <w:color w:val="auto"/>
              </w:rPr>
            </w:pPr>
            <w:r>
              <w:rPr>
                <w:rFonts w:ascii="Arial" w:cs="Arial" w:eastAsia="Arial" w:hAnsi="Arial"/>
                <w:sz w:val="18"/>
                <w:szCs w:val="18"/>
                <w:color w:val="auto"/>
              </w:rPr>
              <w:t>Total non-interest expense</w:t>
            </w:r>
          </w:p>
        </w:tc>
        <w:tc>
          <w:tcPr>
            <w:tcW w:w="1100" w:type="dxa"/>
            <w:vAlign w:val="bottom"/>
            <w:tcBorders>
              <w:bottom w:val="single" w:sz="8" w:color="CCEEFF"/>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36,348</w:t>
            </w:r>
          </w:p>
        </w:tc>
        <w:tc>
          <w:tcPr>
            <w:tcW w:w="30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28,445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64,036</w:t>
            </w:r>
          </w:p>
        </w:tc>
        <w:tc>
          <w:tcPr>
            <w:tcW w:w="2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58,992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6"/>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Banking</w:t>
            </w:r>
          </w:p>
        </w:tc>
        <w:tc>
          <w:tcPr>
            <w:tcW w:w="1940" w:type="dxa"/>
            <w:vAlign w:val="bottom"/>
            <w:gridSpan w:val="2"/>
            <w:shd w:val="clear" w:color="auto" w:fill="CCEEFF"/>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19,215</w:t>
            </w:r>
          </w:p>
        </w:tc>
        <w:tc>
          <w:tcPr>
            <w:tcW w:w="860" w:type="dxa"/>
            <w:vAlign w:val="bottom"/>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14,061</w:t>
            </w:r>
          </w:p>
        </w:tc>
        <w:tc>
          <w:tcPr>
            <w:tcW w:w="4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34,241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753</w:t>
            </w: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1,517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4,390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(3,055)</w:t>
            </w:r>
          </w:p>
        </w:tc>
        <w:tc>
          <w:tcPr>
            <w:tcW w:w="8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(4,967)</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(2,967)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19,081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ind w:right="6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15,529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35,181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9"/>
              </w:rPr>
              <w:t>Net income:</w:t>
            </w:r>
          </w:p>
        </w:tc>
        <w:tc>
          <w:tcPr>
            <w:tcW w:w="3000" w:type="dxa"/>
            <w:vAlign w:val="bottom"/>
            <w:tcBorders>
              <w:bottom w:val="single" w:sz="8" w:color="CCEEFF"/>
            </w:tcBorders>
            <w:gridSpan w:val="5"/>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Banking</w:t>
            </w:r>
          </w:p>
        </w:tc>
        <w:tc>
          <w:tcPr>
            <w:tcW w:w="194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12,423</w:t>
            </w:r>
          </w:p>
        </w:tc>
        <w:tc>
          <w:tcPr>
            <w:tcW w:w="860" w:type="dxa"/>
            <w:vAlign w:val="bottom"/>
          </w:tcPr>
          <w:p>
            <w:pPr>
              <w:jc w:val="right"/>
              <w:ind w:right="672"/>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9,140</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22,126</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Remittance Processing</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451</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tcPr>
          <w:p>
            <w:pPr>
              <w:ind w:left="180"/>
              <w:spacing w:after="0"/>
              <w:rPr>
                <w:sz w:val="20"/>
                <w:szCs w:val="20"/>
                <w:color w:val="auto"/>
              </w:rPr>
            </w:pPr>
            <w:r>
              <w:rPr>
                <w:rFonts w:ascii="Arial" w:cs="Arial" w:eastAsia="Arial" w:hAnsi="Arial"/>
                <w:sz w:val="18"/>
                <w:szCs w:val="18"/>
                <w:color w:val="auto"/>
              </w:rPr>
              <w:t>Wealth Management</w:t>
            </w: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1,296</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2,618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6"/>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(1,787)</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6"/>
          </w:tcPr>
          <w:p>
            <w:pPr>
              <w:ind w:left="360"/>
              <w:spacing w:after="0"/>
              <w:rPr>
                <w:sz w:val="20"/>
                <w:szCs w:val="20"/>
                <w:color w:val="auto"/>
              </w:rPr>
            </w:pPr>
            <w:r>
              <w:rPr>
                <w:rFonts w:ascii="Arial" w:cs="Arial" w:eastAsia="Arial" w:hAnsi="Arial"/>
                <w:sz w:val="18"/>
                <w:szCs w:val="18"/>
                <w:color w:val="auto"/>
              </w:rPr>
              <w:t>Total net income</w:t>
            </w:r>
          </w:p>
        </w:tc>
        <w:tc>
          <w:tcPr>
            <w:tcW w:w="1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12,383</w:t>
            </w:r>
          </w:p>
        </w:tc>
        <w:tc>
          <w:tcPr>
            <w:tcW w:w="30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67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22,817</w:t>
            </w:r>
          </w:p>
        </w:tc>
        <w:tc>
          <w:tcPr>
            <w:tcW w:w="2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Derivative Financial Instruments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The Company originates and purchases derivative financial instruments, including interest rate lock commitments issued to residential loan customers for loans that will be held for sale, forward sales commitments to sell residential mortgage loans to loan investors and interest rate swaps. See Note 15 - Fair Value Measurements for further discussion of the fair value measurement of such derivatives.</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i w:val="1"/>
          <w:iCs w:val="1"/>
          <w:color w:val="auto"/>
        </w:rPr>
        <w:t xml:space="preserve">Interest Rate Lock Commitments </w:t>
      </w:r>
      <w:r>
        <w:rPr>
          <w:rFonts w:ascii="Arial" w:cs="Arial" w:eastAsia="Arial" w:hAnsi="Arial"/>
          <w:sz w:val="16"/>
          <w:szCs w:val="16"/>
          <w:color w:val="auto"/>
        </w:rPr>
        <w:t>- At June 30, 2016, the Company had issued $396.0 million of unexpired interest rate lock commitments to loan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interest rate lock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5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i w:val="1"/>
          <w:iCs w:val="1"/>
          <w:color w:val="auto"/>
        </w:rPr>
        <w:t xml:space="preserve">Forward Sales Commitments </w:t>
      </w:r>
      <w:r>
        <w:rPr>
          <w:rFonts w:ascii="Arial" w:cs="Arial" w:eastAsia="Arial" w:hAnsi="Arial"/>
          <w:sz w:val="16"/>
          <w:szCs w:val="16"/>
          <w:color w:val="auto"/>
        </w:rPr>
        <w:t>- At June 30, 2016, the Company had issued $651.6 million of unexpired forward sales commitments to mortgage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investors. Typically, 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are carried at their fair values in other assets or other liabilities in the consolidated financial statements</w:t>
      </w:r>
      <w:r>
        <w:rPr>
          <w:rFonts w:ascii="Arial" w:cs="Arial" w:eastAsia="Arial" w:hAnsi="Arial"/>
          <w:sz w:val="16"/>
          <w:szCs w:val="16"/>
          <w:i w:val="1"/>
          <w:iCs w:val="1"/>
          <w:color w:val="auto"/>
        </w:rPr>
        <w:t>.</w:t>
      </w:r>
      <w:r>
        <w:rPr>
          <w:rFonts w:ascii="Arial" w:cs="Arial" w:eastAsia="Arial" w:hAnsi="Arial"/>
          <w:sz w:val="16"/>
          <w:szCs w:val="16"/>
          <w:color w:val="auto"/>
        </w:rPr>
        <w:t xml:space="preserve"> While such forward sales commitments generally served as an economic hedge to the mortgage loans held for sale and interest rate lock commitments,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The fair values of these derivative assets and liabilities recorded in the consolidated balance sheets at June 30, 2016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June 30, 2016</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recorded in other assets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680" w:type="dxa"/>
            <w:vAlign w:val="bottom"/>
          </w:tcPr>
          <w:p>
            <w:pPr>
              <w:spacing w:after="0"/>
              <w:rPr>
                <w:sz w:val="20"/>
                <w:szCs w:val="20"/>
                <w:color w:val="auto"/>
              </w:rPr>
            </w:pPr>
            <w:r>
              <w:rPr>
                <w:rFonts w:ascii="Arial" w:cs="Arial" w:eastAsia="Arial" w:hAnsi="Arial"/>
                <w:sz w:val="18"/>
                <w:szCs w:val="18"/>
                <w:color w:val="auto"/>
              </w:rPr>
              <w:t>Fair value recorded in other liabilities</w:t>
            </w:r>
          </w:p>
        </w:tc>
        <w:tc>
          <w:tcPr>
            <w:tcW w:w="1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9,770</w:t>
            </w:r>
          </w:p>
        </w:tc>
      </w:tr>
    </w:tbl>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 xml:space="preserve">The gross gains and losses on these derivative assets and liabilities recorded in non-interest income and expense in the Consolidated Statements of Income for the six months ended June 30, 2016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 At June 30, 2016, the impact of the net loss on derivative financial instruments was almost entirely offset by a corresponding increase in the fair value of loans held for sale.</w:t>
      </w:r>
    </w:p>
    <w:p>
      <w:pPr>
        <w:spacing w:after="0" w:line="173"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7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June 30, 2016</w:t>
            </w: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gains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80" w:type="dxa"/>
            <w:vAlign w:val="bottom"/>
          </w:tcPr>
          <w:p>
            <w:pPr>
              <w:spacing w:after="0"/>
              <w:rPr>
                <w:sz w:val="20"/>
                <w:szCs w:val="20"/>
                <w:color w:val="auto"/>
              </w:rPr>
            </w:pPr>
            <w:r>
              <w:rPr>
                <w:rFonts w:ascii="Arial" w:cs="Arial" w:eastAsia="Arial" w:hAnsi="Arial"/>
                <w:sz w:val="18"/>
                <w:szCs w:val="18"/>
                <w:color w:val="auto"/>
              </w:rPr>
              <w:t>Gross losses</w:t>
            </w:r>
          </w:p>
        </w:tc>
        <w:tc>
          <w:tcPr>
            <w:tcW w:w="16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(9,770)</w:t>
            </w:r>
          </w:p>
        </w:tc>
      </w:tr>
      <w:tr>
        <w:trPr>
          <w:trHeight w:val="210"/>
        </w:trPr>
        <w:tc>
          <w:tcPr>
            <w:tcW w:w="7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gain or loss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ectPr>
          <w:pgSz w:w="11900" w:h="16897" w:orient="portrait"/>
          <w:cols w:equalWidth="0" w:num="1">
            <w:col w:w="11460"/>
          </w:cols>
          <w:pgMar w:left="240" w:top="118" w:right="199" w:bottom="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5645785</wp:posOffset>
            </wp:positionH>
            <wp:positionV relativeFrom="page">
              <wp:posOffset>88900</wp:posOffset>
            </wp:positionV>
            <wp:extent cx="857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885" cy="8890"/>
                    </a:xfrm>
                    <a:prstGeom prst="rect">
                      <a:avLst/>
                    </a:prstGeom>
                    <a:noFill/>
                  </pic:spPr>
                </pic:pic>
              </a:graphicData>
            </a:graphic>
          </wp:anchor>
        </w:drawing>
        <w:t>Note 15: Fair Value Measurements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levels during the quarter ended June 30, 2016.</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Loans held for sale. </w:t>
      </w:r>
      <w:r>
        <w:rPr>
          <w:rFonts w:ascii="Arial" w:cs="Arial" w:eastAsia="Arial" w:hAnsi="Arial"/>
          <w:sz w:val="17"/>
          <w:szCs w:val="17"/>
          <w:color w:val="auto"/>
        </w:rPr>
        <w:t>Beginning on January 1, 2016, the Company elected to adopt the fair value option for all residential mortgage loans held for sale and to</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for such loans at their fair values with changes in fair value recognized in earnings, consistent with the provisions in ASC 820. The Company accounted for held for sale loans that were originated prior to January 1, 2016 under the lower of cost or fair value option, with any corresponding adjustments recorded as a valuation adjustment, if necessary. Such fair value adjustments are recorded as a component of gain on sale of loans in the accompanying unaudited Consolidated Interim Financial Statements. The fair value of the mortgage loans held for sale are measured using observable quoted market or contract prices or market price equivalents and are classified as level 2 in the ASC 820 fair value hierarchy.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assets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ectPr>
          <w:pgSz w:w="11900" w:h="16838" w:orient="portrait"/>
          <w:cols w:equalWidth="0" w:num="1">
            <w:col w:w="11420"/>
          </w:cols>
          <w:pgMar w:left="240" w:top="351" w:right="239" w:bottom="0" w:gutter="0" w:footer="0" w:header="0"/>
        </w:sectPr>
      </w:pPr>
    </w:p>
    <w:bookmarkStart w:id="24" w:name="page25"/>
    <w:bookmarkEnd w:id="24"/>
    <w:p>
      <w:pPr>
        <w:spacing w:after="0" w:line="62"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 xml:space="preserve">The following table summarizes financial assets and financial liabilities measured at fair value on a recurring basis as of June 30, 2016 and December 31, 2015, segregated by the level of the valuation inputs within the fair value hierarchy utilized to measure fair value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0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22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5"/>
              </w:rPr>
              <w:t>June 30, 2016</w:t>
            </w:r>
          </w:p>
        </w:tc>
        <w:tc>
          <w:tcPr>
            <w:tcW w:w="358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auto"/>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shd w:val="clear" w:color="auto" w:fill="CCEEFF"/>
          </w:tcPr>
          <w:p>
            <w:pPr>
              <w:jc w:val="right"/>
              <w:ind w:right="76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65,510</w:t>
            </w: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141,177</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168,175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271,495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151,773</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3,219</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Loans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40"/>
              <w:spacing w:after="0"/>
              <w:rPr>
                <w:sz w:val="20"/>
                <w:szCs w:val="20"/>
                <w:color w:val="auto"/>
              </w:rPr>
            </w:pPr>
            <w:r>
              <w:rPr>
                <w:rFonts w:ascii="Arial" w:cs="Arial" w:eastAsia="Arial" w:hAnsi="Arial"/>
                <w:sz w:val="18"/>
                <w:szCs w:val="18"/>
                <w:color w:val="auto"/>
              </w:rPr>
              <w:t>278,125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278,125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5,287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9,770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Level 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Level 2</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left="368"/>
              <w:spacing w:after="0"/>
              <w:rPr>
                <w:sz w:val="20"/>
                <w:szCs w:val="20"/>
                <w:color w:val="auto"/>
              </w:rPr>
            </w:pPr>
            <w:r>
              <w:rPr>
                <w:rFonts w:ascii="Arial" w:cs="Arial" w:eastAsia="Arial" w:hAnsi="Arial"/>
                <w:sz w:val="14"/>
                <w:szCs w:val="14"/>
                <w:b w:val="1"/>
                <w:bCs w:val="1"/>
                <w:color w:val="auto"/>
                <w:w w:val="95"/>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Inputs</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3"/>
          </w:tcPr>
          <w:p>
            <w:pPr>
              <w:ind w:left="180"/>
              <w:spacing w:after="0"/>
              <w:rPr>
                <w:sz w:val="20"/>
                <w:szCs w:val="20"/>
                <w:color w:val="auto"/>
              </w:rPr>
            </w:pPr>
            <w:r>
              <w:rPr>
                <w:rFonts w:ascii="Arial" w:cs="Arial" w:eastAsia="Arial" w:hAnsi="Arial"/>
                <w:sz w:val="14"/>
                <w:szCs w:val="14"/>
                <w:b w:val="1"/>
                <w:bCs w:val="1"/>
                <w:color w:val="auto"/>
              </w:rPr>
              <w:t>Inputs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8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color w:val="auto"/>
              </w:rPr>
              <w:t>December 31, 2015</w:t>
            </w:r>
          </w:p>
        </w:tc>
        <w:tc>
          <w:tcPr>
            <w:tcW w:w="4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32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65,191</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132,605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132,605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178,612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307,549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148,805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2,076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liabilities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4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following table summarizes assets and liabilities measured at fair value on a non-recurring basis as of June 30, 2016 and December 31, 2015,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June 30, 2016</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tcPr>
          <w:p>
            <w:pPr>
              <w:ind w:left="160"/>
              <w:spacing w:after="0"/>
              <w:rPr>
                <w:sz w:val="20"/>
                <w:szCs w:val="20"/>
                <w:color w:val="auto"/>
              </w:rPr>
            </w:pPr>
            <w:r>
              <w:rPr>
                <w:rFonts w:ascii="Arial" w:cs="Arial" w:eastAsia="Arial" w:hAnsi="Arial"/>
                <w:sz w:val="18"/>
                <w:szCs w:val="18"/>
                <w:color w:val="auto"/>
              </w:rPr>
              <w:t>Impaired loans</w:t>
            </w:r>
          </w:p>
        </w:tc>
        <w:tc>
          <w:tcPr>
            <w:tcW w:w="458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1,824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OREO</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87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w w:val="88"/>
              </w:rPr>
              <w:t>—</w:t>
            </w:r>
          </w:p>
        </w:tc>
        <w:tc>
          <w:tcPr>
            <w:tcW w:w="1200" w:type="dxa"/>
            <w:vAlign w:val="bottom"/>
            <w:tcBorders>
              <w:top w:val="single" w:sz="8" w:color="CCEEFF"/>
            </w:tcBorders>
            <w:gridSpan w:val="2"/>
          </w:tcPr>
          <w:p>
            <w:pPr>
              <w:jc w:val="right"/>
              <w:ind w:right="748"/>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w w:val="93"/>
              </w:rPr>
              <w:t>6,138</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Fair Value</w:t>
            </w:r>
          </w:p>
        </w:tc>
        <w:tc>
          <w:tcPr>
            <w:tcW w:w="23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Valuation</w:t>
            </w:r>
          </w:p>
        </w:tc>
        <w:tc>
          <w:tcPr>
            <w:tcW w:w="23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Estimate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Techniques</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r>
      <w:tr>
        <w:trPr>
          <w:trHeight w:val="176"/>
        </w:trPr>
        <w:tc>
          <w:tcPr>
            <w:tcW w:w="20" w:type="dxa"/>
            <w:vAlign w:val="bottom"/>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7"/>
              </w:rPr>
              <w:t>June 30, 2016</w:t>
            </w:r>
          </w:p>
        </w:tc>
        <w:tc>
          <w:tcPr>
            <w:tcW w:w="22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40" w:type="dxa"/>
            <w:vAlign w:val="bottom"/>
            <w:tcBorders>
              <w:top w:val="single" w:sz="8" w:color="auto"/>
              <w:bottom w:val="single" w:sz="8" w:color="CCEEFF"/>
            </w:tcBorders>
            <w:shd w:val="clear" w:color="auto" w:fill="CCEEFF"/>
          </w:tcPr>
          <w:p>
            <w:pPr>
              <w:spacing w:after="0"/>
              <w:rPr>
                <w:sz w:val="15"/>
                <w:szCs w:val="15"/>
                <w:color w:val="auto"/>
              </w:rPr>
            </w:pPr>
          </w:p>
        </w:tc>
        <w:tc>
          <w:tcPr>
            <w:tcW w:w="300" w:type="dxa"/>
            <w:vAlign w:val="bottom"/>
            <w:tcBorders>
              <w:top w:val="single" w:sz="8" w:color="CCEEFF"/>
              <w:bottom w:val="single" w:sz="8" w:color="CCEEFF"/>
            </w:tcBorders>
            <w:shd w:val="clear" w:color="auto" w:fill="CCEEFF"/>
          </w:tcPr>
          <w:p>
            <w:pPr>
              <w:spacing w:after="0"/>
              <w:rPr>
                <w:sz w:val="15"/>
                <w:szCs w:val="15"/>
                <w:color w:val="auto"/>
              </w:rPr>
            </w:pPr>
          </w:p>
        </w:tc>
        <w:tc>
          <w:tcPr>
            <w:tcW w:w="17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2"/>
        </w:trPr>
        <w:tc>
          <w:tcPr>
            <w:tcW w:w="20" w:type="dxa"/>
            <w:vAlign w:val="bottom"/>
          </w:tcPr>
          <w:p>
            <w:pPr>
              <w:spacing w:after="0"/>
              <w:rPr>
                <w:sz w:val="17"/>
                <w:szCs w:val="17"/>
                <w:color w:val="auto"/>
              </w:rPr>
            </w:pPr>
          </w:p>
        </w:tc>
        <w:tc>
          <w:tcPr>
            <w:tcW w:w="3260" w:type="dxa"/>
            <w:vAlign w:val="bottom"/>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1,824</w:t>
            </w:r>
          </w:p>
        </w:tc>
        <w:tc>
          <w:tcPr>
            <w:tcW w:w="23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2"/>
              </w:rPr>
              <w:t>Appraisal of collateral</w:t>
            </w:r>
          </w:p>
        </w:tc>
        <w:tc>
          <w:tcPr>
            <w:tcW w:w="23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0"/>
              </w:rPr>
              <w:t>Appraisal adjustments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-2.5% to -100.0%</w:t>
            </w: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(-38.9)%</w:t>
            </w:r>
          </w:p>
        </w:tc>
        <w:tc>
          <w:tcPr>
            <w:tcW w:w="100" w:type="dxa"/>
            <w:vAlign w:val="bottom"/>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9"/>
                <w:szCs w:val="19"/>
                <w:color w:val="auto"/>
              </w:rPr>
            </w:pPr>
          </w:p>
        </w:tc>
        <w:tc>
          <w:tcPr>
            <w:tcW w:w="23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2"/>
              </w:rPr>
              <w:t>Appraisal of collateral</w:t>
            </w:r>
          </w:p>
        </w:tc>
        <w:tc>
          <w:tcPr>
            <w:tcW w:w="234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0"/>
              </w:rPr>
              <w:t>Appraisal adjustments</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-9.5% to -100.0%</w:t>
            </w:r>
          </w:p>
        </w:tc>
      </w:tr>
    </w:tbl>
    <w:p>
      <w:pPr>
        <w:sectPr>
          <w:pgSz w:w="11900" w:h="16900" w:orient="portrait"/>
          <w:cols w:equalWidth="0" w:num="1">
            <w:col w:w="11420"/>
          </w:cols>
          <w:pgMar w:left="240" w:top="125"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(-97.3)%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b w:val="1"/>
                <w:bCs w:val="1"/>
                <w:color w:val="auto"/>
                <w:w w:val="87"/>
              </w:rPr>
              <w:t>December 31, 2015</w:t>
            </w:r>
          </w:p>
        </w:tc>
        <w:tc>
          <w:tcPr>
            <w:tcW w:w="2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Impaired loans</w:t>
            </w:r>
          </w:p>
        </w:tc>
        <w:tc>
          <w:tcPr>
            <w:tcW w:w="2340" w:type="dxa"/>
            <w:vAlign w:val="bottom"/>
            <w:shd w:val="clear" w:color="auto" w:fill="CCEEFF"/>
          </w:tcPr>
          <w:p>
            <w:pPr>
              <w:jc w:val="right"/>
              <w:ind w:right="350"/>
              <w:spacing w:after="0" w:line="201"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0"/>
              <w:spacing w:after="0" w:line="201" w:lineRule="exact"/>
              <w:rPr>
                <w:sz w:val="20"/>
                <w:szCs w:val="20"/>
                <w:color w:val="auto"/>
              </w:rPr>
            </w:pPr>
            <w:r>
              <w:rPr>
                <w:rFonts w:ascii="Arial" w:cs="Arial" w:eastAsia="Arial" w:hAnsi="Arial"/>
                <w:sz w:val="18"/>
                <w:szCs w:val="18"/>
                <w:color w:val="auto"/>
              </w:rPr>
              <w:t>6,138</w:t>
            </w:r>
          </w:p>
        </w:tc>
        <w:tc>
          <w:tcPr>
            <w:tcW w:w="224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rPr>
              <w:t>Appraisal of collateral</w:t>
            </w:r>
          </w:p>
        </w:tc>
        <w:tc>
          <w:tcPr>
            <w:tcW w:w="23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Appraisal adjustments</w:t>
            </w:r>
          </w:p>
        </w:tc>
        <w:tc>
          <w:tcPr>
            <w:tcW w:w="19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-4.3%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OREO(1)</w:t>
            </w:r>
          </w:p>
        </w:tc>
        <w:tc>
          <w:tcPr>
            <w:tcW w:w="2340" w:type="dxa"/>
            <w:vAlign w:val="bottom"/>
          </w:tcPr>
          <w:p>
            <w:pPr>
              <w:spacing w:after="0"/>
              <w:rPr>
                <w:sz w:val="17"/>
                <w:szCs w:val="17"/>
                <w:color w:val="auto"/>
              </w:rPr>
            </w:pPr>
          </w:p>
        </w:tc>
        <w:tc>
          <w:tcPr>
            <w:tcW w:w="110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w:t>
            </w:r>
          </w:p>
        </w:tc>
        <w:tc>
          <w:tcPr>
            <w:tcW w:w="2240" w:type="dxa"/>
            <w:vAlign w:val="bottom"/>
          </w:tcPr>
          <w:p>
            <w:pPr>
              <w:ind w:left="260"/>
              <w:spacing w:after="0" w:line="201" w:lineRule="exact"/>
              <w:rPr>
                <w:sz w:val="20"/>
                <w:szCs w:val="20"/>
                <w:color w:val="auto"/>
              </w:rPr>
            </w:pPr>
            <w:r>
              <w:rPr>
                <w:rFonts w:ascii="Arial" w:cs="Arial" w:eastAsia="Arial" w:hAnsi="Arial"/>
                <w:sz w:val="18"/>
                <w:szCs w:val="18"/>
                <w:color w:val="auto"/>
              </w:rPr>
              <w:t>Appraisal of collateral</w:t>
            </w:r>
          </w:p>
        </w:tc>
        <w:tc>
          <w:tcPr>
            <w:tcW w:w="2320" w:type="dxa"/>
            <w:vAlign w:val="bottom"/>
          </w:tcPr>
          <w:p>
            <w:pPr>
              <w:ind w:left="360"/>
              <w:spacing w:after="0" w:line="201" w:lineRule="exact"/>
              <w:rPr>
                <w:sz w:val="20"/>
                <w:szCs w:val="20"/>
                <w:color w:val="auto"/>
              </w:rPr>
            </w:pPr>
            <w:r>
              <w:rPr>
                <w:rFonts w:ascii="Arial" w:cs="Arial" w:eastAsia="Arial" w:hAnsi="Arial"/>
                <w:sz w:val="18"/>
                <w:szCs w:val="18"/>
                <w:color w:val="auto"/>
              </w:rPr>
              <w:t>Appraisal adjustments</w:t>
            </w:r>
          </w:p>
        </w:tc>
        <w:tc>
          <w:tcPr>
            <w:tcW w:w="1960" w:type="dxa"/>
            <w:vAlign w:val="bottom"/>
          </w:tcPr>
          <w:p>
            <w:pPr>
              <w:jc w:val="center"/>
              <w:spacing w:after="0" w:line="201" w:lineRule="exact"/>
              <w:rPr>
                <w:sz w:val="20"/>
                <w:szCs w:val="20"/>
                <w:color w:val="auto"/>
              </w:rPr>
            </w:pPr>
            <w:r>
              <w:rPr>
                <w:rFonts w:ascii="Arial" w:cs="Arial" w:eastAsia="Arial" w:hAnsi="Arial"/>
                <w:sz w:val="18"/>
                <w:szCs w:val="18"/>
                <w:color w:val="auto"/>
                <w:w w:val="89"/>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(1)OREO fair value was less than one thousand dollars.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 xml:space="preserve">The 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June 30, 2016</w:t>
            </w:r>
          </w:p>
        </w:tc>
        <w:tc>
          <w:tcPr>
            <w:tcW w:w="9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2015</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2"/>
          </w:tcPr>
          <w:p>
            <w:pPr>
              <w:jc w:val="right"/>
              <w:ind w:right="700"/>
              <w:spacing w:after="0" w:line="119" w:lineRule="exact"/>
              <w:rPr>
                <w:sz w:val="20"/>
                <w:szCs w:val="20"/>
                <w:color w:val="auto"/>
              </w:rPr>
            </w:pPr>
            <w:r>
              <w:rPr>
                <w:rFonts w:ascii="Arial" w:cs="Arial" w:eastAsia="Arial" w:hAnsi="Arial"/>
                <w:sz w:val="13"/>
                <w:szCs w:val="13"/>
                <w:b w:val="1"/>
                <w:bCs w:val="1"/>
                <w:color w:val="auto"/>
              </w:rPr>
              <w:t>Carrying</w:t>
            </w:r>
          </w:p>
        </w:tc>
        <w:tc>
          <w:tcPr>
            <w:tcW w:w="400" w:type="dxa"/>
            <w:vAlign w:val="bottom"/>
          </w:tcPr>
          <w:p>
            <w:pPr>
              <w:spacing w:after="0"/>
              <w:rPr>
                <w:sz w:val="10"/>
                <w:szCs w:val="10"/>
                <w:color w:val="auto"/>
              </w:rPr>
            </w:pPr>
          </w:p>
        </w:tc>
        <w:tc>
          <w:tcPr>
            <w:tcW w:w="980" w:type="dxa"/>
            <w:vAlign w:val="bottom"/>
          </w:tcPr>
          <w:p>
            <w:pPr>
              <w:jc w:val="right"/>
              <w:ind w:right="473"/>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Carrying</w:t>
            </w:r>
          </w:p>
        </w:tc>
        <w:tc>
          <w:tcPr>
            <w:tcW w:w="48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4"/>
                <w:szCs w:val="14"/>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w:t>
            </w:r>
          </w:p>
        </w:tc>
        <w:tc>
          <w:tcPr>
            <w:tcW w:w="4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264,841</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Federal funds sold</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51,031</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52,371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49,832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9,351</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14,488</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14,488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12,122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3,735,608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3,772,251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2,580,252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2,583,458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3,475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4,384,509</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4,384,997</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3,289,106</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173,726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173,726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172,972</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166,200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166,200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80,000</w:t>
            </w:r>
          </w:p>
        </w:tc>
        <w:tc>
          <w:tcPr>
            <w:tcW w:w="4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80,000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70,801</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70,801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55,000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1,016</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438</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(2)Effective January 1, 2016, measured at fair value on a recurring basis.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2015 or is described below.</w:t>
      </w:r>
    </w:p>
    <w:p>
      <w:pPr>
        <w:spacing w:after="0" w:line="187" w:lineRule="exact"/>
        <w:rPr>
          <w:sz w:val="20"/>
          <w:szCs w:val="20"/>
          <w:color w:val="auto"/>
        </w:rPr>
      </w:pPr>
    </w:p>
    <w:p>
      <w:pPr>
        <w:ind w:right="200"/>
        <w:spacing w:after="0" w:line="287" w:lineRule="auto"/>
        <w:rPr>
          <w:sz w:val="20"/>
          <w:szCs w:val="20"/>
          <w:color w:val="auto"/>
        </w:rPr>
      </w:pPr>
      <w:r>
        <w:rPr>
          <w:rFonts w:ascii="Arial" w:cs="Arial" w:eastAsia="Arial" w:hAnsi="Arial"/>
          <w:sz w:val="17"/>
          <w:szCs w:val="17"/>
          <w:color w:val="auto"/>
        </w:rPr>
        <w:t xml:space="preserve">The fair value of loans, net reflects general changes in the interest rate curve used to calculate fair values based on cash flows. </w:t>
      </w:r>
      <w:r>
        <w:rPr>
          <w:rFonts w:ascii="Arial" w:cs="Arial" w:eastAsia="Arial" w:hAnsi="Arial"/>
          <w:sz w:val="16"/>
          <w:szCs w:val="16"/>
          <w:color w:val="auto"/>
        </w:rPr>
        <w:t>The carrying amount</w:t>
      </w:r>
      <w:r>
        <w:rPr>
          <w:rFonts w:ascii="Arial" w:cs="Arial" w:eastAsia="Arial" w:hAnsi="Arial"/>
          <w:sz w:val="17"/>
          <w:szCs w:val="17"/>
          <w:color w:val="auto"/>
        </w:rPr>
        <w:t xml:space="preserve"> </w:t>
      </w:r>
      <w:r>
        <w:rPr>
          <w:rFonts w:ascii="Arial" w:cs="Arial" w:eastAsia="Arial" w:hAnsi="Arial"/>
          <w:sz w:val="16"/>
          <w:szCs w:val="16"/>
          <w:color w:val="auto"/>
        </w:rPr>
        <w:t>approximates fair value for federal funds sold and is classified as level 1 in the ASC 820 fair value hierarchy. The fair value of mortgage servicing rights is estimated by discounting the future cash flows and classified as level 3 in the ASC 820 fair value hierarchy. The estimated fair value of short-term borrowings, which includes advances from the FHLB, is determined by discounting the future cash flows of existing advances using rates currently available on advances from the FHLB having similar characteristics and is classified as level 2 in the ASC 820 fair value hierarchy.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Liability for Loans Sold</w:t>
      </w:r>
    </w:p>
    <w:p>
      <w:pPr>
        <w:spacing w:after="0" w:line="229"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The Company records an estimated liability for probable amounts due to the Company’s loan investors under contractual obligations related to residential mortgage loans originated for sale that were previously sold and became delinquent or defaulted, or were determined to contain certain documentation or other underwriting deficiencies. Under standard representations and warranties and early payment default clauses in the Company’s mortgage sale agreements, the Company could be required to repurchase mortgage loans sold to investors or reimburse the investors for losses incurred on loans (collectively “repurchase”) in the event of borrower default within a defined period after origination (generally 90 days), or in the event of breaches of contractual representations or warranties made at the time of sale that are not remedied within a defined period after the Company receives notice of such breaches (generally 90 days). In addition, the Company may be required to refund the profit received from the sale of a loan to an investor if the borrower pays off the loan within a defined period after origination, which is generally 120 days.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 establishes a mortgage repurchase liability related to these events that reflects management’s estimate of losses on loans for which the Company could have a repurchase obligation based on a combination of factors. Such factors incorporate the volume of loans sold in current and previous periods, borrower default expectations, historical investor repurchase demand and appeals success rates (where the investor rescinds the demand based on a cure of the defect or acknowledges that the loan satisfies the investor’s applicable representations and warranties), and estimated loss severity. Payments made to investors as reimbursement for losses incurred are charged against the mortgage repurchase liability. Loans repurchased from investors are initially recorded at fair value, which becomes the Company’s new accounting basis. Any difference between the loan’s fair value and the outstanding principal</w:t>
      </w:r>
    </w:p>
    <w:p>
      <w:pPr>
        <w:sectPr>
          <w:pgSz w:w="11900" w:h="16838" w:orient="portrait"/>
          <w:cols w:equalWidth="0" w:num="1">
            <w:col w:w="11420"/>
          </w:cols>
          <w:pgMar w:left="240" w:top="140" w:right="239" w:bottom="0" w:gutter="0" w:footer="0" w:header="0"/>
        </w:sectPr>
      </w:pPr>
    </w:p>
    <w:bookmarkStart w:id="26" w:name="page27"/>
    <w:bookmarkEnd w:id="26"/>
    <w:p>
      <w:pPr>
        <w:jc w:val="both"/>
        <w:ind w:right="820"/>
        <w:spacing w:after="0" w:line="342" w:lineRule="auto"/>
        <w:rPr>
          <w:sz w:val="20"/>
          <w:szCs w:val="20"/>
          <w:color w:val="auto"/>
        </w:rPr>
      </w:pPr>
      <w:r>
        <w:rPr>
          <w:rFonts w:ascii="Arial" w:cs="Arial" w:eastAsia="Arial" w:hAnsi="Arial"/>
          <w:sz w:val="16"/>
          <w:szCs w:val="16"/>
          <w:color w:val="auto"/>
        </w:rPr>
        <w:t>amount is charged or credited to the mortgage repurchase liability, as appropriate. Subsequent to repurchase, such loans are carried in loans on the Company’s balance sheet. Loans repurchased with deteriorated credit quality at the date of repurchase are accounted for under ASC Topic 310-30.</w:t>
      </w:r>
    </w:p>
    <w:p>
      <w:pPr>
        <w:spacing w:after="0" w:line="12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liability for loans sold of $2.0 million at June 30, 2016 represents the Company’s best estimate of the probable losses that the Company will incur for various early default provisions and contractual representations and warranties associated with the sales of mortgage loans. Because the level of mortgage loan repurchase losses depends upon economic factors, investor demand strategies and other external conditions that may change over the life of the underlying loans, the level of the liability for mortgage loan repurchase losses is difficult to estimate and requires considerable management judgment. In addition, the Company does not service the loans that it sells to investors and is generally unable to track the remaining unpaid balances or delinquency status after sale. As a result, there may be a range of possible losses in excess of the estimated liability that cannot be estimated. Management maintains regular contact with the Company’s investors to monitor and address their repurchase demand practices and concerns.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(referred to herein as “First Busey,” “Company,” “we,” or “our”) at June 30, 2016 (unaudited), as compared with March 31, 2016 (unaudited), December 31, 2015 and June 30, 2015 (unaudited), and the results of operations for the three and six months ended June 30, 2016 (unaudited) and 2015 (unaudited), and the three months ended March 31, 2016 (unaudited) when applicable. Management’s discussion and analysis should be read in conjunction with the Company’s consolidated financial statements and notes thereto appearing elsewhere in this Quarterly Report, as well as the Company’s Annual Report on Form 10-K for the year ended December 31,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Acquisition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30, 2016, the Company completed its acquisition of Pulaski, a Missouri corporation headquartered in St. Louis. Financial results for the second quarter of 2016 were significantly impacted by the Pulaski acquisition, resetting the baseline for financial performance in future quarters in many positive ways. At the date of the acquisition, the fair value of Pulaski’s total assets was $1.6 billion, including $1.4 billion in loans and $1.2 billion in deposits. Net income before taxes was positively impacted by $1.3 million due to Pulaski purchase accounting amortization for the second quarter of 2016, net of amortization expense of intangibles. During the second quarter of 2016, First Busey incurred $2.0 million of pre-tax acquisition expenses related to the acquisition of Pulaski, comprised primarily of data processing, legal and consulting costs. During the six months ended June 30, 2016, expenses related to the acquisition of Pulaski totaled $2.3 million pre-tax.</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 xml:space="preserve">First Busey’s </w:t>
      </w:r>
      <w:r>
        <w:rPr>
          <w:rFonts w:ascii="Arial" w:cs="Arial" w:eastAsia="Arial" w:hAnsi="Arial"/>
          <w:sz w:val="17"/>
          <w:szCs w:val="17"/>
          <w:color w:val="auto"/>
        </w:rPr>
        <w:t>net income and net income available to common stockholders for the second quarter of 2016 was $12.4 million, or $0.35 per fully diluted common</w:t>
      </w:r>
      <w:r>
        <w:rPr>
          <w:rFonts w:ascii="Arial" w:cs="Arial" w:eastAsia="Arial" w:hAnsi="Arial"/>
          <w:sz w:val="18"/>
          <w:szCs w:val="18"/>
          <w:color w:val="auto"/>
        </w:rPr>
        <w:t xml:space="preserve"> </w:t>
      </w:r>
      <w:r>
        <w:rPr>
          <w:rFonts w:ascii="Arial" w:cs="Arial" w:eastAsia="Arial" w:hAnsi="Arial"/>
          <w:sz w:val="17"/>
          <w:szCs w:val="17"/>
          <w:color w:val="auto"/>
        </w:rPr>
        <w:t>share, which was inclusive of the acquisition and operations of Pulaski, and its banking subsidiary Pulaski Bank, since the transaction closed on April 30, 2016. The Company reported net income and net income available to common stockholders of $10.4 million, or $0.36 per fully-diluted common share, for the first quarter of 2016 and net income of $9.9 million and net income available to common stockholders of $9.8 million, or $0.33 per fully-diluted common share for the second quarter of 2015. The Company’s year-to-date net income and net income available to common stockholders through June 30, 2016 was $22.8 million, or $0.71 per fully-diluted common share, compared to net income of $17.7 million and net income available to common stockholders of $17.3 million, or $0.59 per fully-diluted common share, for the comparable period of 2015. Year-to-date net income available for common stockholders through June 30, 2016 increased 31.6% over the comparable period of 2015.</w:t>
      </w:r>
    </w:p>
    <w:p>
      <w:pPr>
        <w:spacing w:after="0" w:line="18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Revenues from trust fees, commissions and brokers’ fees, and remittance processing activities represented 46.1% of the Company’s non-interest income for the quarter ended June 30, 2016, providing a balance to revenue from traditional banking activities. As Pulaski had no legacy fee income in these businesses, the addition of these service offerings in its markets should provide attractive growth opportunities.</w:t>
      </w:r>
    </w:p>
    <w:p>
      <w:pPr>
        <w:spacing w:after="0" w:line="181"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Trust fees and commissions and brokers’ fees decreased seasonally to $5.7 million for the second quarter of 2016 compared to $6.2 million for the first quarter of 2016, but were also down from $6.0 million for the second quarter of 2015 due in part to market influences. Trust fees and commission and brokers’ fees decreased to $11.9 million for the six months ended June 30, 2016 compared to $12.4 million for the six months ended June 30, 2015. Net income from the wealth management segment was stable at $1.3 million for both the second and first quarters of 2016 compared to $1.1 million for the second quarter of 2015. Net income was $2.6 million for the six months ended June 30, 2016 compared to $2.7 million for the six months ended June 30, 2015.</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Remittance processing revenue decreased slightly to $2.8 million for the second quarter of 2016, compared to $2.9 million for the first quarter of 2016, and $3.0 million for the second quarter of 2015. Remittance processing revenue increased to $5.8 million, up 5.1%, for the six months ended June 30, 2016 compared to $5.5 million for the six months ended June 30, 2015. Net income from the remittance processing segment was $0.5 million for the second quarter of 2016, unchanged from the first quarter of 2016 and the second quarter of 2015. Net income was $0.9 million for the six months ended June 30, 2016, which represented an increase of 6.8% from the six months ended June 30, 2015.</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priorities continue to focus on balance sheet strength, profitability and growth, in that order. Our balance sheet is grounded in a strong capital position, an attractive core funding base and a sound credit foundation, while our commitment to our Pillars — customers, associates, communities and stockholders — lights the path to profitable growth.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ectPr>
          <w:pgSz w:w="11900" w:h="16838" w:orient="portrait"/>
          <w:cols w:equalWidth="0" w:num="1">
            <w:col w:w="11420"/>
          </w:cols>
          <w:pgMar w:left="240" w:top="125" w:right="239" w:bottom="32" w:gutter="0" w:footer="0" w:header="0"/>
        </w:sectPr>
      </w:pPr>
    </w:p>
    <w:bookmarkStart w:id="27" w:name="page28"/>
    <w:bookmarkEnd w:id="27"/>
    <w:p>
      <w:pPr>
        <w:ind w:right="120"/>
        <w:spacing w:after="0" w:line="286" w:lineRule="auto"/>
        <w:rPr>
          <w:sz w:val="20"/>
          <w:szCs w:val="20"/>
          <w:color w:val="auto"/>
        </w:rPr>
      </w:pPr>
      <w:r>
        <w:rPr>
          <w:rFonts w:ascii="Arial" w:cs="Arial" w:eastAsia="Arial" w:hAnsi="Arial"/>
          <w:sz w:val="17"/>
          <w:szCs w:val="17"/>
          <w:color w:val="auto"/>
        </w:rPr>
        <w:t>While much internal focus has been directed toward growth, the Company’s commitment to credit quality remains strong. The June 30, 2016 asset metrics reflect the post combination results of acquiring Pulaski. As of June 30, 2016, the Company reported non-performing loans of $22.8 million, of which $10.9 million were Pulaski Bank loans, compared to $17.8 million as of March 31, 2016 and $8.4 million as of June 30, 2015.</w:t>
      </w:r>
    </w:p>
    <w:p>
      <w:pPr>
        <w:spacing w:after="0" w:line="16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 recorded net charge-offs of $0.9 million for the second quarter of 2016, a decrease from $3.3 million for first quarter of 2016 but an increase from net recoveries of $0.1 million for the second quarter of 2015. The Company recorded a provision for loan loss of $1.1 million in the second quarter of 2016, compared to a provision of $1.0 million in the first quarter of 2016 and zero in the second quarter of 2015. For the first six months of 2016, the provision for loan loss was $2.1 million, compared to $0.5 million for the same period of 2015.</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allowance for loan losses as a percentage of loans decreased to 1.1% at June 30, 2016, compared to 1.7% at March 31, 2016 and 1.9% at June 30, 2015. The decrease was primarily driven by the Pulaski acquisition and accompanying acquisition accounting which does not allow for the carryover of an allowance for loan losses. Instead, these loans are carried net of a fair value adjustment for credit and interest rates and are only included in the allowance calculation to the extent that the reserve requirement exceeds their credit fair value adjustment. The balance of acquired loans which did not require a related allowance for loan losses as of June 30, 2016 totaled $1.0 billion.</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However, as the acquired loans renew, it is necessary to establish an allowance which represents an amount that, in management’s opinion, will be adequate to absorb probable credit losses inherent in such loans. Pulaski Bank recorded $0.6 million in provision expense in the second quarter of 2016 related to new and renewed production.</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With a continued commitment to the quality of assets and the strength of our balance sheet, near-term loan losses are expected to remain generally low. While these results are encouraging, asset quality metrics can be generally influenced by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key metrics are as follows </w:t>
      </w:r>
      <w:r>
        <w:rPr>
          <w:rFonts w:ascii="Arial" w:cs="Arial" w:eastAsia="Arial" w:hAnsi="Arial"/>
          <w:sz w:val="18"/>
          <w:szCs w:val="18"/>
          <w:i w:val="1"/>
          <w:iCs w:val="1"/>
          <w:color w:val="auto"/>
        </w:rPr>
        <w:t>(dollars in thousands):</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w w:val="96"/>
              </w:rPr>
              <w:t>As of and for the Three Months Ended</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tcPr>
          <w:p>
            <w:pPr>
              <w:jc w:val="right"/>
              <w:ind w:right="553"/>
              <w:spacing w:after="0" w:line="119" w:lineRule="exact"/>
              <w:rPr>
                <w:sz w:val="20"/>
                <w:szCs w:val="20"/>
                <w:color w:val="auto"/>
              </w:rPr>
            </w:pPr>
            <w:r>
              <w:rPr>
                <w:rFonts w:ascii="Arial" w:cs="Arial" w:eastAsia="Arial" w:hAnsi="Arial"/>
                <w:sz w:val="13"/>
                <w:szCs w:val="13"/>
                <w:b w:val="1"/>
                <w:bCs w:val="1"/>
                <w:color w:val="auto"/>
              </w:rPr>
              <w:t>June 30,</w:t>
            </w:r>
          </w:p>
        </w:tc>
        <w:tc>
          <w:tcPr>
            <w:tcW w:w="240" w:type="dxa"/>
            <w:vAlign w:val="bottom"/>
          </w:tcPr>
          <w:p>
            <w:pPr>
              <w:spacing w:after="0"/>
              <w:rPr>
                <w:sz w:val="10"/>
                <w:szCs w:val="10"/>
                <w:color w:val="auto"/>
              </w:rPr>
            </w:pPr>
          </w:p>
        </w:tc>
        <w:tc>
          <w:tcPr>
            <w:tcW w:w="1380" w:type="dxa"/>
            <w:vAlign w:val="bottom"/>
          </w:tcPr>
          <w:p>
            <w:pPr>
              <w:jc w:val="right"/>
              <w:ind w:right="496"/>
              <w:spacing w:after="0" w:line="119"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0"/>
                <w:szCs w:val="10"/>
                <w:color w:val="auto"/>
              </w:rPr>
            </w:pPr>
          </w:p>
        </w:tc>
        <w:tc>
          <w:tcPr>
            <w:tcW w:w="140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December 31,</w:t>
            </w:r>
          </w:p>
        </w:tc>
        <w:tc>
          <w:tcPr>
            <w:tcW w:w="300" w:type="dxa"/>
            <w:vAlign w:val="bottom"/>
          </w:tcPr>
          <w:p>
            <w:pPr>
              <w:spacing w:after="0"/>
              <w:rPr>
                <w:sz w:val="10"/>
                <w:szCs w:val="10"/>
                <w:color w:val="auto"/>
              </w:rPr>
            </w:pPr>
          </w:p>
        </w:tc>
        <w:tc>
          <w:tcPr>
            <w:tcW w:w="110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3"/>
          </w:tcPr>
          <w:p>
            <w:pPr>
              <w:jc w:val="right"/>
              <w:ind w:right="953"/>
              <w:spacing w:after="0" w:line="142" w:lineRule="exact"/>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Gross loans(1)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4,059,091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2,585,512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2,637,090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Commercial loans(2)</w:t>
            </w:r>
          </w:p>
        </w:tc>
        <w:tc>
          <w:tcPr>
            <w:tcW w:w="260" w:type="dxa"/>
            <w:vAlign w:val="bottom"/>
          </w:tcPr>
          <w:p>
            <w:pPr>
              <w:spacing w:after="0"/>
              <w:rPr>
                <w:sz w:val="18"/>
                <w:szCs w:val="18"/>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b w:val="1"/>
                <w:bCs w:val="1"/>
                <w:color w:val="auto"/>
              </w:rPr>
              <w:t>2,685,933</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1,920,953</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1,961,573</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1,847,521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45,358</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45,171</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47,487</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47,720</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Non-performing loans</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22,443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17,368</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12,748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8,377</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60" w:type="dxa"/>
            <w:vAlign w:val="bottom"/>
          </w:tcPr>
          <w:p>
            <w:pPr>
              <w:spacing w:after="0"/>
              <w:rPr>
                <w:sz w:val="18"/>
                <w:szCs w:val="18"/>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b w:val="1"/>
                <w:bCs w:val="1"/>
                <w:color w:val="auto"/>
              </w:rPr>
              <w:t>334</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Loans 30-89 days past due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b w:val="1"/>
                <w:bCs w:val="1"/>
                <w:color w:val="auto"/>
              </w:rPr>
              <w:t>9,754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2,436</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3,282</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Other non-performing assets</w:t>
            </w:r>
          </w:p>
        </w:tc>
        <w:tc>
          <w:tcPr>
            <w:tcW w:w="260" w:type="dxa"/>
            <w:vAlign w:val="bottom"/>
          </w:tcPr>
          <w:p>
            <w:pPr>
              <w:spacing w:after="0"/>
              <w:rPr>
                <w:sz w:val="18"/>
                <w:szCs w:val="18"/>
                <w:color w:val="auto"/>
              </w:rPr>
            </w:pPr>
          </w:p>
        </w:tc>
        <w:tc>
          <w:tcPr>
            <w:tcW w:w="1320" w:type="dxa"/>
            <w:vAlign w:val="bottom"/>
          </w:tcPr>
          <w:p>
            <w:pPr>
              <w:jc w:val="right"/>
              <w:ind w:right="133"/>
              <w:spacing w:after="0"/>
              <w:rPr>
                <w:sz w:val="20"/>
                <w:szCs w:val="20"/>
                <w:color w:val="auto"/>
              </w:rPr>
            </w:pPr>
            <w:r>
              <w:rPr>
                <w:rFonts w:ascii="Arial" w:cs="Arial" w:eastAsia="Arial" w:hAnsi="Arial"/>
                <w:sz w:val="18"/>
                <w:szCs w:val="18"/>
                <w:b w:val="1"/>
                <w:bCs w:val="1"/>
                <w:color w:val="auto"/>
              </w:rPr>
              <w:t>3,267</w:t>
            </w:r>
          </w:p>
        </w:tc>
        <w:tc>
          <w:tcPr>
            <w:tcW w:w="24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Arial" w:cs="Arial" w:eastAsia="Arial" w:hAnsi="Arial"/>
                <w:sz w:val="18"/>
                <w:szCs w:val="18"/>
                <w:color w:val="auto"/>
              </w:rPr>
              <w:t>463</w:t>
            </w:r>
          </w:p>
        </w:tc>
        <w:tc>
          <w:tcPr>
            <w:tcW w:w="220" w:type="dxa"/>
            <w:vAlign w:val="bottom"/>
          </w:tcPr>
          <w:p>
            <w:pPr>
              <w:spacing w:after="0"/>
              <w:rPr>
                <w:sz w:val="18"/>
                <w:szCs w:val="18"/>
                <w:color w:val="auto"/>
              </w:rPr>
            </w:pPr>
          </w:p>
        </w:tc>
        <w:tc>
          <w:tcPr>
            <w:tcW w:w="1400" w:type="dxa"/>
            <w:vAlign w:val="bottom"/>
          </w:tcPr>
          <w:p>
            <w:pPr>
              <w:jc w:val="right"/>
              <w:ind w:right="133"/>
              <w:spacing w:after="0"/>
              <w:rPr>
                <w:sz w:val="20"/>
                <w:szCs w:val="20"/>
                <w:color w:val="auto"/>
              </w:rPr>
            </w:pPr>
            <w:r>
              <w:rPr>
                <w:rFonts w:ascii="Arial" w:cs="Arial" w:eastAsia="Arial" w:hAnsi="Arial"/>
                <w:sz w:val="18"/>
                <w:szCs w:val="18"/>
                <w:color w:val="auto"/>
              </w:rPr>
              <w:t>783</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02"/>
        </w:trPr>
        <w:tc>
          <w:tcPr>
            <w:tcW w:w="4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Non-performing assets to total loans and non-performing</w:t>
            </w:r>
          </w:p>
        </w:tc>
        <w:tc>
          <w:tcPr>
            <w:tcW w:w="26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2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199.1%</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372.1%</w:t>
            </w:r>
          </w:p>
        </w:tc>
        <w:tc>
          <w:tcPr>
            <w:tcW w:w="3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loans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(1)Includes loans held for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(2)Includes loans categorized as commercial, commercial real estate and real estate construction.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twenty-eight banking centers serving Illinois. Our primary downstate Illinois markets of Champaign, Macon, McLean and Peoria counties are anchored by several strong, familiar and stable organizations. 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Caterpillar announced significant restructuring and cost cutting initiatives that began in the third quarter of 2015 and, while no substantial direct exposure exists, we will continue to monitor the potential impact to the surrounding community and our customers. The institutions noted above, coupled with a large agricultural sector, anchor the communities in which they are located, and have provided a comparatively stable foundation for housing, employment and small business.</w:t>
      </w:r>
    </w:p>
    <w:p>
      <w:pPr>
        <w:spacing w:after="0" w:line="188"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State of Illinois, where the largest portion of the Company’s customer base is located, continues to be one of the most troubled of any state in the United States with pension under-funding, continued budget deficits and a declining credit outlook. A continued budget impasse led to Illinois lawmakers approving a stopgap state budget that funds education for a year and other areas for six months on June 30, 2016.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recent acquisition of Pulaski expands our presence into the St. Louis, Missouri metropolitan area, which is the largest metropolitan area in Missouri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twentieth largest in the United States. The bi-state metropolitan area includes seven counties in Missouri and eight counties in Illinois. The area is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19 Fortune 1000 companies, including Express Scripts, Emerson Electric, Centene and Monsanto. St. Louis has a diverse economy. Its major employment</w:t>
      </w:r>
    </w:p>
    <w:p>
      <w:pPr>
        <w:sectPr>
          <w:pgSz w:w="11900" w:h="16838" w:orient="portrait"/>
          <w:cols w:equalWidth="0" w:num="1">
            <w:col w:w="11420"/>
          </w:cols>
          <w:pgMar w:left="240" w:top="125" w:right="239" w:bottom="0" w:gutter="0" w:footer="0" w:header="0"/>
        </w:sectPr>
      </w:pPr>
    </w:p>
    <w:bookmarkStart w:id="28" w:name="page29"/>
    <w:bookmarkEnd w:id="28"/>
    <w:p>
      <w:pPr>
        <w:spacing w:after="0" w:line="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sectors include health care, financial services, professional and business services, and retail. Pulaski Bank has thirteen full-service branch offices in the St. Louis metropolitan area, all of which are located in the City of St. Louis, or the adjacent counties of St. Louis County and St. Charles County. St. Charles County has been one of the fastest-growing counties in the country for decades. The county features a cross-section of industry, as well as extensive retail and some agriculture. Pulaski’s geographic concentration in only three of the 15 counties included in the St. Louis metropolitan area gives the Company tremendous expansion opportunities into the other neighboring counties. Pulaski Bank also offers mortgage loan products through loan production offices in the St. Louis, Kansas City, Chicago, and Omaha-Council Bluffs metropolitan areas and other locations across the Midwest.</w:t>
      </w:r>
    </w:p>
    <w:p>
      <w:pPr>
        <w:spacing w:after="0" w:line="17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six banking centers in southwest Florida. Southwest Florida has shown continuing signs of improvement in areas such as job growth and the housing market over the last few years.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Change in income/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2016</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2015</w:t>
            </w: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3"/>
              </w:rPr>
              <w:t>expense due to(1)</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9"/>
                <w:szCs w:val="9"/>
                <w:color w:val="auto"/>
              </w:rPr>
            </w:pPr>
          </w:p>
        </w:tc>
        <w:tc>
          <w:tcPr>
            <w:tcW w:w="82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118"/>
              <w:spacing w:after="0" w:line="110" w:lineRule="exact"/>
              <w:rPr>
                <w:sz w:val="20"/>
                <w:szCs w:val="20"/>
                <w:color w:val="auto"/>
              </w:rPr>
            </w:pPr>
            <w:r>
              <w:rPr>
                <w:rFonts w:ascii="Arial" w:cs="Arial" w:eastAsia="Arial" w:hAnsi="Arial"/>
                <w:sz w:val="12"/>
                <w:szCs w:val="12"/>
                <w:b w:val="1"/>
                <w:bCs w:val="1"/>
                <w:color w:val="auto"/>
              </w:rPr>
              <w:t>Yield/</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7"/>
              </w:rPr>
              <w:t>Average</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rPr>
              <w:t>Income/</w:t>
            </w:r>
          </w:p>
        </w:tc>
        <w:tc>
          <w:tcPr>
            <w:tcW w:w="680" w:type="dxa"/>
            <w:vAlign w:val="bottom"/>
          </w:tcPr>
          <w:p>
            <w:pPr>
              <w:jc w:val="right"/>
              <w:ind w:right="118"/>
              <w:spacing w:after="0" w:line="110" w:lineRule="exact"/>
              <w:rPr>
                <w:sz w:val="20"/>
                <w:szCs w:val="20"/>
                <w:color w:val="auto"/>
              </w:rPr>
            </w:pPr>
            <w:r>
              <w:rPr>
                <w:rFonts w:ascii="Arial" w:cs="Arial" w:eastAsia="Arial" w:hAnsi="Arial"/>
                <w:sz w:val="12"/>
                <w:szCs w:val="12"/>
                <w:b w:val="1"/>
                <w:bCs w:val="1"/>
                <w:color w:val="auto"/>
              </w:rPr>
              <w:t>Yield/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right"/>
              <w:ind w:right="137"/>
              <w:spacing w:after="0" w:line="110"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2"/>
              </w:rPr>
              <w:t>Average</w:t>
            </w:r>
          </w:p>
        </w:tc>
        <w:tc>
          <w:tcPr>
            <w:tcW w:w="100" w:type="dxa"/>
            <w:vAlign w:val="bottom"/>
          </w:tcPr>
          <w:p>
            <w:pPr>
              <w:spacing w:after="0"/>
              <w:rPr>
                <w:sz w:val="9"/>
                <w:szCs w:val="9"/>
                <w:color w:val="auto"/>
              </w:rPr>
            </w:pPr>
          </w:p>
        </w:tc>
        <w:tc>
          <w:tcPr>
            <w:tcW w:w="620" w:type="dxa"/>
            <w:vAlign w:val="bottom"/>
          </w:tcPr>
          <w:p>
            <w:pPr>
              <w:jc w:val="right"/>
              <w:ind w:right="157"/>
              <w:spacing w:after="0" w:line="110"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Balance</w:t>
            </w:r>
          </w:p>
        </w:tc>
        <w:tc>
          <w:tcPr>
            <w:tcW w:w="100" w:type="dxa"/>
            <w:vAlign w:val="bottom"/>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8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Rate(3)</w:t>
            </w: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Balance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85"/>
              </w:rPr>
              <w:t>Expense</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Rate(3)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2"/>
          </w:tcPr>
          <w:p>
            <w:pPr>
              <w:jc w:val="right"/>
              <w:ind w:right="157"/>
              <w:spacing w:after="0"/>
              <w:rPr>
                <w:sz w:val="20"/>
                <w:szCs w:val="20"/>
                <w:color w:val="auto"/>
              </w:rPr>
            </w:pPr>
            <w:r>
              <w:rPr>
                <w:rFonts w:ascii="Arial" w:cs="Arial" w:eastAsia="Arial" w:hAnsi="Arial"/>
                <w:sz w:val="13"/>
                <w:szCs w:val="13"/>
                <w:b w:val="1"/>
                <w:bCs w:val="1"/>
                <w:color w:val="auto"/>
                <w:w w:val="93"/>
              </w:rPr>
              <w:t>Volume</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Yield/Rate</w:t>
            </w:r>
          </w:p>
        </w:tc>
        <w:tc>
          <w:tcPr>
            <w:tcW w:w="100" w:type="dxa"/>
            <w:vAlign w:val="bottom"/>
          </w:tcPr>
          <w:p>
            <w:pPr>
              <w:spacing w:after="0"/>
              <w:rPr>
                <w:sz w:val="13"/>
                <w:szCs w:val="13"/>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6"/>
          </w:tcPr>
          <w:p>
            <w:pPr>
              <w:jc w:val="right"/>
              <w:ind w:right="20"/>
              <w:spacing w:after="0" w:line="129" w:lineRule="exact"/>
              <w:rPr>
                <w:sz w:val="20"/>
                <w:szCs w:val="20"/>
                <w:color w:val="auto"/>
              </w:rPr>
            </w:pPr>
            <w:r>
              <w:rPr>
                <w:rFonts w:ascii="Arial" w:cs="Arial" w:eastAsia="Arial" w:hAnsi="Arial"/>
                <w:sz w:val="13"/>
                <w:szCs w:val="13"/>
                <w:b w:val="1"/>
                <w:bCs w:val="1"/>
                <w:color w:val="auto"/>
              </w:rPr>
              <w:t>(dollars in thousands)</w:t>
            </w:r>
          </w:p>
        </w:tc>
        <w:tc>
          <w:tcPr>
            <w:tcW w:w="6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3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315,014</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370</w:t>
            </w: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0.47%</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287,622</w:t>
            </w:r>
          </w:p>
        </w:tc>
        <w:tc>
          <w:tcPr>
            <w:tcW w:w="100" w:type="dxa"/>
            <w:vAlign w:val="bottom"/>
          </w:tcPr>
          <w:p>
            <w:pPr>
              <w:spacing w:after="0"/>
              <w:rPr>
                <w:sz w:val="11"/>
                <w:szCs w:val="11"/>
                <w:color w:val="auto"/>
              </w:rPr>
            </w:pP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181</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0.25%</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Federal funds sold</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1,712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U.S. Government obligations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199,387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565</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230,238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688</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(33)</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360"/>
              <w:spacing w:after="0" w:line="135" w:lineRule="exact"/>
              <w:rPr>
                <w:sz w:val="20"/>
                <w:szCs w:val="20"/>
                <w:color w:val="auto"/>
              </w:rPr>
            </w:pPr>
            <w:r>
              <w:rPr>
                <w:rFonts w:ascii="Arial" w:cs="Arial" w:eastAsia="Arial" w:hAnsi="Arial"/>
                <w:sz w:val="13"/>
                <w:szCs w:val="13"/>
                <w:color w:val="auto"/>
              </w:rPr>
              <w:t>Obligations of states and political subdivisions(1)</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213,611</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1,534</w:t>
            </w: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2.89%</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233,329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1,605</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(142)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71</w:t>
            </w:r>
          </w:p>
        </w:tc>
        <w:tc>
          <w:tcPr>
            <w:tcW w:w="100" w:type="dxa"/>
            <w:vAlign w:val="bottom"/>
          </w:tcPr>
          <w:p>
            <w:pPr>
              <w:spacing w:after="0"/>
              <w:rPr>
                <w:sz w:val="11"/>
                <w:szCs w:val="11"/>
                <w:color w:val="auto"/>
              </w:rPr>
            </w:pPr>
          </w:p>
        </w:tc>
        <w:tc>
          <w:tcPr>
            <w:tcW w:w="7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Other securities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437,793</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2,298</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2.11%</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425,468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2,280</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2.15%</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Loans(1) (2)</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3,511,115</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36,484</w:t>
            </w: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4.18%</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2,494,200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24,685</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10,446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1,353</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11,799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4,678,632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41,252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3.55%</w:t>
            </w:r>
          </w:p>
        </w:tc>
        <w:tc>
          <w:tcPr>
            <w:tcW w:w="1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3,670,857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29,439</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0" w:type="dxa"/>
            <w:vAlign w:val="bottom"/>
            <w:tcBorders>
              <w:top w:val="single" w:sz="8" w:color="CCEEFF"/>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3.22%</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10,295</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11,813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73,073</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90,800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75,052</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65,289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(47,347)</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(47,845)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241,915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140,280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4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3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5,021,325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3,919,381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240" w:type="dxa"/>
            <w:vAlign w:val="bottom"/>
            <w:shd w:val="clear" w:color="auto" w:fill="CCEEFF"/>
          </w:tcPr>
          <w:p>
            <w:pPr>
              <w:ind w:left="180"/>
              <w:spacing w:after="0" w:line="121" w:lineRule="exact"/>
              <w:rPr>
                <w:sz w:val="20"/>
                <w:szCs w:val="20"/>
                <w:color w:val="auto"/>
              </w:rPr>
            </w:pPr>
            <w:r>
              <w:rPr>
                <w:rFonts w:ascii="Arial" w:cs="Arial" w:eastAsia="Arial" w:hAnsi="Arial"/>
                <w:sz w:val="13"/>
                <w:szCs w:val="13"/>
                <w:color w:val="auto"/>
                <w:w w:val="94"/>
              </w:rPr>
              <w:t>Interest-bearing transaction, savings and money market</w:t>
            </w: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deposits</w:t>
            </w:r>
          </w:p>
        </w:tc>
        <w:tc>
          <w:tcPr>
            <w:tcW w:w="3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2,305,384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749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0.13%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1,937,123</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536</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0.11%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104</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763,774</w:t>
            </w:r>
          </w:p>
        </w:tc>
        <w:tc>
          <w:tcPr>
            <w:tcW w:w="10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1,043</w:t>
            </w: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0.55%</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512,017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674</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0.55%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w:t>
            </w: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360"/>
              <w:spacing w:after="0" w:line="135" w:lineRule="exact"/>
              <w:rPr>
                <w:sz w:val="20"/>
                <w:szCs w:val="20"/>
                <w:color w:val="auto"/>
              </w:rPr>
            </w:pPr>
            <w:r>
              <w:rPr>
                <w:rFonts w:ascii="Arial" w:cs="Arial" w:eastAsia="Arial" w:hAnsi="Arial"/>
                <w:sz w:val="13"/>
                <w:szCs w:val="13"/>
                <w:color w:val="auto"/>
              </w:rPr>
              <w:t>Repurchase agreements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178,826</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90</w:t>
            </w:r>
          </w:p>
        </w:tc>
        <w:tc>
          <w:tcPr>
            <w:tcW w:w="1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0.20%</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172,930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37</w:t>
            </w:r>
          </w:p>
        </w:tc>
        <w:tc>
          <w:tcPr>
            <w:tcW w:w="160" w:type="dxa"/>
            <w:vAlign w:val="bottom"/>
          </w:tcPr>
          <w:p>
            <w:pPr>
              <w:spacing w:after="0"/>
              <w:rPr>
                <w:sz w:val="11"/>
                <w:szCs w:val="11"/>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52</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Other</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133,668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185</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0.56%</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92</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Long-term debt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80,000</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160" w:type="dxa"/>
            <w:vAlign w:val="bottom"/>
          </w:tcPr>
          <w:p>
            <w:pPr>
              <w:spacing w:after="0"/>
              <w:rPr>
                <w:sz w:val="11"/>
                <w:szCs w:val="11"/>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0.29%</w:t>
            </w:r>
          </w:p>
        </w:tc>
        <w:tc>
          <w:tcPr>
            <w:tcW w:w="120" w:type="dxa"/>
            <w:vAlign w:val="bottom"/>
          </w:tcPr>
          <w:p>
            <w:pPr>
              <w:spacing w:after="0"/>
              <w:rPr>
                <w:sz w:val="11"/>
                <w:szCs w:val="11"/>
                <w:color w:val="auto"/>
              </w:rPr>
            </w:pPr>
          </w:p>
        </w:tc>
        <w:tc>
          <w:tcPr>
            <w:tcW w:w="7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50,000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0.09%</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36</w:t>
            </w:r>
          </w:p>
        </w:tc>
        <w:tc>
          <w:tcPr>
            <w:tcW w:w="10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5"/>
              </w:rPr>
              <w:t>Junior subordinated debt owed to unconsolidated trusts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65,407</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462</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2.84%</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55,000</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301</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98</w:t>
            </w: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240" w:type="dxa"/>
            <w:vAlign w:val="bottom"/>
            <w:tcBorders>
              <w:bottom w:val="single" w:sz="8" w:color="CCEEFF"/>
            </w:tcBorders>
          </w:tcPr>
          <w:p>
            <w:pPr>
              <w:ind w:left="180"/>
              <w:spacing w:after="0" w:line="129" w:lineRule="exact"/>
              <w:rPr>
                <w:sz w:val="20"/>
                <w:szCs w:val="20"/>
                <w:color w:val="auto"/>
              </w:rPr>
            </w:pPr>
            <w:r>
              <w:rPr>
                <w:rFonts w:ascii="Arial" w:cs="Arial" w:eastAsia="Arial" w:hAnsi="Arial"/>
                <w:sz w:val="13"/>
                <w:szCs w:val="13"/>
                <w:color w:val="auto"/>
              </w:rPr>
              <w:t>Total interest-bearing liabilities</w:t>
            </w:r>
          </w:p>
        </w:tc>
        <w:tc>
          <w:tcPr>
            <w:tcW w:w="2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jc w:val="right"/>
              <w:ind w:right="13"/>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3,527,059</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2,586</w:t>
            </w: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gridSpan w:val="2"/>
          </w:tcPr>
          <w:p>
            <w:pPr>
              <w:jc w:val="right"/>
              <w:ind w:right="60"/>
              <w:spacing w:after="0" w:line="129" w:lineRule="exact"/>
              <w:rPr>
                <w:sz w:val="20"/>
                <w:szCs w:val="20"/>
                <w:color w:val="auto"/>
              </w:rPr>
            </w:pPr>
            <w:r>
              <w:rPr>
                <w:rFonts w:ascii="Arial" w:cs="Arial" w:eastAsia="Arial" w:hAnsi="Arial"/>
                <w:sz w:val="13"/>
                <w:szCs w:val="13"/>
                <w:color w:val="auto"/>
              </w:rPr>
              <w:t>0.29%</w:t>
            </w:r>
          </w:p>
        </w:tc>
        <w:tc>
          <w:tcPr>
            <w:tcW w:w="1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2,727,070</w:t>
            </w:r>
          </w:p>
        </w:tc>
        <w:tc>
          <w:tcPr>
            <w:tcW w:w="10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1,559</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gridSpan w:val="2"/>
          </w:tcPr>
          <w:p>
            <w:pPr>
              <w:jc w:val="right"/>
              <w:ind w:right="20"/>
              <w:spacing w:after="0" w:line="129" w:lineRule="exact"/>
              <w:rPr>
                <w:sz w:val="20"/>
                <w:szCs w:val="20"/>
                <w:color w:val="auto"/>
              </w:rPr>
            </w:pPr>
            <w:r>
              <w:rPr>
                <w:rFonts w:ascii="Arial" w:cs="Arial" w:eastAsia="Arial" w:hAnsi="Arial"/>
                <w:sz w:val="13"/>
                <w:szCs w:val="13"/>
                <w:color w:val="auto"/>
              </w:rPr>
              <w:t>0.23%</w:t>
            </w:r>
          </w:p>
        </w:tc>
        <w:tc>
          <w:tcPr>
            <w:tcW w:w="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617</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410</w:t>
            </w:r>
          </w:p>
        </w:tc>
        <w:tc>
          <w:tcPr>
            <w:tcW w:w="16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tcPr>
          <w:p>
            <w:pPr>
              <w:jc w:val="right"/>
              <w:spacing w:after="0" w:line="129" w:lineRule="exact"/>
              <w:rPr>
                <w:sz w:val="20"/>
                <w:szCs w:val="20"/>
                <w:color w:val="auto"/>
              </w:rPr>
            </w:pPr>
            <w:r>
              <w:rPr>
                <w:rFonts w:ascii="Arial" w:cs="Arial" w:eastAsia="Arial" w:hAnsi="Arial"/>
                <w:sz w:val="13"/>
                <w:szCs w:val="13"/>
                <w:color w:val="auto"/>
              </w:rPr>
              <w:t>1,027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Net interest spread(1)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3.26%</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2.99%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2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Noninterest-bearing deposits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942,553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725,261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38,840</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27,185</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512,873</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439,865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240" w:type="dxa"/>
            <w:vAlign w:val="bottom"/>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3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5,021,325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3,919,381</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2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240" w:type="dxa"/>
            <w:vAlign w:val="bottom"/>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3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4,678,632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41,252</w:t>
            </w:r>
          </w:p>
        </w:tc>
        <w:tc>
          <w:tcPr>
            <w:tcW w:w="8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3.55%</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3,670,857</w:t>
            </w:r>
          </w:p>
        </w:tc>
        <w:tc>
          <w:tcPr>
            <w:tcW w:w="100" w:type="dxa"/>
            <w:vAlign w:val="bottom"/>
          </w:tcPr>
          <w:p>
            <w:pPr>
              <w:spacing w:after="0"/>
              <w:rPr>
                <w:sz w:val="11"/>
                <w:szCs w:val="11"/>
                <w:color w:val="auto"/>
              </w:rPr>
            </w:pP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29,439</w:t>
            </w:r>
          </w:p>
        </w:tc>
        <w:tc>
          <w:tcPr>
            <w:tcW w:w="8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3.22%</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4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3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4,678,632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2,586</w:t>
            </w:r>
          </w:p>
        </w:tc>
        <w:tc>
          <w:tcPr>
            <w:tcW w:w="8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0.23%</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3,670,857</w:t>
            </w:r>
          </w:p>
        </w:tc>
        <w:tc>
          <w:tcPr>
            <w:tcW w:w="100" w:type="dxa"/>
            <w:vAlign w:val="bottom"/>
            <w:shd w:val="clear" w:color="auto" w:fill="CCEEFF"/>
          </w:tcPr>
          <w:p>
            <w:pPr>
              <w:spacing w:after="0"/>
              <w:rPr>
                <w:sz w:val="11"/>
                <w:szCs w:val="11"/>
                <w:color w:val="auto"/>
              </w:rPr>
            </w:pP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1,559</w:t>
            </w:r>
          </w:p>
        </w:tc>
        <w:tc>
          <w:tcPr>
            <w:tcW w:w="8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0.17%</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3"/>
                <w:szCs w:val="13"/>
                <w:color w:val="auto"/>
              </w:rPr>
              <w:t>Net interest margin(1)</w:t>
            </w: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38,666</w:t>
            </w:r>
          </w:p>
        </w:tc>
        <w:tc>
          <w:tcPr>
            <w:tcW w:w="84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0"/>
                <w:szCs w:val="10"/>
                <w:color w:val="auto"/>
              </w:rPr>
              <w:t>3.32</w:t>
            </w:r>
            <w:r>
              <w:rPr>
                <w:rFonts w:ascii="Arial" w:cs="Arial" w:eastAsia="Arial" w:hAnsi="Arial"/>
                <w:sz w:val="18"/>
                <w:szCs w:val="18"/>
                <w:color w:val="auto"/>
                <w:vertAlign w:val="superscript"/>
              </w:rPr>
              <w:t>%</w:t>
            </w: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27,880</w:t>
            </w:r>
          </w:p>
        </w:tc>
        <w:tc>
          <w:tcPr>
            <w:tcW w:w="920" w:type="dxa"/>
            <w:vAlign w:val="bottom"/>
            <w:gridSpan w:val="4"/>
            <w:shd w:val="clear" w:color="auto" w:fill="CCEEFF"/>
          </w:tcPr>
          <w:p>
            <w:pPr>
              <w:jc w:val="right"/>
              <w:spacing w:after="0" w:line="162" w:lineRule="exact"/>
              <w:rPr>
                <w:sz w:val="20"/>
                <w:szCs w:val="20"/>
                <w:color w:val="auto"/>
              </w:rPr>
            </w:pPr>
            <w:r>
              <w:rPr>
                <w:rFonts w:ascii="Arial" w:cs="Arial" w:eastAsia="Arial" w:hAnsi="Arial"/>
                <w:sz w:val="10"/>
                <w:szCs w:val="10"/>
                <w:color w:val="auto"/>
              </w:rPr>
              <w:t>3.05</w:t>
            </w:r>
            <w:r>
              <w:rPr>
                <w:rFonts w:ascii="Arial" w:cs="Arial" w:eastAsia="Arial" w:hAnsi="Arial"/>
                <w:sz w:val="18"/>
                <w:szCs w:val="18"/>
                <w:color w:val="auto"/>
                <w:vertAlign w:val="superscript"/>
              </w:rPr>
              <w:t>%</w:t>
            </w:r>
            <w:r>
              <w:rPr>
                <w:rFonts w:ascii="Arial" w:cs="Arial" w:eastAsia="Arial" w:hAnsi="Arial"/>
                <w:sz w:val="10"/>
                <w:szCs w:val="10"/>
                <w:color w:val="auto"/>
              </w:rPr>
              <w:t xml:space="preserve"> $</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9,678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1,108</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color w:val="auto"/>
        </w:rPr>
        <w:t>(1)On a tax-equivalent basis assuming a federal income tax rate of 35%.</w:t>
      </w:r>
    </w:p>
    <w:p>
      <w:pPr>
        <w:spacing w:after="0" w:line="216" w:lineRule="auto"/>
        <w:rPr>
          <w:sz w:val="20"/>
          <w:szCs w:val="20"/>
          <w:color w:val="auto"/>
        </w:rPr>
      </w:pPr>
      <w:r>
        <w:rPr>
          <w:rFonts w:ascii="Arial" w:cs="Arial" w:eastAsia="Arial" w:hAnsi="Arial"/>
          <w:sz w:val="13"/>
          <w:szCs w:val="13"/>
          <w:color w:val="auto"/>
        </w:rPr>
        <w:t>(2)Non-accrual loans have been included in average loans.</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(3)Annualized.</w:t>
      </w:r>
    </w:p>
    <w:p>
      <w:pPr>
        <w:sectPr>
          <w:pgSz w:w="11900" w:h="16854" w:orient="portrait"/>
          <w:cols w:equalWidth="0" w:num="1">
            <w:col w:w="11420"/>
          </w:cols>
          <w:pgMar w:left="240" w:top="125" w:right="239" w:bottom="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2016 AND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gridSpan w:val="5"/>
          </w:tcPr>
          <w:p>
            <w:pPr>
              <w:jc w:val="center"/>
              <w:ind w:left="537"/>
              <w:spacing w:after="0"/>
              <w:rPr>
                <w:sz w:val="20"/>
                <w:szCs w:val="20"/>
                <w:color w:val="auto"/>
              </w:rPr>
            </w:pPr>
            <w:r>
              <w:rPr>
                <w:rFonts w:ascii="Arial" w:cs="Arial" w:eastAsia="Arial" w:hAnsi="Arial"/>
                <w:sz w:val="13"/>
                <w:szCs w:val="13"/>
                <w:b w:val="1"/>
                <w:bCs w:val="1"/>
                <w:color w:val="auto"/>
                <w:w w:val="86"/>
              </w:rPr>
              <w:t>Change in income/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2"/>
              </w:rPr>
              <w:t>2016</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2015</w:t>
            </w: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3"/>
              </w:rPr>
              <w:t>expense due to(1)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7"/>
              </w:rPr>
              <w:t>Average</w:t>
            </w:r>
          </w:p>
        </w:tc>
        <w:tc>
          <w:tcPr>
            <w:tcW w:w="100" w:type="dxa"/>
            <w:vAlign w:val="bottom"/>
          </w:tcPr>
          <w:p>
            <w:pPr>
              <w:spacing w:after="0"/>
              <w:rPr>
                <w:sz w:val="9"/>
                <w:szCs w:val="9"/>
                <w:color w:val="auto"/>
              </w:rPr>
            </w:pPr>
          </w:p>
        </w:tc>
        <w:tc>
          <w:tcPr>
            <w:tcW w:w="78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6"/>
              </w:rPr>
              <w:t>Income/</w:t>
            </w:r>
          </w:p>
        </w:tc>
        <w:tc>
          <w:tcPr>
            <w:tcW w:w="740" w:type="dxa"/>
            <w:vAlign w:val="bottom"/>
          </w:tcPr>
          <w:p>
            <w:pPr>
              <w:jc w:val="right"/>
              <w:ind w:right="158"/>
              <w:spacing w:after="0" w:line="110" w:lineRule="exact"/>
              <w:rPr>
                <w:sz w:val="20"/>
                <w:szCs w:val="20"/>
                <w:color w:val="auto"/>
              </w:rPr>
            </w:pPr>
            <w:r>
              <w:rPr>
                <w:rFonts w:ascii="Arial" w:cs="Arial" w:eastAsia="Arial" w:hAnsi="Arial"/>
                <w:sz w:val="12"/>
                <w:szCs w:val="12"/>
                <w:b w:val="1"/>
                <w:bCs w:val="1"/>
                <w:color w:val="auto"/>
              </w:rPr>
              <w:t>Yield/</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7"/>
              </w:rPr>
              <w:t>Average</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2"/>
              </w:rPr>
              <w:t>Income/</w:t>
            </w:r>
          </w:p>
        </w:tc>
        <w:tc>
          <w:tcPr>
            <w:tcW w:w="720" w:type="dxa"/>
            <w:vAlign w:val="bottom"/>
          </w:tcPr>
          <w:p>
            <w:pPr>
              <w:jc w:val="right"/>
              <w:ind w:right="138"/>
              <w:spacing w:after="0" w:line="110" w:lineRule="exact"/>
              <w:rPr>
                <w:sz w:val="20"/>
                <w:szCs w:val="20"/>
                <w:color w:val="auto"/>
              </w:rPr>
            </w:pPr>
            <w:r>
              <w:rPr>
                <w:rFonts w:ascii="Arial" w:cs="Arial" w:eastAsia="Arial" w:hAnsi="Arial"/>
                <w:sz w:val="12"/>
                <w:szCs w:val="12"/>
                <w:b w:val="1"/>
                <w:bCs w:val="1"/>
                <w:color w:val="auto"/>
              </w:rPr>
              <w:t>Yield/</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right"/>
              <w:ind w:right="217"/>
              <w:spacing w:after="0" w:line="110" w:lineRule="exact"/>
              <w:rPr>
                <w:sz w:val="20"/>
                <w:szCs w:val="20"/>
                <w:color w:val="auto"/>
              </w:rPr>
            </w:pPr>
            <w:r>
              <w:rPr>
                <w:rFonts w:ascii="Arial" w:cs="Arial" w:eastAsia="Arial" w:hAnsi="Arial"/>
                <w:sz w:val="12"/>
                <w:szCs w:val="12"/>
                <w:b w:val="1"/>
                <w:bCs w:val="1"/>
                <w:color w:val="auto"/>
                <w:w w:val="97"/>
              </w:rPr>
              <w:t>Average</w:t>
            </w:r>
          </w:p>
        </w:tc>
        <w:tc>
          <w:tcPr>
            <w:tcW w:w="60" w:type="dxa"/>
            <w:vAlign w:val="bottom"/>
          </w:tcPr>
          <w:p>
            <w:pPr>
              <w:spacing w:after="0"/>
              <w:rPr>
                <w:sz w:val="9"/>
                <w:szCs w:val="9"/>
                <w:color w:val="auto"/>
              </w:rPr>
            </w:pPr>
          </w:p>
        </w:tc>
        <w:tc>
          <w:tcPr>
            <w:tcW w:w="78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2"/>
              </w:rPr>
              <w:t>Average</w:t>
            </w:r>
          </w:p>
        </w:tc>
        <w:tc>
          <w:tcPr>
            <w:tcW w:w="100" w:type="dxa"/>
            <w:vAlign w:val="bottom"/>
          </w:tcPr>
          <w:p>
            <w:pPr>
              <w:spacing w:after="0"/>
              <w:rPr>
                <w:sz w:val="9"/>
                <w:szCs w:val="9"/>
                <w:color w:val="auto"/>
              </w:rPr>
            </w:pPr>
          </w:p>
        </w:tc>
        <w:tc>
          <w:tcPr>
            <w:tcW w:w="600" w:type="dxa"/>
            <w:vAlign w:val="bottom"/>
          </w:tcPr>
          <w:p>
            <w:pPr>
              <w:jc w:val="right"/>
              <w:ind w:right="137"/>
              <w:spacing w:after="0" w:line="110" w:lineRule="exact"/>
              <w:rPr>
                <w:sz w:val="20"/>
                <w:szCs w:val="20"/>
                <w:color w:val="auto"/>
              </w:rPr>
            </w:pPr>
            <w:r>
              <w:rPr>
                <w:rFonts w:ascii="Arial" w:cs="Arial" w:eastAsia="Arial" w:hAnsi="Arial"/>
                <w:sz w:val="12"/>
                <w:szCs w:val="12"/>
                <w:b w:val="1"/>
                <w:bCs w:val="1"/>
                <w:color w:val="auto"/>
              </w:rPr>
              <w:t>Total</w:t>
            </w:r>
          </w:p>
        </w:tc>
        <w:tc>
          <w:tcPr>
            <w:tcW w:w="1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Balance</w:t>
            </w:r>
          </w:p>
        </w:tc>
        <w:tc>
          <w:tcPr>
            <w:tcW w:w="100" w:type="dxa"/>
            <w:vAlign w:val="bottom"/>
          </w:tcPr>
          <w:p>
            <w:pPr>
              <w:spacing w:after="0"/>
              <w:rPr>
                <w:sz w:val="13"/>
                <w:szCs w:val="13"/>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2"/>
              </w:rPr>
              <w:t>Expense</w:t>
            </w: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Rate(3)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Balance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Expense</w:t>
            </w:r>
          </w:p>
        </w:tc>
        <w:tc>
          <w:tcPr>
            <w:tcW w:w="8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Rate(3)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37"/>
              <w:spacing w:after="0"/>
              <w:rPr>
                <w:sz w:val="20"/>
                <w:szCs w:val="20"/>
                <w:color w:val="auto"/>
              </w:rPr>
            </w:pPr>
            <w:r>
              <w:rPr>
                <w:rFonts w:ascii="Arial" w:cs="Arial" w:eastAsia="Arial" w:hAnsi="Arial"/>
                <w:sz w:val="13"/>
                <w:szCs w:val="13"/>
                <w:b w:val="1"/>
                <w:bCs w:val="1"/>
                <w:color w:val="auto"/>
                <w:w w:val="93"/>
              </w:rPr>
              <w:t>Volume</w:t>
            </w:r>
          </w:p>
        </w:tc>
        <w:tc>
          <w:tcPr>
            <w:tcW w:w="6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Yield/Rate</w:t>
            </w:r>
          </w:p>
        </w:tc>
        <w:tc>
          <w:tcPr>
            <w:tcW w:w="100" w:type="dxa"/>
            <w:vAlign w:val="bottom"/>
          </w:tcPr>
          <w:p>
            <w:pPr>
              <w:spacing w:after="0"/>
              <w:rPr>
                <w:sz w:val="13"/>
                <w:szCs w:val="13"/>
                <w:color w:val="auto"/>
              </w:rPr>
            </w:pPr>
          </w:p>
        </w:tc>
        <w:tc>
          <w:tcPr>
            <w:tcW w:w="70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w w:val="92"/>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gridSpan w:val="6"/>
          </w:tcPr>
          <w:p>
            <w:pPr>
              <w:ind w:left="500"/>
              <w:spacing w:after="0" w:line="129" w:lineRule="exact"/>
              <w:rPr>
                <w:sz w:val="20"/>
                <w:szCs w:val="20"/>
                <w:color w:val="auto"/>
              </w:rPr>
            </w:pPr>
            <w:r>
              <w:rPr>
                <w:rFonts w:ascii="Arial" w:cs="Arial" w:eastAsia="Arial" w:hAnsi="Arial"/>
                <w:sz w:val="13"/>
                <w:szCs w:val="13"/>
                <w:b w:val="1"/>
                <w:bCs w:val="1"/>
                <w:color w:val="auto"/>
                <w:w w:val="85"/>
              </w:rPr>
              <w:t>(dollars in thousands)</w:t>
            </w: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278,132</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670</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0.48%</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293,198</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373</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0.26%</w:t>
            </w:r>
          </w:p>
        </w:tc>
        <w:tc>
          <w:tcPr>
            <w:tcW w:w="12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(20)</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317</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297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Federal funds sold</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U.S. Government obligations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196,323</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1,114</w:t>
            </w: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228,769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1,344</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(183)</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340"/>
              <w:spacing w:after="0" w:line="135" w:lineRule="exact"/>
              <w:rPr>
                <w:sz w:val="20"/>
                <w:szCs w:val="20"/>
                <w:color w:val="auto"/>
              </w:rPr>
            </w:pPr>
            <w:r>
              <w:rPr>
                <w:rFonts w:ascii="Arial" w:cs="Arial" w:eastAsia="Arial" w:hAnsi="Arial"/>
                <w:sz w:val="13"/>
                <w:szCs w:val="13"/>
                <w:color w:val="auto"/>
              </w:rPr>
              <w:t>Obligations of states and political subdivisions(1)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216,768</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3,069</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2.85%</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240,118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3,265</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(321)</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125</w:t>
            </w:r>
          </w:p>
        </w:tc>
        <w:tc>
          <w:tcPr>
            <w:tcW w:w="100" w:type="dxa"/>
            <w:vAlign w:val="bottom"/>
          </w:tcPr>
          <w:p>
            <w:pPr>
              <w:spacing w:after="0"/>
              <w:rPr>
                <w:sz w:val="11"/>
                <w:szCs w:val="11"/>
                <w:color w:val="auto"/>
              </w:rPr>
            </w:pPr>
          </w:p>
        </w:tc>
        <w:tc>
          <w:tcPr>
            <w:tcW w:w="70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(196)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Other securities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442,478</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4,708</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406,673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4,313</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393</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395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Loans(1) (2)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3,050,473</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61,751</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4.07%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2,490,405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48,945</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3.96%</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11,427</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1,379</w:t>
            </w:r>
          </w:p>
        </w:tc>
        <w:tc>
          <w:tcPr>
            <w:tcW w:w="1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12,806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4,185,030</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71,313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3.43%</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3,659,163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58,240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3.21%</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11,297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1,776</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13,073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66,246</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92,139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69,148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65,570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(47,475)</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(47,996)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191,133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141,464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50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4,464,082</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3,910,340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8"/>
              </w:rPr>
              <w:t>Interest-bearing transaction, savings and money market deposits</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2,145,213</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1,310</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0.12%</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1,922,809</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1,050</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0.11%</w:t>
            </w:r>
          </w:p>
        </w:tc>
        <w:tc>
          <w:tcPr>
            <w:tcW w:w="1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128</w:t>
            </w:r>
          </w:p>
        </w:tc>
        <w:tc>
          <w:tcPr>
            <w:tcW w:w="6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132</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606,785</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1,589</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0.53%</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522,583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1,399</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0.54%</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225</w:t>
            </w:r>
          </w:p>
        </w:tc>
        <w:tc>
          <w:tcPr>
            <w:tcW w:w="60" w:type="dxa"/>
            <w:vAlign w:val="bottom"/>
          </w:tcPr>
          <w:p>
            <w:pPr>
              <w:spacing w:after="0"/>
              <w:rPr>
                <w:sz w:val="11"/>
                <w:szCs w:val="11"/>
                <w:color w:val="auto"/>
              </w:rPr>
            </w:pPr>
          </w:p>
        </w:tc>
        <w:tc>
          <w:tcPr>
            <w:tcW w:w="7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w:t>
            </w:r>
          </w:p>
        </w:tc>
        <w:tc>
          <w:tcPr>
            <w:tcW w:w="1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340"/>
              <w:spacing w:after="0" w:line="135" w:lineRule="exact"/>
              <w:rPr>
                <w:sz w:val="20"/>
                <w:szCs w:val="20"/>
                <w:color w:val="auto"/>
              </w:rPr>
            </w:pPr>
            <w:r>
              <w:rPr>
                <w:rFonts w:ascii="Arial" w:cs="Arial" w:eastAsia="Arial" w:hAnsi="Arial"/>
                <w:sz w:val="13"/>
                <w:szCs w:val="13"/>
                <w:color w:val="auto"/>
              </w:rPr>
              <w:t>Federal funds purchased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193</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1.04%</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Repurchase agreements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171,077</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171</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0.20%</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179,759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88</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0.10%</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(5)</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340"/>
              <w:spacing w:after="0" w:line="135" w:lineRule="exact"/>
              <w:rPr>
                <w:sz w:val="20"/>
                <w:szCs w:val="20"/>
                <w:color w:val="auto"/>
              </w:rPr>
            </w:pPr>
            <w:r>
              <w:rPr>
                <w:rFonts w:ascii="Arial" w:cs="Arial" w:eastAsia="Arial" w:hAnsi="Arial"/>
                <w:sz w:val="13"/>
                <w:szCs w:val="13"/>
                <w:color w:val="auto"/>
              </w:rPr>
              <w:t>Other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66,834</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198</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0.60%</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99</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198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Long-term debt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80,000</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0.25%</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50,182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0.08%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18</w:t>
            </w:r>
          </w:p>
        </w:tc>
        <w:tc>
          <w:tcPr>
            <w:tcW w:w="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79</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Junior subordinated debt owed to unconsolidated trusts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60,203</w:t>
            </w:r>
          </w:p>
        </w:tc>
        <w:tc>
          <w:tcPr>
            <w:tcW w:w="10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799</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2.67%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55,000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594</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2.18%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60</w:t>
            </w:r>
          </w:p>
        </w:tc>
        <w:tc>
          <w:tcPr>
            <w:tcW w:w="6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145</w:t>
            </w:r>
          </w:p>
        </w:tc>
        <w:tc>
          <w:tcPr>
            <w:tcW w:w="100" w:type="dxa"/>
            <w:vAlign w:val="bottom"/>
          </w:tcPr>
          <w:p>
            <w:pPr>
              <w:spacing w:after="0"/>
              <w:rPr>
                <w:sz w:val="11"/>
                <w:szCs w:val="11"/>
                <w:color w:val="auto"/>
              </w:rPr>
            </w:pP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0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interest-bearing liabilities</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3,130,305</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4,168</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0.27%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2,730,333</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3,152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40" w:type="dxa"/>
            <w:vAlign w:val="bottom"/>
            <w:tcBorders>
              <w:top w:val="single" w:sz="8" w:color="CCEEFF"/>
              <w:bottom w:val="single" w:sz="8" w:color="CCEEFF"/>
            </w:tcBorders>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0.23%</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526</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1,016</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interest spread(1)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3.16%</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2.98%</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Noninterest-bearing deposits</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855,412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714,443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33,574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27,604</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444,791</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437,960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4,464,082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3,910,340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1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4,185,030</w:t>
            </w: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71,313</w:t>
            </w:r>
          </w:p>
        </w:tc>
        <w:tc>
          <w:tcPr>
            <w:tcW w:w="8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3.43%</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3,659,163</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58,240</w:t>
            </w:r>
          </w:p>
        </w:tc>
        <w:tc>
          <w:tcPr>
            <w:tcW w:w="8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3.21%</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00" w:type="dxa"/>
            <w:vAlign w:val="bottom"/>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4,185,030</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4,168</w:t>
            </w:r>
          </w:p>
        </w:tc>
        <w:tc>
          <w:tcPr>
            <w:tcW w:w="8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0.20%</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3,659,163</w:t>
            </w:r>
          </w:p>
        </w:tc>
        <w:tc>
          <w:tcPr>
            <w:tcW w:w="1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3,152</w:t>
            </w:r>
          </w:p>
        </w:tc>
        <w:tc>
          <w:tcPr>
            <w:tcW w:w="8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0.17%</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5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Net interest margin(1)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67,145</w:t>
            </w:r>
          </w:p>
        </w:tc>
        <w:tc>
          <w:tcPr>
            <w:tcW w:w="860" w:type="dxa"/>
            <w:vAlign w:val="bottom"/>
            <w:gridSpan w:val="2"/>
          </w:tcPr>
          <w:p>
            <w:pPr>
              <w:jc w:val="right"/>
              <w:ind w:right="20"/>
              <w:spacing w:after="0" w:line="162" w:lineRule="exact"/>
              <w:rPr>
                <w:sz w:val="20"/>
                <w:szCs w:val="20"/>
                <w:color w:val="auto"/>
              </w:rPr>
            </w:pPr>
            <w:r>
              <w:rPr>
                <w:rFonts w:ascii="Arial" w:cs="Arial" w:eastAsia="Arial" w:hAnsi="Arial"/>
                <w:sz w:val="10"/>
                <w:szCs w:val="10"/>
                <w:color w:val="auto"/>
              </w:rPr>
              <w:t>3.23</w:t>
            </w:r>
            <w:r>
              <w:rPr>
                <w:rFonts w:ascii="Arial" w:cs="Arial" w:eastAsia="Arial" w:hAnsi="Arial"/>
                <w:sz w:val="18"/>
                <w:szCs w:val="18"/>
                <w:color w:val="auto"/>
                <w:vertAlign w:val="superscript"/>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55,088</w:t>
            </w:r>
          </w:p>
        </w:tc>
        <w:tc>
          <w:tcPr>
            <w:tcW w:w="960" w:type="dxa"/>
            <w:vAlign w:val="bottom"/>
            <w:gridSpan w:val="4"/>
          </w:tcPr>
          <w:p>
            <w:pPr>
              <w:jc w:val="right"/>
              <w:spacing w:after="0" w:line="162" w:lineRule="exact"/>
              <w:rPr>
                <w:sz w:val="20"/>
                <w:szCs w:val="20"/>
                <w:color w:val="auto"/>
              </w:rPr>
            </w:pPr>
            <w:r>
              <w:rPr>
                <w:rFonts w:ascii="Arial" w:cs="Arial" w:eastAsia="Arial" w:hAnsi="Arial"/>
                <w:sz w:val="10"/>
                <w:szCs w:val="10"/>
                <w:color w:val="auto"/>
              </w:rPr>
              <w:t>3.04</w:t>
            </w:r>
            <w:r>
              <w:rPr>
                <w:rFonts w:ascii="Arial" w:cs="Arial" w:eastAsia="Arial" w:hAnsi="Arial"/>
                <w:sz w:val="18"/>
                <w:szCs w:val="18"/>
                <w:color w:val="auto"/>
                <w:vertAlign w:val="superscript"/>
              </w:rPr>
              <w:t>%</w:t>
            </w:r>
            <w:r>
              <w:rPr>
                <w:rFonts w:ascii="Arial" w:cs="Arial" w:eastAsia="Arial" w:hAnsi="Arial"/>
                <w:sz w:val="10"/>
                <w:szCs w:val="10"/>
                <w:color w:val="auto"/>
              </w:rPr>
              <w:t xml:space="preserve"> $</w:t>
            </w:r>
          </w:p>
        </w:tc>
        <w:tc>
          <w:tcPr>
            <w:tcW w:w="760" w:type="dxa"/>
            <w:vAlign w:val="bottom"/>
            <w:gridSpan w:val="2"/>
          </w:tcPr>
          <w:p>
            <w:pPr>
              <w:jc w:val="right"/>
              <w:ind w:right="97"/>
              <w:spacing w:after="0"/>
              <w:rPr>
                <w:sz w:val="20"/>
                <w:szCs w:val="20"/>
                <w:color w:val="auto"/>
              </w:rPr>
            </w:pPr>
            <w:r>
              <w:rPr>
                <w:rFonts w:ascii="Arial" w:cs="Arial" w:eastAsia="Arial" w:hAnsi="Arial"/>
                <w:sz w:val="13"/>
                <w:szCs w:val="13"/>
                <w:color w:val="auto"/>
              </w:rPr>
              <w:t>10,771</w:t>
            </w:r>
          </w:p>
        </w:tc>
        <w:tc>
          <w:tcPr>
            <w:tcW w:w="60" w:type="dxa"/>
            <w:vAlign w:val="bottom"/>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1,286</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gridSpan w:val="2"/>
          </w:tcPr>
          <w:p>
            <w:pPr>
              <w:jc w:val="right"/>
              <w:ind w:right="20"/>
              <w:spacing w:after="0"/>
              <w:rPr>
                <w:sz w:val="20"/>
                <w:szCs w:val="20"/>
                <w:color w:val="auto"/>
              </w:rPr>
            </w:pPr>
            <w:r>
              <w:rPr>
                <w:rFonts w:ascii="Arial" w:cs="Arial" w:eastAsia="Arial" w:hAnsi="Arial"/>
                <w:sz w:val="13"/>
                <w:szCs w:val="13"/>
                <w:color w:val="auto"/>
              </w:rPr>
              <w:t>12,057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On a tax-equivalent basis assuming a federal income tax rate of 35%.</w:t>
      </w:r>
    </w:p>
    <w:p>
      <w:pPr>
        <w:ind w:left="340" w:hanging="332"/>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Non-accrual loans have been included in average loans.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Average balance sheets and interest rates were impacted by the April 30, 2016 Pulaski acquisition. Total average interest-earning assets increased $1.0 billion, or 27.5%, to $4.7 billion for the three month period ended June 30, 2016, as compared to $3.7 billion for the same period in 2015. Total average interest-earning assets increased $525.9 million, or 14.4%, to $4.2 billion for the six month period ended June 30, 2016, as compared to $3.7 billion for the same period in 2015.</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Total average interest-bearing liability balances increased $800.0 million, or 29.3%, to $3.5 billion for the three month period ended June 30, 2016, as compared to $2.7 billion for the same period in 2015. Total average interest-bearing liability balances increased $400.0 million, or 14.6%, to $3.1 billion for the six month period ended June 30, 2016, as compared to $2.7 billion for the same period in 2015.</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Net interest income, on a tax-equivalent basis, increased $10.8 million for the three month period ended June 30, 2016, as compared to the same period of 2015. Pulaski contributed $10.4 million to the three month period ended June 30, 2016 inclusive of purchase accounting accretion and amortization of $1.7 million. Net interest income, on a tax-equivalent basis, increased $12.1 million for the six month period ended June 30, 2016, as compared to the same period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margin</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Net interest margin, our net interest income expressed as a percentage of average earning assets stated on a tax-equivalent basis, increased to 3.32% for the three month period ended June 30, 2016, compared to 3.05% for the same period in 2015. Net interest margin increased to 3.23% for the six month period ended June 30, 2016 compared to 3.04% for the same period in 2015. Net of purchase accounting accretion and amortization related to the Pulaski acquisition, the net interest margin for the three month period ended June 30, 2016 was 3.18% and 3.15% for the six month period ended June 30, 2016.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2016 and 2015 are as follows:</w:t>
      </w:r>
    </w:p>
    <w:p>
      <w:pPr>
        <w:spacing w:after="0" w:line="217" w:lineRule="exact"/>
        <w:rPr>
          <w:sz w:val="20"/>
          <w:szCs w:val="20"/>
          <w:color w:val="auto"/>
        </w:rPr>
      </w:pPr>
    </w:p>
    <w:tbl>
      <w:tblPr>
        <w:tblLayout w:type="fixed"/>
        <w:tblInd w:w="2600" w:type="dxa"/>
        <w:tblCellMar>
          <w:top w:w="0" w:type="dxa"/>
          <w:left w:w="0" w:type="dxa"/>
          <w:bottom w:w="0" w:type="dxa"/>
          <w:right w:w="0" w:type="dxa"/>
        </w:tblCellMar>
      </w:tblPr>
      <w:tr>
        <w:trPr>
          <w:trHeight w:val="171"/>
        </w:trPr>
        <w:tc>
          <w:tcPr>
            <w:tcW w:w="2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4"/>
                <w:szCs w:val="14"/>
                <w:color w:val="auto"/>
              </w:rPr>
            </w:pP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3.03%</w:t>
            </w: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3.32%</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3.05%</w:t>
            </w: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w:t>
            </w: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3.23%</w:t>
            </w:r>
          </w:p>
        </w:tc>
      </w:tr>
    </w:tbl>
    <w:p>
      <w:pPr>
        <w:sectPr>
          <w:pgSz w:w="11900" w:h="16838" w:orient="portrait"/>
          <w:cols w:equalWidth="0" w:num="1">
            <w:col w:w="11420"/>
          </w:cols>
          <w:pgMar w:left="240" w:top="341" w:right="239" w:bottom="0" w:gutter="0" w:footer="0" w:header="0"/>
        </w:sectPr>
      </w:pPr>
    </w:p>
    <w:bookmarkStart w:id="30" w:name="page31"/>
    <w:bookmarkEnd w:id="30"/>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net interest spread, which represents the difference between the average rate earned on earning assets and the average rate paid on interest-bearing liabilities, also on a tax-equivalent basis, was 3.26% for the three month period ended June 30, 2016, compared to 2.99% for the same period in 2015 and was 3.16% for the six month period ended June 30, 2016, compared to 2.98% for the same period in 2015.</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 Please refer to the Notes to Consolidated Financial Statements in the Company’s Annual Report on Form 10-K for the year ended December 31, 2015 for accounting policies underlying the recognition of interest income and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8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jc w:val="right"/>
              <w:ind w:right="31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860" w:type="dxa"/>
            <w:vAlign w:val="bottom"/>
          </w:tcPr>
          <w:p>
            <w:pPr>
              <w:jc w:val="right"/>
              <w:ind w:right="27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Commissions and brokers’</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fees, net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1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1,603</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(248)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Service charges on deposit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180"/>
              <w:spacing w:after="0"/>
              <w:rPr>
                <w:sz w:val="20"/>
                <w:szCs w:val="20"/>
                <w:color w:val="auto"/>
              </w:rPr>
            </w:pPr>
            <w:r>
              <w:rPr>
                <w:rFonts w:ascii="Arial" w:cs="Arial" w:eastAsia="Arial" w:hAnsi="Arial"/>
                <w:sz w:val="18"/>
                <w:szCs w:val="18"/>
                <w:color w:val="auto"/>
              </w:rPr>
              <w:t>accounts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3,919</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823</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7,044</w:t>
            </w:r>
          </w:p>
        </w:tc>
        <w:tc>
          <w:tcPr>
            <w:tcW w:w="18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5,980</w:t>
            </w:r>
          </w:p>
        </w:tc>
        <w:tc>
          <w:tcPr>
            <w:tcW w:w="16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1,064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w w:val="91"/>
              </w:rPr>
              <w:t>Other service charges and fees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1,954</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1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3,535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Gain on sales of loans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3,205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1,337</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71.6%</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3,604</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3,294</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Security (losses) gains,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340" w:type="dxa"/>
            <w:vAlign w:val="bottom"/>
            <w:gridSpan w:val="3"/>
            <w:shd w:val="clear" w:color="auto" w:fill="CCEEFF"/>
          </w:tcPr>
          <w:p>
            <w:pPr>
              <w:jc w:val="right"/>
              <w:ind w:right="385"/>
              <w:spacing w:after="0"/>
              <w:rPr>
                <w:sz w:val="20"/>
                <w:szCs w:val="20"/>
                <w:color w:val="auto"/>
              </w:rPr>
            </w:pPr>
            <w:r>
              <w:rPr>
                <w:rFonts w:ascii="Arial" w:cs="Arial" w:eastAsia="Arial" w:hAnsi="Arial"/>
                <w:sz w:val="18"/>
                <w:szCs w:val="18"/>
                <w:color w:val="auto"/>
              </w:rPr>
              <w:t>NM</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1,240</w:t>
            </w:r>
          </w:p>
        </w:tc>
        <w:tc>
          <w:tcPr>
            <w:tcW w:w="114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785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1,043</w:t>
            </w:r>
          </w:p>
        </w:tc>
        <w:tc>
          <w:tcPr>
            <w:tcW w:w="1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2,319</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2,145</w:t>
            </w:r>
          </w:p>
        </w:tc>
        <w:tc>
          <w:tcPr>
            <w:tcW w:w="1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not meaningful</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Total non-interest income of $18.6 million for the three month period ended June 30, 2016 increased by 11.8% as compared to $16.6 million for the same period in 2015, which was inclusive of Pulaski since the transaction closed on April 30, 2016. Total non-interest income of $35.4 million for the six month period ended June 30, 2016 increased by 8.7% as compared to $32.6 million for the same period in 2015.</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Combined Wealth Management revenue, consisting of trust fees and commissions and brokers’ fees, net, decreased to $5.7 million for the second quarter of 2016 compared to $6.0 million for the same period in 2015, due in part to market influences. Combined Wealth Management revenue, consisting of trust fees and commissions and brokers’ fees, net, decreased to $11.9 million for the six months ended June 30, 2016 compared to $12.4 million for the six months ended June 30, 2015. As Pulaski had no legacy fee income in these businesses, the addition of these service offerings in their markets should provide attractive growth opportunities.</w:t>
      </w:r>
    </w:p>
    <w:p>
      <w:pPr>
        <w:spacing w:after="0" w:line="1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Remittance processing revenue of $2.8 million for the three months ended June 30, 2016 decreased $0.2 million compared to $3.0 million for the same period of 2015. Remittance processing revenue increased to $5.8 million, up 5.1%, for the six months ended June 30, 2016 compared to $5.5 million for the six months ended June 30, 2015. Remittance processing adds important diversity to our revenue stream while widening our array of service offerings to larger commercial clients within our footprint and nationally.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$5.9 million for the three month period ended June 30, 2016 as compared to $4.8 million for the same period of 2015 and increased to $10.6 million for the six month period ended June 30, 2016 compared to $9.2 million for the same period of 2015. Evolving regulation, product changes and changing behaviors by our client base may impact the revenue derived from charges on deposit accounts.</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Gain on sales of loans increased to $3.2 million for the three month period ended June 30, 2016 compared to $1.9 million for the same period of 2015 and increased to $3.6 million for the six month period ended June 30, 2016 compared to $3.3 million for the same period of 2015. The Company has historically held a leading residential loan market position in its primary markets in Central Illinois, while Pulaski has been a leading residential mortgage loan producer in the Midwest, primarily through offices in the St. Louis, Kansas City, Chicago and Omaha-Council Bluffs metropolitan areas, with origination capabilities in other markets through its internet-based Consumer Direct channel. These positions, combined with strong loan demand fueled by the improved housing market and continued low interest rates resulted in the increases for the three and six month periods in gain on sales of loans.</w:t>
      </w:r>
    </w:p>
    <w:p>
      <w:pPr>
        <w:spacing w:after="0" w:line="1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Security gains, net increased for the three and six month periods ended June 30, 2016 compared to the same period of 2015. The increase for the six month period was primarily related to a first quarter strategic bond trade that repositioned the investment portfolio to maintain future net interest margin strength and simultaneously elevated the current economic value to shareholders through non-interest income. The Company sold $31.1 million of seasoned To-Be-Announced eligible residential mortgage-backed securities to take advantage of a price floor phenomenon, with related gains of $1.1 million on the sale. The sales proceeds were reinvested within normal investment parameters at similar yields to the securities sold.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Other income decreased for the three months ended June 30, 2016 compared to the same period of 2015 as the result of a non-recurring loss in private equity investments of $0.6 million in 2016. Other income increased for the six months ended June 30, 2016 compared to the same period of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82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840"/>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vMerge w:val="restart"/>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1260" w:type="dxa"/>
            <w:vAlign w:val="bottom"/>
            <w:gridSpan w:val="3"/>
          </w:tcPr>
          <w:p>
            <w:pPr>
              <w:jc w:val="right"/>
              <w:ind w:right="30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80" w:type="dxa"/>
            <w:vAlign w:val="bottom"/>
          </w:tcPr>
          <w:p>
            <w:pPr>
              <w:jc w:val="right"/>
              <w:ind w:right="291"/>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6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0"/>
                <w:szCs w:val="10"/>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2015</w:t>
            </w:r>
          </w:p>
        </w:tc>
        <w:tc>
          <w:tcPr>
            <w:tcW w:w="1280" w:type="dxa"/>
            <w:vAlign w:val="bottom"/>
            <w:gridSpan w:val="3"/>
          </w:tcPr>
          <w:p>
            <w:pPr>
              <w:jc w:val="right"/>
              <w:ind w:right="328"/>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880" w:type="dxa"/>
            <w:vAlign w:val="bottom"/>
          </w:tcPr>
          <w:p>
            <w:pPr>
              <w:jc w:val="right"/>
              <w:ind w:right="291"/>
              <w:spacing w:after="0" w:line="119" w:lineRule="exact"/>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31" w:name="page32"/>
    <w:bookmarkEnd w:id="3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4"/>
                <w:szCs w:val="14"/>
                <w:color w:val="auto"/>
              </w:rPr>
              <w:t>Compensation expense:</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Salaries and wages</w:t>
            </w:r>
          </w:p>
        </w:tc>
        <w:tc>
          <w:tcPr>
            <w:tcW w:w="40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14,507</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13,310</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1,197</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9.0%</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26,906</w:t>
            </w:r>
          </w:p>
        </w:tc>
        <w:tc>
          <w:tcPr>
            <w:tcW w:w="280" w:type="dxa"/>
            <w:vAlign w:val="bottom"/>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27,816</w:t>
            </w: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benefits</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3,986</w:t>
            </w:r>
          </w:p>
        </w:tc>
        <w:tc>
          <w:tcPr>
            <w:tcW w:w="2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2,520</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1,466</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58.2%</w:t>
            </w:r>
          </w:p>
        </w:tc>
        <w:tc>
          <w:tcPr>
            <w:tcW w:w="2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6,953</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4,863</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2,090</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340"/>
              <w:spacing w:after="0"/>
              <w:rPr>
                <w:sz w:val="20"/>
                <w:szCs w:val="20"/>
                <w:color w:val="auto"/>
              </w:rPr>
            </w:pPr>
            <w:r>
              <w:rPr>
                <w:rFonts w:ascii="Arial" w:cs="Arial" w:eastAsia="Arial" w:hAnsi="Arial"/>
                <w:sz w:val="14"/>
                <w:szCs w:val="14"/>
                <w:color w:val="auto"/>
              </w:rPr>
              <w:t>Total compensation expense</w:t>
            </w:r>
          </w:p>
        </w:tc>
        <w:tc>
          <w:tcPr>
            <w:tcW w:w="1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18,493</w:t>
            </w:r>
          </w:p>
        </w:tc>
        <w:tc>
          <w:tcPr>
            <w:tcW w:w="200" w:type="dxa"/>
            <w:vAlign w:val="bottom"/>
            <w:vMerge w:val="continue"/>
          </w:tcPr>
          <w:p>
            <w:pPr>
              <w:spacing w:after="0"/>
              <w:rPr>
                <w:sz w:val="12"/>
                <w:szCs w:val="12"/>
                <w:color w:val="auto"/>
              </w:rPr>
            </w:pPr>
          </w:p>
        </w:tc>
        <w:tc>
          <w:tcPr>
            <w:tcW w:w="260" w:type="dxa"/>
            <w:vAlign w:val="bottom"/>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15,830</w:t>
            </w:r>
          </w:p>
        </w:tc>
        <w:tc>
          <w:tcPr>
            <w:tcW w:w="200" w:type="dxa"/>
            <w:vAlign w:val="bottom"/>
            <w:vMerge w:val="continue"/>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tcPr>
          <w:p>
            <w:pPr>
              <w:ind w:left="220"/>
              <w:spacing w:after="0" w:line="142" w:lineRule="exact"/>
              <w:rPr>
                <w:sz w:val="20"/>
                <w:szCs w:val="20"/>
                <w:color w:val="auto"/>
              </w:rPr>
            </w:pPr>
            <w:r>
              <w:rPr>
                <w:rFonts w:ascii="Arial" w:cs="Arial" w:eastAsia="Arial" w:hAnsi="Arial"/>
                <w:sz w:val="14"/>
                <w:szCs w:val="14"/>
                <w:color w:val="auto"/>
                <w:w w:val="85"/>
              </w:rPr>
              <w:t>2,663</w:t>
            </w:r>
          </w:p>
        </w:tc>
        <w:tc>
          <w:tcPr>
            <w:tcW w:w="200" w:type="dxa"/>
            <w:vAlign w:val="bottom"/>
            <w:vMerge w:val="continue"/>
          </w:tcPr>
          <w:p>
            <w:pPr>
              <w:spacing w:after="0"/>
              <w:rPr>
                <w:sz w:val="12"/>
                <w:szCs w:val="12"/>
                <w:color w:val="auto"/>
              </w:rPr>
            </w:pPr>
          </w:p>
        </w:tc>
        <w:tc>
          <w:tcPr>
            <w:tcW w:w="10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16.8%</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33,859</w:t>
            </w:r>
          </w:p>
        </w:tc>
        <w:tc>
          <w:tcPr>
            <w:tcW w:w="200" w:type="dxa"/>
            <w:vAlign w:val="bottom"/>
            <w:vMerge w:val="continue"/>
          </w:tcPr>
          <w:p>
            <w:pPr>
              <w:spacing w:after="0"/>
              <w:rPr>
                <w:sz w:val="12"/>
                <w:szCs w:val="12"/>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32,679</w:t>
            </w:r>
          </w:p>
        </w:tc>
        <w:tc>
          <w:tcPr>
            <w:tcW w:w="220" w:type="dxa"/>
            <w:vAlign w:val="bottom"/>
            <w:vMerge w:val="continue"/>
          </w:tcPr>
          <w:p>
            <w:pPr>
              <w:spacing w:after="0"/>
              <w:rPr>
                <w:sz w:val="12"/>
                <w:szCs w:val="12"/>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1,180</w:t>
            </w:r>
          </w:p>
        </w:tc>
        <w:tc>
          <w:tcPr>
            <w:tcW w:w="200" w:type="dxa"/>
            <w:vAlign w:val="bottom"/>
            <w:vMerge w:val="continue"/>
          </w:tcPr>
          <w:p>
            <w:pPr>
              <w:spacing w:after="0"/>
              <w:rPr>
                <w:sz w:val="12"/>
                <w:szCs w:val="12"/>
                <w:color w:val="auto"/>
              </w:rPr>
            </w:pPr>
          </w:p>
        </w:tc>
        <w:tc>
          <w:tcPr>
            <w:tcW w:w="11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Net occupancy expense of premises</w:t>
            </w: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2,732</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2,161</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340"/>
              <w:spacing w:after="0" w:line="142" w:lineRule="exact"/>
              <w:rPr>
                <w:sz w:val="20"/>
                <w:szCs w:val="20"/>
                <w:color w:val="auto"/>
              </w:rPr>
            </w:pPr>
            <w:r>
              <w:rPr>
                <w:rFonts w:ascii="Arial" w:cs="Arial" w:eastAsia="Arial" w:hAnsi="Arial"/>
                <w:sz w:val="14"/>
                <w:szCs w:val="14"/>
                <w:color w:val="auto"/>
                <w:w w:val="76"/>
              </w:rPr>
              <w:t>571</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26.4%</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4,899</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4,406</w:t>
            </w:r>
          </w:p>
        </w:tc>
        <w:tc>
          <w:tcPr>
            <w:tcW w:w="22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493</w:t>
            </w:r>
          </w:p>
        </w:tc>
        <w:tc>
          <w:tcPr>
            <w:tcW w:w="20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Furniture and equipment expenses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1,644</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1,283</w:t>
            </w:r>
          </w:p>
        </w:tc>
        <w:tc>
          <w:tcPr>
            <w:tcW w:w="30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361</w:t>
            </w: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28.1%</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2,728</w:t>
            </w: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2,474</w:t>
            </w:r>
          </w:p>
        </w:tc>
        <w:tc>
          <w:tcPr>
            <w:tcW w:w="3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254</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Data processing</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5,015</w:t>
            </w:r>
          </w:p>
        </w:tc>
        <w:tc>
          <w:tcPr>
            <w:tcW w:w="2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3,212</w:t>
            </w: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1,803</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56.1%</w:t>
            </w:r>
          </w:p>
        </w:tc>
        <w:tc>
          <w:tcPr>
            <w:tcW w:w="2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8,247</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6,761</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1,486</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Amortization of intangible assets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1,109</w:t>
            </w:r>
          </w:p>
        </w:tc>
        <w:tc>
          <w:tcPr>
            <w:tcW w:w="2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808</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301</w:t>
            </w:r>
          </w:p>
        </w:tc>
        <w:tc>
          <w:tcPr>
            <w:tcW w:w="200" w:type="dxa"/>
            <w:vAlign w:val="bottom"/>
          </w:tcPr>
          <w:p>
            <w:pPr>
              <w:spacing w:after="0"/>
              <w:rPr>
                <w:sz w:val="12"/>
                <w:szCs w:val="12"/>
                <w:color w:val="auto"/>
              </w:rPr>
            </w:pP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37.3%</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1,875</w:t>
            </w: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1,577</w:t>
            </w:r>
          </w:p>
        </w:tc>
        <w:tc>
          <w:tcPr>
            <w:tcW w:w="3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298</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Regulatory expense</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w:t>
            </w:r>
          </w:p>
        </w:tc>
        <w:tc>
          <w:tcPr>
            <w:tcW w:w="2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w:t>
            </w: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324</w:t>
            </w:r>
          </w:p>
        </w:tc>
        <w:tc>
          <w:tcPr>
            <w:tcW w:w="2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w:t>
            </w:r>
          </w:p>
        </w:tc>
        <w:tc>
          <w:tcPr>
            <w:tcW w:w="260" w:type="dxa"/>
            <w:vAlign w:val="bottom"/>
            <w:shd w:val="clear" w:color="auto" w:fill="CCEEFF"/>
          </w:tcPr>
          <w:p>
            <w:pPr>
              <w:spacing w:after="0"/>
              <w:rPr>
                <w:sz w:val="12"/>
                <w:szCs w:val="12"/>
                <w:color w:val="auto"/>
              </w:rPr>
            </w:pP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1,472</w:t>
            </w:r>
          </w:p>
        </w:tc>
        <w:tc>
          <w:tcPr>
            <w:tcW w:w="2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1,203</w:t>
            </w:r>
          </w:p>
        </w:tc>
        <w:tc>
          <w:tcPr>
            <w:tcW w:w="3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269</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Other expense</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6,471</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4,591</w:t>
            </w:r>
          </w:p>
        </w:tc>
        <w:tc>
          <w:tcPr>
            <w:tcW w:w="300" w:type="dxa"/>
            <w:vAlign w:val="bottom"/>
          </w:tcPr>
          <w:p>
            <w:pPr>
              <w:spacing w:after="0"/>
              <w:rPr>
                <w:sz w:val="12"/>
                <w:szCs w:val="12"/>
                <w:color w:val="auto"/>
              </w:rPr>
            </w:pPr>
          </w:p>
        </w:tc>
        <w:tc>
          <w:tcPr>
            <w:tcW w:w="74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1,880</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40.9%</w:t>
            </w:r>
          </w:p>
        </w:tc>
        <w:tc>
          <w:tcPr>
            <w:tcW w:w="2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10,956</w:t>
            </w:r>
          </w:p>
        </w:tc>
        <w:tc>
          <w:tcPr>
            <w:tcW w:w="2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9,892</w:t>
            </w:r>
          </w:p>
        </w:tc>
        <w:tc>
          <w:tcPr>
            <w:tcW w:w="3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1,064</w:t>
            </w:r>
          </w:p>
        </w:tc>
        <w:tc>
          <w:tcPr>
            <w:tcW w:w="11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shd w:val="clear" w:color="auto" w:fill="CCEEFF"/>
          </w:tcPr>
          <w:p>
            <w:pPr>
              <w:ind w:left="160"/>
              <w:spacing w:after="0"/>
              <w:rPr>
                <w:sz w:val="20"/>
                <w:szCs w:val="20"/>
                <w:color w:val="auto"/>
              </w:rPr>
            </w:pPr>
            <w:r>
              <w:rPr>
                <w:rFonts w:ascii="Arial" w:cs="Arial" w:eastAsia="Arial" w:hAnsi="Arial"/>
                <w:sz w:val="14"/>
                <w:szCs w:val="14"/>
                <w:color w:val="auto"/>
              </w:rPr>
              <w:t>Total non-interest expense</w:t>
            </w:r>
          </w:p>
        </w:tc>
        <w:tc>
          <w:tcPr>
            <w:tcW w:w="12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vMerge w:val="continue"/>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36,348</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260" w:type="dxa"/>
            <w:vAlign w:val="bottom"/>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28,445</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w w:val="85"/>
              </w:rPr>
              <w:t>7,903</w:t>
            </w:r>
          </w:p>
        </w:tc>
        <w:tc>
          <w:tcPr>
            <w:tcW w:w="200" w:type="dxa"/>
            <w:vAlign w:val="bottom"/>
            <w:vMerge w:val="continue"/>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27.8%</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64,036</w:t>
            </w: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280" w:type="dxa"/>
            <w:vAlign w:val="bottom"/>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58,992</w:t>
            </w:r>
          </w:p>
        </w:tc>
        <w:tc>
          <w:tcPr>
            <w:tcW w:w="22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5,044</w:t>
            </w:r>
          </w:p>
        </w:tc>
        <w:tc>
          <w:tcPr>
            <w:tcW w:w="200" w:type="dxa"/>
            <w:vAlign w:val="bottom"/>
            <w:vMerge w:val="continue"/>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taxes</w:t>
            </w:r>
          </w:p>
        </w:tc>
        <w:tc>
          <w:tcPr>
            <w:tcW w:w="40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6,698</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5,593</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1,105</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8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12,364</w:t>
            </w:r>
          </w:p>
        </w:tc>
        <w:tc>
          <w:tcPr>
            <w:tcW w:w="2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9,420</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2,944</w:t>
            </w:r>
          </w:p>
        </w:tc>
        <w:tc>
          <w:tcPr>
            <w:tcW w:w="11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Effective rate on income taxes</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35.1%</w:t>
            </w:r>
          </w:p>
        </w:tc>
        <w:tc>
          <w:tcPr>
            <w:tcW w:w="2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36.0%</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35.1%</w:t>
            </w:r>
          </w:p>
        </w:tc>
        <w:tc>
          <w:tcPr>
            <w:tcW w:w="2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34.7%</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600" w:type="dxa"/>
            <w:vAlign w:val="bottom"/>
          </w:tcPr>
          <w:p>
            <w:pPr>
              <w:ind w:left="520"/>
              <w:spacing w:after="0" w:line="149" w:lineRule="exact"/>
              <w:rPr>
                <w:sz w:val="20"/>
                <w:szCs w:val="20"/>
                <w:color w:val="auto"/>
              </w:rPr>
            </w:pPr>
            <w:r>
              <w:rPr>
                <w:rFonts w:ascii="Arial" w:cs="Arial" w:eastAsia="Arial" w:hAnsi="Arial"/>
                <w:sz w:val="14"/>
                <w:szCs w:val="14"/>
                <w:color w:val="auto"/>
              </w:rPr>
              <w:t>Efficiency ratio</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61.7%</w:t>
            </w:r>
          </w:p>
        </w:tc>
        <w:tc>
          <w:tcPr>
            <w:tcW w:w="260" w:type="dxa"/>
            <w:vAlign w:val="bottom"/>
          </w:tcPr>
          <w:p>
            <w:pPr>
              <w:spacing w:after="0"/>
              <w:rPr>
                <w:sz w:val="16"/>
                <w:szCs w:val="16"/>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62.1%</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61.3%</w:t>
            </w:r>
          </w:p>
        </w:tc>
        <w:tc>
          <w:tcPr>
            <w:tcW w:w="280" w:type="dxa"/>
            <w:vAlign w:val="bottom"/>
          </w:tcPr>
          <w:p>
            <w:pPr>
              <w:spacing w:after="0"/>
              <w:rPr>
                <w:sz w:val="16"/>
                <w:szCs w:val="16"/>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65.5%</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2600" w:type="dxa"/>
            <w:vAlign w:val="bottom"/>
            <w:tcBorders>
              <w:top w:val="single" w:sz="8" w:color="CCEEFF"/>
            </w:tcBorders>
            <w:shd w:val="clear" w:color="auto" w:fill="CCEEFF"/>
          </w:tcPr>
          <w:p>
            <w:pPr>
              <w:spacing w:after="0" w:line="84" w:lineRule="exact"/>
              <w:rPr>
                <w:sz w:val="20"/>
                <w:szCs w:val="20"/>
                <w:color w:val="auto"/>
              </w:rPr>
            </w:pPr>
            <w:r>
              <w:rPr>
                <w:rFonts w:ascii="Arial" w:cs="Arial" w:eastAsia="Arial" w:hAnsi="Arial"/>
                <w:sz w:val="9"/>
                <w:szCs w:val="9"/>
                <w:color w:val="auto"/>
              </w:rPr>
              <w:t>Full-time equivalent employees (“FTE”) as</w:t>
            </w:r>
          </w:p>
        </w:tc>
        <w:tc>
          <w:tcPr>
            <w:tcW w:w="1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200" w:type="dxa"/>
            <w:vAlign w:val="bottom"/>
            <w:tcBorders>
              <w:top w:val="single" w:sz="8" w:color="CCEEFF"/>
              <w:right w:val="single" w:sz="8" w:color="CCEEFF"/>
            </w:tcBorders>
            <w:shd w:val="clear" w:color="auto" w:fill="CCEEFF"/>
          </w:tcPr>
          <w:p>
            <w:pPr>
              <w:spacing w:after="0"/>
              <w:rPr>
                <w:sz w:val="7"/>
                <w:szCs w:val="7"/>
                <w:color w:val="auto"/>
              </w:rPr>
            </w:pPr>
          </w:p>
        </w:tc>
        <w:tc>
          <w:tcPr>
            <w:tcW w:w="280" w:type="dxa"/>
            <w:vAlign w:val="bottom"/>
            <w:tcBorders>
              <w:top w:val="single" w:sz="8" w:color="auto"/>
            </w:tcBorders>
            <w:shd w:val="clear" w:color="auto" w:fill="CCEEFF"/>
          </w:tcPr>
          <w:p>
            <w:pPr>
              <w:spacing w:after="0"/>
              <w:rPr>
                <w:sz w:val="7"/>
                <w:szCs w:val="7"/>
                <w:color w:val="auto"/>
              </w:rPr>
            </w:pPr>
          </w:p>
        </w:tc>
        <w:tc>
          <w:tcPr>
            <w:tcW w:w="58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56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period-end</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1,326</w:t>
            </w: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804</w:t>
            </w:r>
          </w:p>
        </w:tc>
        <w:tc>
          <w:tcPr>
            <w:tcW w:w="20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Total non-interest expense of $36.3 million for the three month period ended June 30, 2016 increased by $7.9 million as compared to $28.4 million for the same period in 2015. Total non-interest expense of $64.0 million for the six month period ended June 30, 2016 increased by $5.0 million as compared to $59.0 million for the same period in 2015. Non-recurring expenses related to the Pulaski acquisition impacted the second quarter of 2016 while the Herget Financial acquisition impacted the first quarter of 2015. During the six month period ended June 30, 2016, the Company incurred $2.3 million of expenses related to the Pulaski acquisition, comprised primarily of data processing, legal and consulting costs. During the six month period ended June 30, 2015, the Company incurred $1.0 million of expenses related to the Herget Financial acquisition, comprised primarily of data processing, restructuring, legal, consulting and marketing costs. Non-recurring expenses relating to the integration of Pulaski may have a negative impact on expenses for the remainder of 2016.</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Total compensation expense of $18.5 million increased $2.7 million for the three month period ended June 30, 2016 as compared to the same period in 2015 and increased $1.2 million to $33.9 million for the six month period ended June 30, 2016 as compared to the same period in 2015. The FTE increased to 1,326 at June 30, 2016, which included 533 FTE from Pulaski. Beginning on January 1, 2016, the Company adopted a conforming approach to the accounting for loan fees and costs for mortgage loans held for sale, which reclassifies related compensation expense from salary and wages to gain on sales of loans.</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Combined net occupancy expense of premises and furniture and equipment expenses of $4.4 for the three month period ended June 30, 2016, increased compared to the same period in 2015. Combined net occupancy expense of premises and furniture and equipment expenses of $7.6 for the six month period ended June 30, 2016, increased compared to the same period in 2015. Pulaski adds thirteen full-service branches and several loan production offices. We continue to evaluate our branch network and operations for appropriate cost control measures while seeking improvements in service delivery to our customers.</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Data processing expense for the three month period ended June 30, 2016 of $5.0 million increased from $3.2 million for the same period of 2015 and data processing expense for the six month period ended June 30, 2016 of $8.2 million increased from $6.8 million for the same period of 2015. The 2016 increase was due to additional Pulaski operating data processing expense and non-recurring software conversion expenses of $1.2 million related to the acquisition. The six month period ended June 30, 2015 included $0.7 million of non-recurring software conversion expenses related to Herget Financial. The 2016 data processing expense increase was also related to supporting new sources of remittance processing revenue growth.</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Amortization of intangible assets increased for the three and six month periods ended June 30, 2016, as compared to the same period in 2015 as a result of the Pulaski acquisition.</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Regulatory expense increased 57.9% for the three month period ended June 30, 2016, as compared to the same period in 2015 and increased 22.4% for the six month period ended June 30, 2016, as compared to the same period in 2015 primarily as a result of the Pulaski acquisition.</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expense of $6.5 million for the three month period ended June 30, 2016 increased $1.9 million as compared to the same period in 2015. Other expense of $11.0 million for the six month period ended June 30, 2016 increased $1.1 million as compared to the same period in 2015. The 2016 expense includes Pulaski acquisition related expenses of $1.1 million, primarily consisting of legal and consulting costs, offset by a $0.7 million cost for premises impairments in the first quarter of 2015.</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effective rate on income taxes, or income taxes divided by income before taxes, of 35.1% for the three and six months ended June 30, 2016,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The Company continues to monitor evolving state tax legislation and its potential impact on operations on an ongoing basis.</w:t>
      </w:r>
    </w:p>
    <w:p>
      <w:pPr>
        <w:spacing w:after="0" w:line="15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efficiency ratio represents total non-interest expense, less amortization charges, as a percentage of tax-equivalent net interest income plus non-interest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61.7% for the three month period ended June 30, 2016 improved from 62.1% in the comparable period in 2015. The efficiency ratio for the first six months of 2016 was 61.3% compared to 65.5% for the same period of 2015. One time charges relating to the integration of Pulaski may have a negative impact on the efficiency ratio for the remainder of 2016. We will continue to examine appropriate avenues to improve efficiency, with an emphasis on revenue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jc w:val="center"/>
              <w:ind w:right="282"/>
              <w:spacing w:after="0"/>
              <w:rPr>
                <w:sz w:val="20"/>
                <w:szCs w:val="20"/>
                <w:color w:val="auto"/>
              </w:rPr>
            </w:pPr>
            <w:r>
              <w:rPr>
                <w:rFonts w:ascii="Arial" w:cs="Arial" w:eastAsia="Arial" w:hAnsi="Arial"/>
                <w:sz w:val="14"/>
                <w:szCs w:val="14"/>
                <w:b w:val="1"/>
                <w:bCs w:val="1"/>
                <w:color w:val="auto"/>
                <w:w w:val="89"/>
              </w:rPr>
              <w:t>June 30,</w:t>
            </w:r>
          </w:p>
        </w:tc>
        <w:tc>
          <w:tcPr>
            <w:tcW w:w="260" w:type="dxa"/>
            <w:vAlign w:val="bottom"/>
          </w:tcPr>
          <w:p>
            <w:pPr>
              <w:spacing w:after="0"/>
              <w:rPr>
                <w:sz w:val="13"/>
                <w:szCs w:val="13"/>
                <w:color w:val="auto"/>
              </w:rPr>
            </w:pPr>
          </w:p>
        </w:tc>
        <w:tc>
          <w:tcPr>
            <w:tcW w:w="1220" w:type="dxa"/>
            <w:vAlign w:val="bottom"/>
          </w:tcPr>
          <w:p>
            <w:pPr>
              <w:jc w:val="center"/>
              <w:ind w:right="184"/>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3"/>
                <w:szCs w:val="13"/>
                <w:color w:val="auto"/>
              </w:rPr>
            </w:pPr>
          </w:p>
        </w:tc>
        <w:tc>
          <w:tcPr>
            <w:tcW w:w="1340" w:type="dxa"/>
            <w:vAlign w:val="bottom"/>
            <w:vMerge w:val="restart"/>
          </w:tcPr>
          <w:p>
            <w:pPr>
              <w:jc w:val="right"/>
              <w:ind w:right="559"/>
              <w:spacing w:after="0"/>
              <w:rPr>
                <w:sz w:val="20"/>
                <w:szCs w:val="20"/>
                <w:color w:val="auto"/>
              </w:rPr>
            </w:pPr>
            <w:r>
              <w:rPr>
                <w:rFonts w:ascii="Arial" w:cs="Arial" w:eastAsia="Arial" w:hAnsi="Arial"/>
                <w:sz w:val="14"/>
                <w:szCs w:val="14"/>
                <w:b w:val="1"/>
                <w:bCs w:val="1"/>
                <w:color w:val="auto"/>
              </w:rPr>
              <w:t>$ Change</w:t>
            </w:r>
          </w:p>
        </w:tc>
        <w:tc>
          <w:tcPr>
            <w:tcW w:w="14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220" w:type="dxa"/>
            <w:vAlign w:val="bottom"/>
          </w:tcPr>
          <w:p>
            <w:pPr>
              <w:jc w:val="right"/>
              <w:ind w:right="524"/>
              <w:spacing w:after="0"/>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900" w:type="dxa"/>
            <w:vAlign w:val="bottom"/>
            <w:tcBorders>
              <w:top w:val="single" w:sz="8" w:color="auto"/>
            </w:tcBorders>
            <w:gridSpan w:val="3"/>
          </w:tcPr>
          <w:p>
            <w:pPr>
              <w:jc w:val="right"/>
              <w:ind w:right="919"/>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62"/>
              <w:spacing w:after="0"/>
              <w:rPr>
                <w:sz w:val="20"/>
                <w:szCs w:val="20"/>
                <w:color w:val="auto"/>
              </w:rPr>
            </w:pPr>
            <w:r>
              <w:rPr>
                <w:rFonts w:ascii="Arial" w:cs="Arial" w:eastAsia="Arial" w:hAnsi="Arial"/>
                <w:sz w:val="18"/>
                <w:szCs w:val="18"/>
                <w:color w:val="auto"/>
              </w:rPr>
              <w:t>852,380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44"/>
              <w:spacing w:after="0"/>
              <w:rPr>
                <w:sz w:val="20"/>
                <w:szCs w:val="20"/>
                <w:color w:val="auto"/>
              </w:rPr>
            </w:pPr>
            <w:r>
              <w:rPr>
                <w:rFonts w:ascii="Arial" w:cs="Arial" w:eastAsia="Arial" w:hAnsi="Arial"/>
                <w:sz w:val="18"/>
                <w:szCs w:val="18"/>
                <w:color w:val="auto"/>
              </w:rPr>
              <w:t>884,670</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9"/>
              <w:spacing w:after="0"/>
              <w:rPr>
                <w:sz w:val="20"/>
                <w:szCs w:val="20"/>
                <w:color w:val="auto"/>
              </w:rPr>
            </w:pPr>
            <w:r>
              <w:rPr>
                <w:rFonts w:ascii="Arial" w:cs="Arial" w:eastAsia="Arial" w:hAnsi="Arial"/>
                <w:sz w:val="18"/>
                <w:szCs w:val="18"/>
                <w:color w:val="auto"/>
              </w:rPr>
              <w:t>(32,290)</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84"/>
        </w:trPr>
        <w:tc>
          <w:tcPr>
            <w:tcW w:w="5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4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3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420"/>
          </w:cols>
          <w:pgMar w:left="240" w:top="127" w:right="239" w:bottom="0" w:gutter="0" w:footer="0" w:header="0"/>
        </w:sectPr>
      </w:pPr>
    </w:p>
    <w:bookmarkStart w:id="32" w:name="page33"/>
    <w:bookmarkEnd w:id="3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Loans, net, including loans held for sale</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4,013,733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2,589,603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1,424,130</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5,510,199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3,998,976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1,511,223</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1,045,180</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881,685</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163,495</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3,339,329</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2,407,421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931,908</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4,384,509</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3,289,106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1,095,403</w:t>
            </w:r>
          </w:p>
        </w:tc>
        <w:tc>
          <w:tcPr>
            <w:tcW w:w="5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173,726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172,972</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754</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Short-term borrowings</w:t>
            </w:r>
          </w:p>
        </w:tc>
        <w:tc>
          <w:tcPr>
            <w:tcW w:w="3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166,200</w:t>
            </w:r>
          </w:p>
        </w:tc>
        <w:tc>
          <w:tcPr>
            <w:tcW w:w="3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166,200</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80,000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4,922,082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3,625,790</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1,296,292</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588,117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373,186</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214,931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Company’s balance sheet was significantly impacted by the Pulaski acquisition. At the date of the acquisition, the fair value of Pulaski’s total assets was $1.6 billion, including $1.4 billion in loans and $1.2 billion in deposits.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 2016</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287"/>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Florida</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left="55"/>
              <w:spacing w:after="0" w:line="142" w:lineRule="exact"/>
              <w:rPr>
                <w:sz w:val="20"/>
                <w:szCs w:val="20"/>
                <w:color w:val="auto"/>
              </w:rPr>
            </w:pPr>
            <w:r>
              <w:rPr>
                <w:rFonts w:ascii="Arial" w:cs="Arial" w:eastAsia="Arial" w:hAnsi="Arial"/>
                <w:sz w:val="14"/>
                <w:szCs w:val="14"/>
                <w:b w:val="1"/>
                <w:bCs w:val="1"/>
                <w:color w:val="auto"/>
                <w:w w:val="97"/>
              </w:rPr>
              <w:t>Indiana</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Missouri</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4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1"/>
              </w:rPr>
              <w:t>(dollars 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8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549,476</w:t>
            </w:r>
          </w:p>
        </w:tc>
        <w:tc>
          <w:tcPr>
            <w:tcW w:w="72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25,610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294,460</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886,298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880,692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159,255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138,359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445,823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1,624,129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56,354</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10,013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60"/>
              <w:spacing w:after="0"/>
              <w:rPr>
                <w:sz w:val="20"/>
                <w:szCs w:val="20"/>
                <w:color w:val="auto"/>
              </w:rPr>
            </w:pPr>
            <w:r>
              <w:rPr>
                <w:rFonts w:ascii="Arial" w:cs="Arial" w:eastAsia="Arial" w:hAnsi="Arial"/>
                <w:sz w:val="18"/>
                <w:szCs w:val="18"/>
                <w:color w:val="auto"/>
              </w:rPr>
              <w:t>34,286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74,853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175,506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Retail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512,798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5"/>
              </w:rPr>
              <w:t>106,656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5"/>
          </w:tcPr>
          <w:p>
            <w:pPr>
              <w:jc w:val="right"/>
              <w:ind w:right="260"/>
              <w:spacing w:after="0"/>
              <w:rPr>
                <w:sz w:val="20"/>
                <w:szCs w:val="20"/>
                <w:color w:val="auto"/>
              </w:rPr>
            </w:pPr>
            <w:r>
              <w:rPr>
                <w:rFonts w:ascii="Arial" w:cs="Arial" w:eastAsia="Arial" w:hAnsi="Arial"/>
                <w:sz w:val="18"/>
                <w:szCs w:val="18"/>
                <w:color w:val="auto"/>
              </w:rPr>
              <w:t>17,406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720,585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1,357,445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12,989</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gross loans</w:t>
            </w:r>
          </w:p>
        </w:tc>
        <w:tc>
          <w:tcPr>
            <w:tcW w:w="160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2,012,309</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293,480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215,661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1,537,641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4,059,091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held for sale(1)</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278,125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3,780,966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45,358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loans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3,735,608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84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700" w:type="dxa"/>
            <w:vAlign w:val="bottom"/>
            <w:gridSpan w:val="3"/>
          </w:tcPr>
          <w:p>
            <w:pPr>
              <w:jc w:val="right"/>
              <w:ind w:right="65"/>
              <w:spacing w:after="0"/>
              <w:rPr>
                <w:sz w:val="20"/>
                <w:szCs w:val="20"/>
                <w:color w:val="auto"/>
              </w:rPr>
            </w:pPr>
            <w:r>
              <w:rPr>
                <w:rFonts w:ascii="Arial" w:cs="Arial" w:eastAsia="Arial" w:hAnsi="Arial"/>
                <w:sz w:val="18"/>
                <w:szCs w:val="18"/>
                <w:color w:val="auto"/>
              </w:rPr>
              <w:t>(1)Loans held for sale are included in retail real estate.</w:t>
            </w: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5"/>
          </w:tcPr>
          <w:p>
            <w:pPr>
              <w:jc w:val="center"/>
              <w:ind w:left="55"/>
              <w:spacing w:after="0"/>
              <w:rPr>
                <w:sz w:val="20"/>
                <w:szCs w:val="20"/>
                <w:color w:val="auto"/>
              </w:rPr>
            </w:pPr>
            <w:r>
              <w:rPr>
                <w:rFonts w:ascii="Arial" w:cs="Arial" w:eastAsia="Arial" w:hAnsi="Arial"/>
                <w:sz w:val="14"/>
                <w:szCs w:val="14"/>
                <w:b w:val="1"/>
                <w:bCs w:val="1"/>
                <w:color w:val="auto"/>
                <w:w w:val="91"/>
              </w:rPr>
              <w:t>December 31, 2015</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Borders>
              <w:bottom w:val="single" w:sz="8" w:color="auto"/>
            </w:tcBorders>
            <w:gridSpan w:val="4"/>
          </w:tcPr>
          <w:p>
            <w:pPr>
              <w:jc w:val="right"/>
              <w:ind w:right="520"/>
              <w:spacing w:after="0" w:line="142" w:lineRule="exact"/>
              <w:rPr>
                <w:sz w:val="20"/>
                <w:szCs w:val="20"/>
                <w:color w:val="auto"/>
              </w:rPr>
            </w:pPr>
            <w:r>
              <w:rPr>
                <w:rFonts w:ascii="Arial" w:cs="Arial" w:eastAsia="Arial" w:hAnsi="Arial"/>
                <w:sz w:val="14"/>
                <w:szCs w:val="14"/>
                <w:b w:val="1"/>
                <w:bCs w:val="1"/>
                <w:color w:val="auto"/>
              </w:rPr>
              <w:t>Illinois</w:t>
            </w:r>
          </w:p>
        </w:tc>
        <w:tc>
          <w:tcPr>
            <w:tcW w:w="2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w w:val="98"/>
              </w:rPr>
              <w:t>Florida</w:t>
            </w:r>
          </w:p>
        </w:tc>
        <w:tc>
          <w:tcPr>
            <w:tcW w:w="1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Indiana</w:t>
            </w:r>
          </w:p>
        </w:tc>
        <w:tc>
          <w:tcPr>
            <w:tcW w:w="2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7"/>
          </w:tcPr>
          <w:p>
            <w:pPr>
              <w:jc w:val="center"/>
              <w:ind w:right="19"/>
              <w:spacing w:after="0"/>
              <w:rPr>
                <w:sz w:val="20"/>
                <w:szCs w:val="20"/>
                <w:color w:val="auto"/>
              </w:rPr>
            </w:pPr>
            <w:r>
              <w:rPr>
                <w:rFonts w:ascii="Arial" w:cs="Arial" w:eastAsia="Arial" w:hAnsi="Arial"/>
                <w:sz w:val="14"/>
                <w:szCs w:val="14"/>
                <w:b w:val="1"/>
                <w:bCs w:val="1"/>
                <w:color w:val="auto"/>
                <w:w w:val="91"/>
              </w:rPr>
              <w:t>(dollars in thousands)</w:t>
            </w: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606,542</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33,893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656,576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907,628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166,885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133,916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1,208,429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47,466</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34,070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Retail real estate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532,001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108,978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19,563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660,542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Retail other</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 gross loans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Borders>
              <w:top w:val="single" w:sz="8" w:color="auto"/>
            </w:tcBorders>
          </w:tcPr>
          <w:p>
            <w:pPr>
              <w:jc w:val="right"/>
              <w:ind w:right="48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2,107,762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307,886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221,442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Less held for sale(1)</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loan losses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Net loans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2,580,252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(1)Loans held for sale are included in retail real estate.</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total loan portfolio, gross, as of June 30, 2016, increased $1.4 billion from December 31, 2015 as a result of the Pulaski acquisition. Strong residential loan demand drove an increase in loans held for sale at June 30, 2016 to $278.1 million from $9.4 million on December 31, 2015, with Pulaski contributing $261.3 million of the change. The increased loans held for sale balance adds positive momentum going into the third quarter by generating net interest income until loans are delivered to investors, at which point gains on sale of loans are recognized.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allowance for loan losses was $45.4 million, or 1.1% of loans, at June 30, 2016, compared to $47.5 million, or 1.8% of loans, at December 31, 2015.</w:t>
      </w:r>
    </w:p>
    <w:p>
      <w:pPr>
        <w:sectPr>
          <w:pgSz w:w="11900" w:h="16851" w:orient="portrait"/>
          <w:cols w:equalWidth="0" w:num="1">
            <w:col w:w="11420"/>
          </w:cols>
          <w:pgMar w:left="240" w:top="140" w:right="239" w:bottom="0" w:gutter="0" w:footer="0" w:header="0"/>
        </w:sectPr>
      </w:pPr>
    </w:p>
    <w:bookmarkStart w:id="33" w:name="page34"/>
    <w:bookmarkEnd w:id="33"/>
    <w:p>
      <w:pPr>
        <w:ind w:right="18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60"/>
        <w:spacing w:after="0" w:line="312" w:lineRule="auto"/>
        <w:rPr>
          <w:sz w:val="20"/>
          <w:szCs w:val="20"/>
          <w:color w:val="auto"/>
        </w:rPr>
      </w:pPr>
      <w:r>
        <w:rPr>
          <w:rFonts w:ascii="Arial" w:cs="Arial" w:eastAsia="Arial" w:hAnsi="Arial"/>
          <w:sz w:val="16"/>
          <w:szCs w:val="16"/>
          <w:color w:val="auto"/>
        </w:rPr>
        <w:t>As of June 30, 2016,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54"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provision for loan losses increased to $1.1 million for the second quarter of 2016 compared to no provision in the same period of 2015. The provision for loan losses for the six months ended June 30, 2016 increased to $2.1 million compared to $0.5 million in the same period of 2015. Pulaski Bank recorded $0.6 million in provision expense in the second quarter of 2016 related to new and renewed production.</w:t>
      </w:r>
    </w:p>
    <w:p>
      <w:pPr>
        <w:spacing w:after="0" w:line="18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pacing w:after="0" w:line="22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6"/>
          </w:tcPr>
          <w:p>
            <w:pPr>
              <w:jc w:val="right"/>
              <w:ind w:right="82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22,443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17,368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12,748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26,044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5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45,358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45,171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47,487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199.1%</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Non-performing loans to loans, before allowance for loan losses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1"/>
              </w:rPr>
              <w:t>Non-performing loans and OREO to loans, before allowance for loan losses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5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June 30, 2016 asset metrics reflect the post combination results of acquiring Pulaski. Total non-performing assets were $26.0 million at June 30, 2016, compared to $13.5 million at December 31, 2015. Non-performing assets as a percentage of total loans and non-performing assets continued to be favorably low at 0.6% on June 30, 2016, as this ratio has varied between 0.3% and 1.3% over the last three years. Asset quality metrics can be generally influenced by market-specific economic conditions beyond the control of the Company, and specific measures may fluctuate from quarter to quarter. The Company continues to proactively address credit matters.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$36.7 million at June 30, 2016, compared to $29.2 million at December 31, 2015. Management continues to monitor these credits and anticipates that restructurings, guarantees, additional collateral or other planned actions will result in full repayment of the debts. As of June 30, 2016, management identified no other loans that represent or result from trends or uncertainties which management reasonably expected to materially impact future</w:t>
      </w:r>
    </w:p>
    <w:p>
      <w:pPr>
        <w:sectPr>
          <w:pgSz w:w="11900" w:h="16838" w:orient="portrait"/>
          <w:cols w:equalWidth="0" w:num="1">
            <w:col w:w="11460"/>
          </w:cols>
          <w:pgMar w:left="240" w:top="341" w:right="199" w:bottom="0" w:gutter="0" w:footer="0" w:header="0"/>
        </w:sectPr>
      </w:pPr>
    </w:p>
    <w:bookmarkStart w:id="34" w:name="page35"/>
    <w:bookmarkEnd w:id="34"/>
    <w:p>
      <w:pPr>
        <w:ind w:right="280"/>
        <w:spacing w:after="0" w:line="277" w:lineRule="auto"/>
        <w:rPr>
          <w:sz w:val="20"/>
          <w:szCs w:val="20"/>
          <w:color w:val="auto"/>
        </w:rPr>
      </w:pPr>
      <w:r>
        <w:rPr>
          <w:rFonts w:ascii="Arial" w:cs="Arial" w:eastAsia="Arial" w:hAnsi="Arial"/>
          <w:sz w:val="18"/>
          <w:szCs w:val="18"/>
          <w:color w:val="auto"/>
        </w:rPr>
        <w:t>operating results, liquidity or capital resources. As of June 30, 2016, management was not aware of any information about any other credits which caused management to have serious doubts as to the ability of such borrower(s) to comply with the loan repayment terms.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First Busey’s primary sources of funds consist of deposits, investment maturities and sales, loan principal repayments, and capital funds. Additional liquidity is provided by repurchase agreements, the ability to borrow from the Federal Reserve and the FHLB, and brokered deposits. Management intends to satisfy long-term liquidity needs primarily through retention of capital funds.</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As of June 30, 2016,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At June 30, 2016, the Company had outstanding standby letters of credit of $21.8 million and commitments to extend credit of $901.8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June 30, 2016, no amounts were recorded as liabilities for the Company’s potential obligations under these commitments.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For 2016, the guidelines, including the capital conservation buffer, require bank holding companies and their subsidiary banks to maintain a total capital to total risk-weighted asset ratio of not less than 8.625%, Tier 1 capital to total risk-weighted asset ratio of not less than 6.625%, Common Equity Tier 1 capital to total risk-weighted asset ratio of not less than 5.125% and a Tier 1 leverage ratio of not less than 4.00%. These minimum capital requirements increase annually until the Basel III Rules are fully phased-in on January 1, 2019. As of June 30, 2016, First Busey had a total capital to total risk-weighted asset ratio of 13.65%, a Tier 1 capital to risk-weighted asset ratio of 12.59%, Common Equity Tier 1 capital to risk-weighted asset ratio of 10.95% and a Tier 1 leverage ratio of 11.00%; Busey Bank had ratios of 13.79%, 12.53%, 12.53% and 9.91%, respectively; and Pulaski Bank had ratios of 10.98%, 10.90%, 10.90% and 8.28%,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national and international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 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Pulaski), which may include failure to realize the anticipated benefits of the acquisition and the possibility that the transaction costs may be greater than anticipated;</w:t>
      </w:r>
    </w:p>
    <w:p>
      <w:pPr>
        <w:spacing w:after="0" w:line="2" w:lineRule="exact"/>
        <w:rPr>
          <w:sz w:val="20"/>
          <w:szCs w:val="20"/>
          <w:color w:val="auto"/>
        </w:rPr>
      </w:pPr>
    </w:p>
    <w:p>
      <w:pPr>
        <w:ind w:right="20" w:firstLine="8"/>
        <w:spacing w:after="0" w:line="295"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auto"/>
        </w:rPr>
        <w:t>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ectPr>
          <w:pgSz w:w="11900" w:h="16838" w:orient="portrait"/>
          <w:cols w:equalWidth="0" w:num="1">
            <w:col w:w="11400"/>
          </w:cols>
          <w:pgMar w:left="240" w:top="125" w:right="259" w:bottom="0" w:gutter="0" w:footer="0" w:header="0"/>
        </w:sectPr>
      </w:pPr>
    </w:p>
    <w:bookmarkStart w:id="35" w:name="page36"/>
    <w:bookmarkEnd w:id="35"/>
    <w:p>
      <w:pPr>
        <w:spacing w:after="0" w:line="26"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2015.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Fair Value of Investment Securities. </w:t>
      </w:r>
      <w:r>
        <w:rPr>
          <w:rFonts w:ascii="Arial" w:cs="Arial" w:eastAsia="Arial" w:hAnsi="Arial"/>
          <w:sz w:val="16"/>
          <w:szCs w:val="16"/>
          <w:color w:val="auto"/>
        </w:rPr>
        <w:t>Securities are classified as held to maturity when First Busey has the ability and management has the positive intent to</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hold those securities to maturity. Accordingly, they are stated at cost, adjusted for amortization of premiums and accretion of discounts. First Busey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$51.0 million of securities classified as held to maturity at June 30, 2016. First Busey had no securities classified as trading at June 30, 2016. Securities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classified as available for sale when First Busey may decide to sell those securities due to changes in market interest rates, liquidity needs, changes in yields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alternative investments, and for other reasons. They are carried at fair value with unrealized gains and losses, net of taxes, reported in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comprehensive income. As of June 30, 2016, First Busey had $801.3 million of securities classified as available for sale. For equity securities, unadjusted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quoted prices in active markets for identical assets are utilized to determine fair value at the measurement date. For all other securities, we obtain fair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measurements from an independent pricing service. The fair value measurements consider observable data that may include dealer quotes, market spreads,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the U.S. Treasury yield curve, live trading levels, trade execution data, market consensus prepayment speeds, credit information and the security’s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terms and conditions, among other things.  Due to the limited nature of the market for certain securities, the fair value and potential sale proceeds could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materially different in the event of a sale.</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more-likely-than-not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66"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Allowance for Loan Losses. </w:t>
      </w:r>
      <w:r>
        <w:rPr>
          <w:rFonts w:ascii="Arial" w:cs="Arial" w:eastAsia="Arial" w:hAnsi="Arial"/>
          <w:sz w:val="16"/>
          <w:szCs w:val="16"/>
          <w:color w:val="auto"/>
        </w:rPr>
        <w:t>First Busey has established an allowance for loan losses which represents its estimate of the probable losses inherent in the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 Acquired loans from business combinations with uncollected principal balances are carried net of a fair value adjustment for credit and interest rates. These loans are only included in the allowance calculation to the extent that the reserve requirement exceeds the fair value adjustment. However, as the acquired loans renew, it is necessary to establish an allowance which represents an amount that, in management’s opinion, will be adequate to absorb probable credit losses inherent in such loans.</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To determine the adequacy of the allowance for loan losses, a formal analysis is completed quarterly to assess the risk within the loan portfolio. This assessment is reviewed by the Company’s senior management.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First Busey has an asset-liability committee, whose policy is to meet at least quarterly, to review current market conditions and attempts to structure the balance sheet to ensure stable net interest income despite potential changes in interest rates with all other variables constant.</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w:t>
      </w:r>
    </w:p>
    <w:p>
      <w:pPr>
        <w:sectPr>
          <w:pgSz w:w="11900" w:h="16865" w:orient="portrait"/>
          <w:cols w:equalWidth="0" w:num="1">
            <w:col w:w="11420"/>
          </w:cols>
          <w:pgMar w:left="240" w:top="125" w:right="239" w:bottom="0" w:gutter="0" w:footer="0" w:header="0"/>
        </w:sectPr>
      </w:pPr>
    </w:p>
    <w:bookmarkStart w:id="36" w:name="page37"/>
    <w:bookmarkEnd w:id="36"/>
    <w:p>
      <w:pPr>
        <w:ind w:right="120"/>
        <w:spacing w:after="0" w:line="277" w:lineRule="auto"/>
        <w:rPr>
          <w:sz w:val="20"/>
          <w:szCs w:val="20"/>
          <w:color w:val="auto"/>
        </w:rPr>
      </w:pPr>
      <w:r>
        <w:rPr>
          <w:rFonts w:ascii="Arial" w:cs="Arial" w:eastAsia="Arial" w:hAnsi="Arial"/>
          <w:sz w:val="18"/>
          <w:szCs w:val="18"/>
          <w:color w:val="auto"/>
        </w:rPr>
        <w:t>have been adjusted to incorporate expected prepayment speeds in both a declining and rising rate environment. As of June 30, 2016 and December 31, 2015, due to the current low interest rate environment, a downward adjustment in federal fund rates was not meaningful.</w:t>
      </w:r>
    </w:p>
    <w:p>
      <w:pPr>
        <w:spacing w:after="0" w:line="170"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Year-One: Basis Point Changes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8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(0.59)%</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2340" w:type="dxa"/>
            <w:vAlign w:val="bottom"/>
            <w:tcBorders>
              <w:bottom w:val="single" w:sz="8" w:color="808080"/>
            </w:tcBorders>
            <w:gridSpan w:val="4"/>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Year-Two: Basis Point Changes</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80" w:type="dxa"/>
            <w:vAlign w:val="bottom"/>
            <w:gridSpan w:val="2"/>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-400</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30, 2016</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7.07%</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gridSpan w:val="2"/>
          </w:tcPr>
          <w:p>
            <w:pPr>
              <w:spacing w:after="0"/>
              <w:rPr>
                <w:sz w:val="18"/>
                <w:szCs w:val="18"/>
                <w:color w:val="auto"/>
              </w:rPr>
            </w:pPr>
          </w:p>
        </w:tc>
        <w:tc>
          <w:tcPr>
            <w:tcW w:w="5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5.58%</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-1141730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-1141730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June 30, 2016, under the supervision and with the participation of our Chief Executive Officer, Chief Financial Officer and several other members of our senior management. Based on this evaluation, our Chief Executive Officer and Chief Financial Officer concluded that, as of June 30, 2016,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quarter ended June 30, 2016,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8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2015 Annual Report on Form 10-K.</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June 30, 2016. At June 30, 2016, the Company had 333,334 shares that may yet be purchased under the plan.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460"/>
          </w:cols>
          <w:pgMar w:left="240" w:top="125" w:right="199" w:bottom="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pacing w:after="0" w:line="225"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pacing w:after="0" w:line="225" w:lineRule="exact"/>
        <w:rPr>
          <w:sz w:val="20"/>
          <w:szCs w:val="20"/>
          <w:color w:val="auto"/>
        </w:rPr>
      </w:pPr>
    </w:p>
    <w:p>
      <w:pPr>
        <w:ind w:left="1540" w:right="420" w:hanging="877"/>
        <w:spacing w:after="0" w:line="277" w:lineRule="auto"/>
        <w:tabs>
          <w:tab w:leader="none" w:pos="15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Executive Officer.</w:t>
      </w:r>
    </w:p>
    <w:p>
      <w:pPr>
        <w:spacing w:after="0" w:line="170" w:lineRule="exact"/>
        <w:rPr>
          <w:sz w:val="20"/>
          <w:szCs w:val="20"/>
          <w:color w:val="auto"/>
        </w:rPr>
      </w:pPr>
    </w:p>
    <w:p>
      <w:pPr>
        <w:ind w:left="1540" w:right="420" w:hanging="877"/>
        <w:spacing w:after="0" w:line="277" w:lineRule="auto"/>
        <w:tabs>
          <w:tab w:leader="none" w:pos="15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U.S.C. Section 1350, as adopted pursuant to Section 906 of the Sarbanes-Oxley Act of 2002, from the Company’s Chief Financial Officer.</w:t>
      </w:r>
    </w:p>
    <w:p>
      <w:pPr>
        <w:spacing w:after="0" w:line="170"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Interactive data files pursuant to Rule 405 of Regulation S-T: (i) Consolidated Balance Sheets at June 30, 2016 and December 31, 2015;</w:t>
      </w:r>
    </w:p>
    <w:p>
      <w:pPr>
        <w:spacing w:after="0" w:line="23" w:lineRule="exact"/>
        <w:rPr>
          <w:sz w:val="20"/>
          <w:szCs w:val="20"/>
          <w:color w:val="auto"/>
        </w:rPr>
      </w:pPr>
    </w:p>
    <w:p>
      <w:pPr>
        <w:ind w:left="1540" w:right="40" w:hanging="6"/>
        <w:spacing w:after="0" w:line="273" w:lineRule="auto"/>
        <w:tabs>
          <w:tab w:leader="none" w:pos="180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six months ended June 30, 2016 and 2015; (iii) Consolidated Statements of Comprehensive Income for the three and six months ended June 30, 2016 and 2015; (iv) Consolidated Statements of Stockholders’ Equity for the six months ended June 30, 2016 and 2015; (v) Consolidated Statements of Cash Flows for the six months ended June 30, 2016 and 2015;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14605</wp:posOffset>
            </wp:positionV>
            <wp:extent cx="34302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1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Susan K. Miller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Deputy Chief Financial Officer and Chief Accounting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ectPr>
          <w:pgSz w:w="11900" w:h="16838" w:orient="portrait"/>
          <w:cols w:equalWidth="0" w:num="1">
            <w:col w:w="11320"/>
          </w:cols>
          <w:pgMar w:left="240" w:top="125" w:right="339" w:bottom="1440" w:gutter="0" w:footer="0" w:header="0"/>
        </w:sectPr>
      </w:pP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type w:val="continuous"/>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June 30, 2016,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9,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Roman"/>
      <w:start w:val="10"/>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Roman"/>
      <w:start w:val="2"/>
    </w:lvl>
  </w:abstractNum>
  <w:abstractNum w:abstractNumId="7">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2020-01-21T02:06:45Z</dcterms:created>
  <dcterms:modified xsi:type="dcterms:W3CDTF">2020-01-21T02:06:45Z</dcterms:modified>
</cp:coreProperties>
</file>