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692150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2900" w:right="1680" w:hanging="2674"/>
        <w:spacing w:after="0" w:line="372" w:lineRule="auto"/>
        <w:tabs>
          <w:tab w:leader="none" w:pos="597"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9/30/2019</w:t>
      </w:r>
    </w:p>
    <w:p>
      <w:pPr>
        <w:spacing w:after="0" w:line="29" w:lineRule="exact"/>
        <w:rPr>
          <w:sz w:val="24"/>
          <w:szCs w:val="24"/>
          <w:color w:val="auto"/>
        </w:rPr>
      </w:pPr>
    </w:p>
    <w:p>
      <w:pPr>
        <w:ind w:left="3420" w:right="1640" w:hanging="3194"/>
        <w:spacing w:after="0" w:line="352" w:lineRule="auto"/>
        <w:tabs>
          <w:tab w:leader="none" w:pos="61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No. 0-15950</w:t>
      </w:r>
    </w:p>
    <w:p>
      <w:pPr>
        <w:jc w:val="center"/>
        <w:spacing w:after="0"/>
        <w:rPr>
          <w:sz w:val="20"/>
          <w:szCs w:val="20"/>
          <w:color w:val="auto"/>
        </w:rPr>
      </w:pPr>
      <w:r>
        <w:rPr>
          <w:rFonts w:ascii="Arial" w:cs="Arial" w:eastAsia="Arial" w:hAnsi="Arial"/>
          <w:sz w:val="29"/>
          <w:szCs w:val="29"/>
          <w:b w:val="1"/>
          <w:bCs w:val="1"/>
          <w:color w:val="auto"/>
        </w:rPr>
        <w:t>FIRST BUSEY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4020" w:type="dxa"/>
            <w:vAlign w:val="bottom"/>
          </w:tcPr>
          <w:p>
            <w:pPr>
              <w:jc w:val="center"/>
              <w:ind w:right="830"/>
              <w:spacing w:after="0"/>
              <w:rPr>
                <w:sz w:val="20"/>
                <w:szCs w:val="20"/>
                <w:color w:val="auto"/>
              </w:rPr>
            </w:pPr>
            <w:r>
              <w:rPr>
                <w:rFonts w:ascii="Arial" w:cs="Arial" w:eastAsia="Arial" w:hAnsi="Arial"/>
                <w:sz w:val="18"/>
                <w:szCs w:val="18"/>
                <w:b w:val="1"/>
                <w:bCs w:val="1"/>
                <w:color w:val="auto"/>
                <w:w w:val="90"/>
              </w:rPr>
              <w:t>Nevada</w:t>
            </w:r>
          </w:p>
        </w:tc>
        <w:tc>
          <w:tcPr>
            <w:tcW w:w="352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03"/>
        </w:trPr>
        <w:tc>
          <w:tcPr>
            <w:tcW w:w="4020" w:type="dxa"/>
            <w:vAlign w:val="bottom"/>
          </w:tcPr>
          <w:p>
            <w:pPr>
              <w:jc w:val="center"/>
              <w:ind w:right="830"/>
              <w:spacing w:after="0" w:line="202" w:lineRule="exact"/>
              <w:rPr>
                <w:sz w:val="20"/>
                <w:szCs w:val="20"/>
                <w:color w:val="auto"/>
              </w:rPr>
            </w:pPr>
            <w:r>
              <w:rPr>
                <w:rFonts w:ascii="Arial" w:cs="Arial" w:eastAsia="Arial" w:hAnsi="Arial"/>
                <w:sz w:val="18"/>
                <w:szCs w:val="18"/>
                <w:color w:val="auto"/>
                <w:w w:val="92"/>
              </w:rPr>
              <w:t>(State or other jurisdiction of incorporation</w:t>
            </w:r>
          </w:p>
        </w:tc>
        <w:tc>
          <w:tcPr>
            <w:tcW w:w="3520" w:type="dxa"/>
            <w:vAlign w:val="bottom"/>
          </w:tcPr>
          <w:p>
            <w:pPr>
              <w:jc w:val="center"/>
              <w:ind w:left="810"/>
              <w:spacing w:after="0" w:line="202" w:lineRule="exact"/>
              <w:rPr>
                <w:sz w:val="20"/>
                <w:szCs w:val="20"/>
                <w:color w:val="auto"/>
              </w:rPr>
            </w:pPr>
            <w:r>
              <w:rPr>
                <w:rFonts w:ascii="Arial" w:cs="Arial" w:eastAsia="Arial" w:hAnsi="Arial"/>
                <w:sz w:val="18"/>
                <w:szCs w:val="18"/>
                <w:color w:val="auto"/>
                <w:w w:val="94"/>
              </w:rPr>
              <w:t>(I.R.S. Employer Identification No.)</w:t>
            </w:r>
          </w:p>
        </w:tc>
      </w:tr>
      <w:tr>
        <w:trPr>
          <w:trHeight w:val="212"/>
        </w:trPr>
        <w:tc>
          <w:tcPr>
            <w:tcW w:w="4020" w:type="dxa"/>
            <w:vAlign w:val="bottom"/>
          </w:tcPr>
          <w:p>
            <w:pPr>
              <w:jc w:val="center"/>
              <w:ind w:right="830"/>
              <w:spacing w:after="0"/>
              <w:rPr>
                <w:sz w:val="20"/>
                <w:szCs w:val="20"/>
                <w:color w:val="auto"/>
              </w:rPr>
            </w:pPr>
            <w:r>
              <w:rPr>
                <w:rFonts w:ascii="Arial" w:cs="Arial" w:eastAsia="Arial" w:hAnsi="Arial"/>
                <w:sz w:val="18"/>
                <w:szCs w:val="18"/>
                <w:color w:val="auto"/>
                <w:w w:val="91"/>
              </w:rPr>
              <w:t>or organization)</w:t>
            </w:r>
          </w:p>
        </w:tc>
        <w:tc>
          <w:tcPr>
            <w:tcW w:w="3520" w:type="dxa"/>
            <w:vAlign w:val="bottom"/>
          </w:tcPr>
          <w:p>
            <w:pPr>
              <w:spacing w:after="0"/>
              <w:rPr>
                <w:sz w:val="18"/>
                <w:szCs w:val="18"/>
                <w:color w:val="auto"/>
              </w:rPr>
            </w:pPr>
          </w:p>
        </w:tc>
      </w:tr>
      <w:tr>
        <w:trPr>
          <w:trHeight w:val="203"/>
        </w:trPr>
        <w:tc>
          <w:tcPr>
            <w:tcW w:w="4020" w:type="dxa"/>
            <w:vAlign w:val="bottom"/>
          </w:tcPr>
          <w:p>
            <w:pPr>
              <w:jc w:val="center"/>
              <w:ind w:right="830"/>
              <w:spacing w:after="0" w:line="202" w:lineRule="exact"/>
              <w:rPr>
                <w:sz w:val="20"/>
                <w:szCs w:val="20"/>
                <w:color w:val="auto"/>
              </w:rPr>
            </w:pPr>
            <w:r>
              <w:rPr>
                <w:rFonts w:ascii="Arial" w:cs="Arial" w:eastAsia="Arial" w:hAnsi="Arial"/>
                <w:sz w:val="18"/>
                <w:szCs w:val="18"/>
                <w:b w:val="1"/>
                <w:bCs w:val="1"/>
                <w:color w:val="auto"/>
                <w:w w:val="90"/>
              </w:rPr>
              <w:t>100 W. University Ave.</w:t>
            </w:r>
          </w:p>
        </w:tc>
        <w:tc>
          <w:tcPr>
            <w:tcW w:w="3520" w:type="dxa"/>
            <w:vAlign w:val="bottom"/>
          </w:tcPr>
          <w:p>
            <w:pPr>
              <w:spacing w:after="0"/>
              <w:rPr>
                <w:sz w:val="17"/>
                <w:szCs w:val="17"/>
                <w:color w:val="auto"/>
              </w:rPr>
            </w:pPr>
          </w:p>
        </w:tc>
      </w:tr>
      <w:tr>
        <w:trPr>
          <w:trHeight w:val="207"/>
        </w:trPr>
        <w:tc>
          <w:tcPr>
            <w:tcW w:w="4020" w:type="dxa"/>
            <w:vAlign w:val="bottom"/>
          </w:tcPr>
          <w:p>
            <w:pPr>
              <w:jc w:val="center"/>
              <w:ind w:right="810"/>
              <w:spacing w:after="0"/>
              <w:rPr>
                <w:sz w:val="20"/>
                <w:szCs w:val="20"/>
                <w:color w:val="auto"/>
              </w:rPr>
            </w:pPr>
            <w:r>
              <w:rPr>
                <w:rFonts w:ascii="Arial" w:cs="Arial" w:eastAsia="Arial" w:hAnsi="Arial"/>
                <w:sz w:val="18"/>
                <w:szCs w:val="18"/>
                <w:b w:val="1"/>
                <w:bCs w:val="1"/>
                <w:color w:val="auto"/>
                <w:w w:val="92"/>
              </w:rPr>
              <w:t>Champaign, Illinois</w:t>
            </w:r>
          </w:p>
        </w:tc>
        <w:tc>
          <w:tcPr>
            <w:tcW w:w="352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30"/>
        </w:trPr>
        <w:tc>
          <w:tcPr>
            <w:tcW w:w="4020" w:type="dxa"/>
            <w:vAlign w:val="bottom"/>
          </w:tcPr>
          <w:p>
            <w:pPr>
              <w:jc w:val="center"/>
              <w:ind w:right="830"/>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jc w:val="center"/>
              <w:ind w:left="810"/>
              <w:spacing w:after="0"/>
              <w:rPr>
                <w:sz w:val="20"/>
                <w:szCs w:val="20"/>
                <w:color w:val="auto"/>
              </w:rPr>
            </w:pPr>
            <w:r>
              <w:rPr>
                <w:rFonts w:ascii="Arial" w:cs="Arial" w:eastAsia="Arial" w:hAnsi="Arial"/>
                <w:sz w:val="18"/>
                <w:szCs w:val="18"/>
                <w:color w:val="auto"/>
                <w:w w:val="91"/>
              </w:rPr>
              <w:t>(Zip code)</w:t>
            </w:r>
          </w:p>
        </w:tc>
      </w:tr>
    </w:tbl>
    <w:p>
      <w:pPr>
        <w:spacing w:after="0" w:line="103"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104"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88" w:lineRule="exact"/>
        <w:rPr>
          <w:sz w:val="24"/>
          <w:szCs w:val="24"/>
          <w:color w:val="auto"/>
        </w:rPr>
      </w:pPr>
    </w:p>
    <w:p>
      <w:pPr>
        <w:ind w:right="140"/>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ind w:right="320"/>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ind w:right="100"/>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1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1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spacing w:after="0"/>
              <w:rPr>
                <w:sz w:val="24"/>
                <w:szCs w:val="24"/>
                <w:color w:val="auto"/>
              </w:rPr>
            </w:pPr>
          </w:p>
        </w:tc>
      </w:tr>
    </w:tbl>
    <w:p>
      <w:pPr>
        <w:spacing w:after="0" w:line="87" w:lineRule="exact"/>
        <w:rPr>
          <w:sz w:val="24"/>
          <w:szCs w:val="24"/>
          <w:color w:val="auto"/>
        </w:rPr>
      </w:pPr>
    </w:p>
    <w:p>
      <w:pPr>
        <w:ind w:right="60"/>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 (s)</w:t>
            </w:r>
          </w:p>
        </w:tc>
        <w:tc>
          <w:tcPr>
            <w:tcW w:w="4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BUSE</w:t>
            </w:r>
          </w:p>
        </w:tc>
        <w:tc>
          <w:tcPr>
            <w:tcW w:w="4100" w:type="dxa"/>
            <w:vAlign w:val="bottom"/>
          </w:tcPr>
          <w:p>
            <w:pPr>
              <w:jc w:val="center"/>
              <w:ind w:right="10"/>
              <w:spacing w:after="0"/>
              <w:rPr>
                <w:sz w:val="20"/>
                <w:szCs w:val="20"/>
                <w:color w:val="auto"/>
              </w:rPr>
            </w:pPr>
            <w:r>
              <w:rPr>
                <w:rFonts w:ascii="Arial" w:cs="Arial" w:eastAsia="Arial" w:hAnsi="Arial"/>
                <w:sz w:val="18"/>
                <w:szCs w:val="18"/>
                <w:color w:val="auto"/>
                <w:w w:val="92"/>
              </w:rPr>
              <w:t>The Nasdaq Stock Market LLC</w:t>
            </w:r>
          </w:p>
        </w:tc>
      </w:tr>
    </w:tbl>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3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Class</w:t>
            </w:r>
          </w:p>
        </w:tc>
        <w:tc>
          <w:tcPr>
            <w:tcW w:w="44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Outstanding at November 7, 2019</w:t>
            </w:r>
          </w:p>
        </w:tc>
      </w:tr>
      <w:tr>
        <w:trPr>
          <w:trHeight w:val="237"/>
        </w:trPr>
        <w:tc>
          <w:tcPr>
            <w:tcW w:w="920" w:type="dxa"/>
            <w:vAlign w:val="bottom"/>
            <w:tcBorders>
              <w:bottom w:val="single" w:sz="8" w:color="auto"/>
            </w:tcBorders>
          </w:tcPr>
          <w:p>
            <w:pPr>
              <w:spacing w:after="0"/>
              <w:rPr>
                <w:sz w:val="20"/>
                <w:szCs w:val="20"/>
                <w:color w:val="auto"/>
              </w:rPr>
            </w:pPr>
          </w:p>
        </w:tc>
        <w:tc>
          <w:tcPr>
            <w:tcW w:w="3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Borders>
              <w:bottom w:val="single" w:sz="8" w:color="auto"/>
            </w:tcBorders>
          </w:tcPr>
          <w:p>
            <w:pPr>
              <w:spacing w:after="0"/>
              <w:rPr>
                <w:sz w:val="20"/>
                <w:szCs w:val="20"/>
                <w:color w:val="auto"/>
              </w:rPr>
            </w:pPr>
          </w:p>
        </w:tc>
        <w:tc>
          <w:tcPr>
            <w:tcW w:w="3520" w:type="dxa"/>
            <w:vAlign w:val="bottom"/>
            <w:tcBorders>
              <w:top w:val="single" w:sz="8" w:color="auto"/>
              <w:bottom w:val="single" w:sz="8" w:color="auto"/>
            </w:tcBorders>
          </w:tcPr>
          <w:p>
            <w:pPr>
              <w:jc w:val="right"/>
              <w:ind w:right="1270"/>
              <w:spacing w:after="0"/>
              <w:rPr>
                <w:sz w:val="20"/>
                <w:szCs w:val="20"/>
                <w:color w:val="auto"/>
              </w:rPr>
            </w:pPr>
            <w:r>
              <w:rPr>
                <w:rFonts w:ascii="Arial" w:cs="Arial" w:eastAsia="Arial" w:hAnsi="Arial"/>
                <w:sz w:val="18"/>
                <w:szCs w:val="18"/>
                <w:color w:val="auto"/>
              </w:rPr>
              <w:t>55,047,777</w:t>
            </w:r>
          </w:p>
        </w:tc>
        <w:tc>
          <w:tcPr>
            <w:tcW w:w="900" w:type="dxa"/>
            <w:vAlign w:val="bottom"/>
            <w:tcBorders>
              <w:bottom w:val="single" w:sz="8" w:color="auto"/>
            </w:tcBorders>
          </w:tcPr>
          <w:p>
            <w:pPr>
              <w:spacing w:after="0"/>
              <w:rPr>
                <w:sz w:val="20"/>
                <w:szCs w:val="20"/>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679" w:right="14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FORM 10-Q</w:t>
      </w:r>
    </w:p>
    <w:p>
      <w:pPr>
        <w:jc w:val="center"/>
        <w:ind w:left="800"/>
        <w:spacing w:after="0"/>
        <w:rPr>
          <w:sz w:val="20"/>
          <w:szCs w:val="20"/>
          <w:color w:val="auto"/>
        </w:rPr>
      </w:pPr>
      <w:r>
        <w:rPr>
          <w:rFonts w:ascii="Arial" w:cs="Arial" w:eastAsia="Arial" w:hAnsi="Arial"/>
          <w:sz w:val="18"/>
          <w:szCs w:val="18"/>
          <w:b w:val="1"/>
          <w:bCs w:val="1"/>
          <w:color w:val="auto"/>
        </w:rPr>
        <w:t>September 30, 2019</w:t>
      </w:r>
    </w:p>
    <w:p>
      <w:pPr>
        <w:spacing w:after="0" w:line="209" w:lineRule="exact"/>
        <w:rPr>
          <w:sz w:val="20"/>
          <w:szCs w:val="20"/>
          <w:color w:val="auto"/>
        </w:rPr>
      </w:pPr>
    </w:p>
    <w:p>
      <w:pPr>
        <w:jc w:val="center"/>
        <w:ind w:left="800"/>
        <w:spacing w:after="0"/>
        <w:rPr>
          <w:sz w:val="20"/>
          <w:szCs w:val="20"/>
          <w:color w:val="auto"/>
        </w:rPr>
      </w:pPr>
      <w:r>
        <w:rPr>
          <w:rFonts w:ascii="Arial" w:cs="Arial" w:eastAsia="Arial" w:hAnsi="Arial"/>
          <w:sz w:val="18"/>
          <w:szCs w:val="18"/>
          <w:color w:val="auto"/>
        </w:rPr>
        <w:t>Table of Contents</w:t>
      </w:r>
    </w:p>
    <w:p>
      <w:pPr>
        <w:spacing w:after="0" w:line="235" w:lineRule="exact"/>
        <w:rPr>
          <w:sz w:val="20"/>
          <w:szCs w:val="20"/>
          <w:color w:val="auto"/>
        </w:rPr>
      </w:pPr>
    </w:p>
    <w:p>
      <w:pPr>
        <w:spacing w:after="0"/>
        <w:tabs>
          <w:tab w:leader="none" w:pos="740" w:val="left"/>
        </w:tabs>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3">
        <w:r>
          <w:rPr>
            <w:rFonts w:ascii="Arial" w:cs="Arial" w:eastAsia="Arial" w:hAnsi="Arial"/>
            <w:sz w:val="18"/>
            <w:szCs w:val="18"/>
            <w:b w:val="1"/>
            <w:bCs w:val="1"/>
            <w:u w:val="single" w:color="auto"/>
            <w:color w:val="0000EE"/>
          </w:rPr>
          <w:t>FINANCIAL INFORMATION</w:t>
        </w:r>
      </w:hyperlink>
    </w:p>
    <w:p>
      <w:pPr>
        <w:spacing w:after="0" w:line="256" w:lineRule="exact"/>
        <w:rPr>
          <w:sz w:val="20"/>
          <w:szCs w:val="20"/>
          <w:color w:val="auto"/>
        </w:rPr>
      </w:pPr>
    </w:p>
    <w:p>
      <w:pPr>
        <w:spacing w:after="0"/>
        <w:tabs>
          <w:tab w:leader="none" w:pos="740" w:val="left"/>
        </w:tabs>
        <w:rPr>
          <w:rFonts w:ascii="Arial" w:cs="Arial" w:eastAsia="Arial" w:hAnsi="Arial"/>
          <w:sz w:val="17"/>
          <w:szCs w:val="17"/>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7"/>
            <w:szCs w:val="17"/>
            <w:u w:val="single" w:color="auto"/>
            <w:color w:val="0000EE"/>
          </w:rPr>
          <w:t>FINANCIAL STATEMENTS</w:t>
        </w:r>
      </w:hyperlink>
    </w:p>
    <w:p>
      <w:pPr>
        <w:spacing w:after="0" w:line="12" w:lineRule="exact"/>
        <w:rPr>
          <w:sz w:val="20"/>
          <w:szCs w:val="20"/>
          <w:color w:val="auto"/>
        </w:rPr>
      </w:pPr>
    </w:p>
    <w:p>
      <w:pPr>
        <w:ind w:left="7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7" w:lineRule="exact"/>
        <w:rPr>
          <w:sz w:val="20"/>
          <w:szCs w:val="20"/>
          <w:color w:val="auto"/>
        </w:rPr>
      </w:pPr>
    </w:p>
    <w:p>
      <w:pPr>
        <w:ind w:left="7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INCOME</w:t>
        </w:r>
      </w:hyperlink>
    </w:p>
    <w:p>
      <w:pPr>
        <w:spacing w:after="0" w:line="23" w:lineRule="exact"/>
        <w:rPr>
          <w:sz w:val="20"/>
          <w:szCs w:val="20"/>
          <w:color w:val="auto"/>
        </w:rPr>
      </w:pPr>
    </w:p>
    <w:p>
      <w:pPr>
        <w:ind w:left="760" w:right="2360"/>
        <w:spacing w:after="0" w:line="281" w:lineRule="auto"/>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CONSOLIDATED STATEMENTS OF COMPREHENSIVE INCOME</w:t>
        </w:r>
      </w:hyperlink>
      <w:r>
        <w:rPr>
          <w:rFonts w:ascii="Arial" w:cs="Arial" w:eastAsia="Arial" w:hAnsi="Arial"/>
          <w:sz w:val="17"/>
          <w:szCs w:val="17"/>
          <w:u w:val="single" w:color="auto"/>
          <w:color w:val="0000EE"/>
        </w:rPr>
        <w:t xml:space="preserve"> </w:t>
      </w:r>
      <w:hyperlink w:anchor="page7">
        <w:r>
          <w:rPr>
            <w:rFonts w:ascii="Arial" w:cs="Arial" w:eastAsia="Arial" w:hAnsi="Arial"/>
            <w:sz w:val="17"/>
            <w:szCs w:val="17"/>
            <w:u w:val="single" w:color="auto"/>
            <w:color w:val="0000EE"/>
          </w:rPr>
          <w:t>CONSOLIDATED STATEMENTS OF STOCKHOLDERS’ EQUITY</w:t>
        </w:r>
      </w:hyperlink>
      <w:r>
        <w:rPr>
          <w:rFonts w:ascii="Arial" w:cs="Arial" w:eastAsia="Arial" w:hAnsi="Arial"/>
          <w:sz w:val="17"/>
          <w:szCs w:val="17"/>
          <w:u w:val="single" w:color="auto"/>
          <w:color w:val="0000EE"/>
        </w:rPr>
        <w:t xml:space="preserve"> </w:t>
      </w:r>
      <w:hyperlink w:anchor="page9">
        <w:r>
          <w:rPr>
            <w:rFonts w:ascii="Arial" w:cs="Arial" w:eastAsia="Arial" w:hAnsi="Arial"/>
            <w:sz w:val="17"/>
            <w:szCs w:val="17"/>
            <w:u w:val="single" w:color="auto"/>
            <w:color w:val="0000EE"/>
          </w:rPr>
          <w:t>CONSOLIDATED STATEMENTS OF CASH FLOWS</w:t>
        </w:r>
      </w:hyperlink>
    </w:p>
    <w:p>
      <w:pPr>
        <w:spacing w:after="0" w:line="2" w:lineRule="exact"/>
        <w:rPr>
          <w:rFonts w:ascii="Arial" w:cs="Arial" w:eastAsia="Arial" w:hAnsi="Arial"/>
          <w:sz w:val="17"/>
          <w:szCs w:val="17"/>
          <w:u w:val="single" w:color="auto"/>
          <w:color w:val="0000EE"/>
        </w:rPr>
      </w:pPr>
    </w:p>
    <w:p>
      <w:pPr>
        <w:ind w:left="7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CONSOLIDATED FINANCIAL STATEMENTS</w:t>
        </w:r>
      </w:hyperlink>
    </w:p>
    <w:p>
      <w:pPr>
        <w:spacing w:after="0" w:line="23" w:lineRule="exact"/>
        <w:rPr>
          <w:rFonts w:ascii="Arial" w:cs="Arial" w:eastAsia="Arial" w:hAnsi="Arial"/>
          <w:sz w:val="17"/>
          <w:szCs w:val="17"/>
          <w:u w:val="single" w:color="auto"/>
          <w:color w:val="0000EE"/>
        </w:rPr>
      </w:pPr>
    </w:p>
    <w:p>
      <w:pPr>
        <w:ind w:left="760" w:hanging="755"/>
        <w:spacing w:after="0" w:line="243" w:lineRule="auto"/>
        <w:tabs>
          <w:tab w:leader="none" w:pos="740" w:val="left"/>
        </w:tabs>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42">
        <w:r>
          <w:rPr>
            <w:rFonts w:ascii="Arial" w:cs="Arial" w:eastAsia="Arial" w:hAnsi="Arial"/>
            <w:sz w:val="18"/>
            <w:szCs w:val="18"/>
            <w:u w:val="single" w:color="auto"/>
            <w:color w:val="0000EE"/>
          </w:rPr>
          <w:t>MANAGEMENT’S DISCUSSION AND ANALYSIS OF FINANCIAL CONDITION AND RESULTS</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OF OPERATIONS</w:t>
        </w:r>
      </w:hyperlink>
    </w:p>
    <w:p>
      <w:pPr>
        <w:spacing w:after="0" w:line="1" w:lineRule="exact"/>
        <w:rPr>
          <w:rFonts w:ascii="Arial" w:cs="Arial" w:eastAsia="Arial" w:hAnsi="Arial"/>
          <w:sz w:val="18"/>
          <w:szCs w:val="18"/>
          <w:u w:val="single" w:color="auto"/>
          <w:color w:val="0000EE"/>
        </w:rPr>
      </w:pPr>
    </w:p>
    <w:p>
      <w:pPr>
        <w:ind w:right="1360"/>
        <w:spacing w:after="0" w:line="243" w:lineRule="auto"/>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62">
        <w:r>
          <w:rPr>
            <w:rFonts w:ascii="Arial" w:cs="Arial" w:eastAsia="Arial" w:hAnsi="Arial"/>
            <w:sz w:val="18"/>
            <w:szCs w:val="18"/>
            <w:u w:val="single" w:color="auto"/>
            <w:color w:val="0000EE"/>
          </w:rPr>
          <w:t>Item 4. CONTROLS AND PROCEDURES</w:t>
        </w:r>
      </w:hyperlink>
    </w:p>
    <w:p>
      <w:pPr>
        <w:spacing w:after="0" w:line="196" w:lineRule="exact"/>
        <w:rPr>
          <w:sz w:val="20"/>
          <w:szCs w:val="20"/>
          <w:color w:val="auto"/>
        </w:rPr>
      </w:pPr>
    </w:p>
    <w:p>
      <w:pPr>
        <w:spacing w:after="0"/>
        <w:tabs>
          <w:tab w:leader="none" w:pos="740" w:val="left"/>
        </w:tabs>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62">
        <w:r>
          <w:rPr>
            <w:rFonts w:ascii="Arial" w:cs="Arial" w:eastAsia="Arial" w:hAnsi="Arial"/>
            <w:sz w:val="18"/>
            <w:szCs w:val="18"/>
            <w:b w:val="1"/>
            <w:bCs w:val="1"/>
            <w:u w:val="single" w:color="auto"/>
            <w:color w:val="0000EE"/>
          </w:rPr>
          <w:t>OTHER INFORMATION</w:t>
        </w:r>
      </w:hyperlink>
    </w:p>
    <w:p>
      <w:pPr>
        <w:spacing w:after="0" w:line="256" w:lineRule="exact"/>
        <w:rPr>
          <w:sz w:val="20"/>
          <w:szCs w:val="20"/>
          <w:color w:val="auto"/>
        </w:rPr>
      </w:pPr>
    </w:p>
    <w:p>
      <w:pPr>
        <w:spacing w:after="0"/>
        <w:tabs>
          <w:tab w:leader="none" w:pos="740" w:val="left"/>
        </w:tabs>
        <w:rPr>
          <w:rFonts w:ascii="Arial" w:cs="Arial" w:eastAsia="Arial" w:hAnsi="Arial"/>
          <w:sz w:val="17"/>
          <w:szCs w:val="17"/>
          <w:u w:val="single" w:color="auto"/>
          <w:color w:val="0000EE"/>
        </w:rPr>
      </w:pPr>
      <w:hyperlink w:anchor="page6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62">
        <w:r>
          <w:rPr>
            <w:rFonts w:ascii="Arial" w:cs="Arial" w:eastAsia="Arial" w:hAnsi="Arial"/>
            <w:sz w:val="17"/>
            <w:szCs w:val="17"/>
            <w:u w:val="single" w:color="auto"/>
            <w:color w:val="0000EE"/>
          </w:rPr>
          <w:t>LEGAL PROCEEDINGS</w:t>
        </w:r>
      </w:hyperlink>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1A.  RISK FACTORS</w:t>
        </w:r>
      </w:hyperlink>
    </w:p>
    <w:p>
      <w:pPr>
        <w:spacing w:after="0"/>
        <w:tabs>
          <w:tab w:leader="none" w:pos="740" w:val="left"/>
        </w:tabs>
        <w:rPr>
          <w:rFonts w:ascii="Arial" w:cs="Arial" w:eastAsia="Arial" w:hAnsi="Arial"/>
          <w:sz w:val="17"/>
          <w:szCs w:val="17"/>
          <w:u w:val="single" w:color="auto"/>
          <w:color w:val="0000EE"/>
        </w:rPr>
      </w:pPr>
      <w:hyperlink w:anchor="page63">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63">
        <w:r>
          <w:rPr>
            <w:rFonts w:ascii="Arial" w:cs="Arial" w:eastAsia="Arial" w:hAnsi="Arial"/>
            <w:sz w:val="17"/>
            <w:szCs w:val="17"/>
            <w:u w:val="single" w:color="auto"/>
            <w:color w:val="0000EE"/>
          </w:rPr>
          <w:t>UNREGISTERED SALES OF EQUITY SECURITIES AND USE OF PROCEEDS</w:t>
        </w:r>
      </w:hyperlink>
    </w:p>
    <w:p>
      <w:pPr>
        <w:spacing w:after="0"/>
        <w:tabs>
          <w:tab w:leader="none" w:pos="740" w:val="left"/>
        </w:tabs>
        <w:rPr>
          <w:rFonts w:ascii="Arial" w:cs="Arial" w:eastAsia="Arial" w:hAnsi="Arial"/>
          <w:sz w:val="17"/>
          <w:szCs w:val="17"/>
          <w:u w:val="single" w:color="auto"/>
          <w:color w:val="0000EE"/>
        </w:rPr>
      </w:pPr>
      <w:hyperlink w:anchor="page63">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63">
        <w:r>
          <w:rPr>
            <w:rFonts w:ascii="Arial" w:cs="Arial" w:eastAsia="Arial" w:hAnsi="Arial"/>
            <w:sz w:val="17"/>
            <w:szCs w:val="17"/>
            <w:u w:val="single" w:color="auto"/>
            <w:color w:val="0000EE"/>
          </w:rPr>
          <w:t>DEFAULTS UPON SENIOR SECURITIES</w:t>
        </w:r>
      </w:hyperlink>
    </w:p>
    <w:p>
      <w:pPr>
        <w:spacing w:after="0"/>
        <w:tabs>
          <w:tab w:leader="none" w:pos="740" w:val="left"/>
        </w:tabs>
        <w:rPr>
          <w:rFonts w:ascii="Arial" w:cs="Arial" w:eastAsia="Arial" w:hAnsi="Arial"/>
          <w:sz w:val="17"/>
          <w:szCs w:val="17"/>
          <w:u w:val="single" w:color="auto"/>
          <w:color w:val="0000EE"/>
        </w:rPr>
      </w:pPr>
      <w:hyperlink w:anchor="page63">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63">
        <w:r>
          <w:rPr>
            <w:rFonts w:ascii="Arial" w:cs="Arial" w:eastAsia="Arial" w:hAnsi="Arial"/>
            <w:sz w:val="17"/>
            <w:szCs w:val="17"/>
            <w:u w:val="single" w:color="auto"/>
            <w:color w:val="0000EE"/>
          </w:rPr>
          <w:t>MINE SAFETY DISCLOSURES</w:t>
        </w:r>
      </w:hyperlink>
    </w:p>
    <w:p>
      <w:pPr>
        <w:spacing w:after="0"/>
        <w:tabs>
          <w:tab w:leader="none" w:pos="740" w:val="left"/>
        </w:tabs>
        <w:rPr>
          <w:rFonts w:ascii="Arial" w:cs="Arial" w:eastAsia="Arial" w:hAnsi="Arial"/>
          <w:sz w:val="17"/>
          <w:szCs w:val="17"/>
          <w:u w:val="single" w:color="auto"/>
          <w:color w:val="0000EE"/>
        </w:rPr>
      </w:pPr>
      <w:hyperlink w:anchor="page63">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63">
        <w:r>
          <w:rPr>
            <w:rFonts w:ascii="Arial" w:cs="Arial" w:eastAsia="Arial" w:hAnsi="Arial"/>
            <w:sz w:val="17"/>
            <w:szCs w:val="17"/>
            <w:u w:val="single" w:color="auto"/>
            <w:color w:val="0000EE"/>
          </w:rPr>
          <w:t>OTHER INFORMATION</w:t>
        </w:r>
      </w:hyperlink>
    </w:p>
    <w:p>
      <w:pPr>
        <w:spacing w:after="0"/>
        <w:tabs>
          <w:tab w:leader="none" w:pos="740" w:val="left"/>
        </w:tabs>
        <w:rPr>
          <w:rFonts w:ascii="Arial" w:cs="Arial" w:eastAsia="Arial" w:hAnsi="Arial"/>
          <w:sz w:val="17"/>
          <w:szCs w:val="17"/>
          <w:u w:val="single" w:color="auto"/>
          <w:color w:val="0000EE"/>
        </w:rPr>
      </w:pPr>
      <w:hyperlink w:anchor="page64">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64">
        <w:r>
          <w:rPr>
            <w:rFonts w:ascii="Arial" w:cs="Arial" w:eastAsia="Arial" w:hAnsi="Arial"/>
            <w:sz w:val="17"/>
            <w:szCs w:val="17"/>
            <w:u w:val="single" w:color="auto"/>
            <w:color w:val="0000EE"/>
          </w:rPr>
          <w:t>EXHIBITS</w:t>
        </w:r>
      </w:hyperlink>
    </w:p>
    <w:p>
      <w:pPr>
        <w:ind w:left="7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52" w:lineRule="exact"/>
        <w:rPr>
          <w:sz w:val="20"/>
          <w:szCs w:val="20"/>
          <w:color w:val="auto"/>
        </w:rPr>
      </w:pPr>
    </w:p>
    <w:p>
      <w:pPr>
        <w:jc w:val="center"/>
        <w:ind w:left="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ectPr>
          <w:pgSz w:w="11900" w:h="16838" w:orient="portrait"/>
          <w:cols w:equalWidth="0" w:num="2">
            <w:col w:w="8260" w:space="620"/>
            <w:col w:w="180"/>
          </w:cols>
          <w:pgMar w:left="1420" w:top="530"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w w:val="93"/>
              </w:rPr>
              <w:t>September 30, 2019</w:t>
            </w:r>
          </w:p>
        </w:tc>
        <w:tc>
          <w:tcPr>
            <w:tcW w:w="2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100" w:type="dxa"/>
            <w:vAlign w:val="bottom"/>
            <w:tcBorders>
              <w:top w:val="single" w:sz="8" w:color="auto"/>
            </w:tcBorders>
            <w:gridSpan w:val="3"/>
          </w:tcPr>
          <w:p>
            <w:pPr>
              <w:jc w:val="right"/>
              <w:ind w:right="888"/>
              <w:spacing w:after="0"/>
              <w:rPr>
                <w:sz w:val="20"/>
                <w:szCs w:val="20"/>
                <w:color w:val="auto"/>
              </w:rPr>
            </w:pPr>
            <w:r>
              <w:rPr>
                <w:rFonts w:ascii="Arial" w:cs="Arial" w:eastAsia="Arial" w:hAnsi="Arial"/>
                <w:sz w:val="14"/>
                <w:szCs w:val="14"/>
                <w:b w:val="1"/>
                <w:bCs w:val="1"/>
                <w:i w:val="1"/>
                <w:iCs w:val="1"/>
                <w:color w:val="auto"/>
              </w:rPr>
              <w:t>(dollars 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18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139,523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128,838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Interest-bearing deposits</w:t>
            </w:r>
          </w:p>
        </w:tc>
        <w:tc>
          <w:tcPr>
            <w:tcW w:w="18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385,934</w:t>
            </w:r>
          </w:p>
        </w:tc>
        <w:tc>
          <w:tcPr>
            <w:tcW w:w="2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80" w:type="dxa"/>
            <w:vAlign w:val="bottom"/>
          </w:tcPr>
          <w:p>
            <w:pPr>
              <w:ind w:left="120"/>
              <w:spacing w:after="0"/>
              <w:rPr>
                <w:sz w:val="20"/>
                <w:szCs w:val="20"/>
                <w:color w:val="auto"/>
              </w:rPr>
            </w:pPr>
            <w:r>
              <w:rPr>
                <w:rFonts w:ascii="Arial" w:cs="Arial" w:eastAsia="Arial" w:hAnsi="Arial"/>
                <w:sz w:val="14"/>
                <w:szCs w:val="14"/>
                <w:color w:val="auto"/>
              </w:rPr>
              <w:t>Total cash and cash equivalents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525,457</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239,973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4"/>
                <w:szCs w:val="14"/>
                <w:color w:val="auto"/>
              </w:rPr>
              <w:t>Debt securities available for sale</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1,701,005</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697,685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Debt securities held to maturity (fair value 2019 $15,399; 2018 $603,360)</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15,170</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608,660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4"/>
                <w:szCs w:val="14"/>
                <w:color w:val="auto"/>
              </w:rPr>
              <w:t>Equity securities</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5,690</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Loans held for sale, at fair value</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70,345</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4"/>
                <w:szCs w:val="14"/>
                <w:color w:val="auto"/>
                <w:w w:val="94"/>
              </w:rPr>
              <w:t>Portfolio loans (net of allowance for loan losses 2019 $52,965; 2018</w:t>
            </w:r>
          </w:p>
        </w:tc>
        <w:tc>
          <w:tcPr>
            <w:tcW w:w="1880" w:type="dxa"/>
            <w:vAlign w:val="bottom"/>
          </w:tcPr>
          <w:p>
            <w:pPr>
              <w:jc w:val="right"/>
              <w:ind w:right="1288"/>
              <w:spacing w:after="0"/>
              <w:rPr>
                <w:sz w:val="20"/>
                <w:szCs w:val="20"/>
                <w:color w:val="auto"/>
              </w:rPr>
            </w:pPr>
            <w:r>
              <w:rPr>
                <w:rFonts w:ascii="Arial" w:cs="Arial" w:eastAsia="Arial" w:hAnsi="Arial"/>
                <w:sz w:val="14"/>
                <w:szCs w:val="14"/>
                <w:color w:val="auto"/>
                <w:w w:val="90"/>
              </w:rPr>
              <w:t>$50,648)</w:t>
            </w:r>
          </w:p>
        </w:tc>
        <w:tc>
          <w:tcPr>
            <w:tcW w:w="10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6,616,450</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5,517,780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Premises and equipment, net</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153,641</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4"/>
                <w:szCs w:val="14"/>
                <w:color w:val="auto"/>
              </w:rPr>
              <w:t>Right of use asset</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9,979</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322,699</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4"/>
                <w:szCs w:val="14"/>
                <w:color w:val="auto"/>
              </w:rPr>
              <w:t>Other intangible assets, net</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58,624</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32,873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Cash surrender value of bank owned life insurance</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172,512</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102,188</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assets</w:t>
            </w:r>
          </w:p>
        </w:tc>
        <w:tc>
          <w:tcPr>
            <w:tcW w:w="1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9,753,760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7,702,357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8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ind w:left="220"/>
              <w:spacing w:after="0"/>
              <w:rPr>
                <w:sz w:val="20"/>
                <w:szCs w:val="20"/>
                <w:color w:val="auto"/>
              </w:rPr>
            </w:pPr>
            <w:r>
              <w:rPr>
                <w:rFonts w:ascii="Arial" w:cs="Arial" w:eastAsia="Arial" w:hAnsi="Arial"/>
                <w:sz w:val="14"/>
                <w:szCs w:val="14"/>
                <w:color w:val="auto"/>
              </w:rPr>
              <w:t>Deposits:</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Noninterest-bearing</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1,779,490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1,464,700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Interest-bearing</w:t>
            </w: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6,150,976</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4,784,621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deposits</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7,930,466</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6,249,321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Securities sold under agreements to repurchase</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202,500</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4"/>
                <w:szCs w:val="14"/>
                <w:color w:val="auto"/>
              </w:rPr>
              <w:t>Short-term borrowings</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29,739</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Long-term debt</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85,106</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4"/>
                <w:szCs w:val="14"/>
                <w:color w:val="auto"/>
              </w:rPr>
              <w:t>Senior notes, net of unamortized issuance costs</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39,640</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39,539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Subordinated notes, net of unamortized issuance costs</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59,222</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4"/>
                <w:szCs w:val="14"/>
                <w:color w:val="auto"/>
              </w:rPr>
              <w:t>Junior subordinated debt owed to unconsolidated trusts</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71,269</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Lease liability</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10,101</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liabilities</w:t>
            </w: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109,736</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18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8,537,779</w:t>
            </w:r>
          </w:p>
        </w:tc>
        <w:tc>
          <w:tcPr>
            <w:tcW w:w="2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6,707,393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w w:val="98"/>
              </w:rPr>
              <w:t>Outstanding commitments and contingent liabilities (see Note 11</w:t>
            </w:r>
            <w:r>
              <w:rPr>
                <w:rFonts w:ascii="Arial" w:cs="Arial" w:eastAsia="Arial" w:hAnsi="Arial"/>
                <w:sz w:val="14"/>
                <w:szCs w:val="14"/>
                <w:i w:val="1"/>
                <w:iCs w:val="1"/>
                <w:color w:val="auto"/>
                <w:w w:val="98"/>
              </w:rPr>
              <w:t>)</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60" w:type="dxa"/>
            <w:vAlign w:val="bottom"/>
            <w:gridSpan w:val="2"/>
          </w:tcPr>
          <w:p>
            <w:pPr>
              <w:spacing w:after="0"/>
              <w:rPr>
                <w:sz w:val="20"/>
                <w:szCs w:val="20"/>
                <w:color w:val="auto"/>
              </w:rPr>
            </w:pPr>
            <w:r>
              <w:rPr>
                <w:rFonts w:ascii="Arial" w:cs="Arial" w:eastAsia="Arial" w:hAnsi="Arial"/>
                <w:sz w:val="14"/>
                <w:szCs w:val="14"/>
                <w:color w:val="auto"/>
              </w:rPr>
              <w:t>Common stock, $.001 par value, authorized 66,666,667 shares; 55,910,733 shares issued</w:t>
            </w:r>
          </w:p>
        </w:tc>
        <w:tc>
          <w:tcPr>
            <w:tcW w:w="100" w:type="dxa"/>
            <w:vAlign w:val="bottom"/>
          </w:tcPr>
          <w:p>
            <w:pPr>
              <w:spacing w:after="0"/>
              <w:rPr>
                <w:sz w:val="15"/>
                <w:szCs w:val="15"/>
                <w:color w:val="auto"/>
              </w:rPr>
            </w:pPr>
          </w:p>
        </w:tc>
        <w:tc>
          <w:tcPr>
            <w:tcW w:w="14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56</w:t>
            </w:r>
          </w:p>
        </w:tc>
        <w:tc>
          <w:tcPr>
            <w:tcW w:w="2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80" w:type="dxa"/>
            <w:vAlign w:val="bottom"/>
          </w:tcPr>
          <w:p>
            <w:pPr>
              <w:ind w:left="120"/>
              <w:spacing w:after="0"/>
              <w:rPr>
                <w:sz w:val="20"/>
                <w:szCs w:val="20"/>
                <w:color w:val="auto"/>
              </w:rPr>
            </w:pPr>
            <w:r>
              <w:rPr>
                <w:rFonts w:ascii="Arial" w:cs="Arial" w:eastAsia="Arial" w:hAnsi="Arial"/>
                <w:sz w:val="14"/>
                <w:szCs w:val="14"/>
                <w:color w:val="auto"/>
              </w:rPr>
              <w:t>2019 and 49,185,581 shares issued 2018</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1,247,560</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4"/>
                <w:szCs w:val="14"/>
                <w:color w:val="auto"/>
              </w:rPr>
              <w:t>Accumulated deficit</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(31,868)</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(72,167)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w:t>
            </w:r>
          </w:p>
        </w:tc>
        <w:tc>
          <w:tcPr>
            <w:tcW w:w="18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17,391</w:t>
            </w:r>
          </w:p>
        </w:tc>
        <w:tc>
          <w:tcPr>
            <w:tcW w:w="2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80" w:type="dxa"/>
            <w:vAlign w:val="bottom"/>
          </w:tcPr>
          <w:p>
            <w:pPr>
              <w:ind w:left="440"/>
              <w:spacing w:after="0"/>
              <w:rPr>
                <w:sz w:val="20"/>
                <w:szCs w:val="20"/>
                <w:color w:val="auto"/>
              </w:rPr>
            </w:pPr>
            <w:r>
              <w:rPr>
                <w:rFonts w:ascii="Arial" w:cs="Arial" w:eastAsia="Arial" w:hAnsi="Arial"/>
                <w:sz w:val="14"/>
                <w:szCs w:val="14"/>
                <w:color w:val="auto"/>
              </w:rPr>
              <w:t>Total stockholders’ equity before treasury stock</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1,233,139</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1,001,154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3"/>
              </w:rPr>
              <w:t>Treasury stock, at cost (2019 713,456 shares; 2018 310,745 shares)</w:t>
            </w: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(17,158)</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stockholders’ equity</w:t>
            </w:r>
          </w:p>
        </w:tc>
        <w:tc>
          <w:tcPr>
            <w:tcW w:w="18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1,215,981</w:t>
            </w:r>
          </w:p>
        </w:tc>
        <w:tc>
          <w:tcPr>
            <w:tcW w:w="2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994,964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9,753,760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7,702,357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4"/>
                <w:szCs w:val="14"/>
                <w:color w:val="auto"/>
              </w:rPr>
              <w:t>Common shares outstanding at period end</w:t>
            </w:r>
          </w:p>
        </w:tc>
        <w:tc>
          <w:tcPr>
            <w:tcW w:w="1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55,197,277</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48,874,836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40" w:type="dxa"/>
            <w:vAlign w:val="bottom"/>
            <w:gridSpan w:val="6"/>
          </w:tcPr>
          <w:p>
            <w:pPr>
              <w:jc w:val="right"/>
              <w:ind w:right="148"/>
              <w:spacing w:after="0"/>
              <w:rPr>
                <w:sz w:val="20"/>
                <w:szCs w:val="20"/>
                <w:color w:val="auto"/>
              </w:rPr>
            </w:pPr>
            <w:r>
              <w:rPr>
                <w:rFonts w:ascii="Arial" w:cs="Arial" w:eastAsia="Arial" w:hAnsi="Arial"/>
                <w:sz w:val="14"/>
                <w:szCs w:val="14"/>
                <w:b w:val="1"/>
                <w:bCs w:val="1"/>
                <w:i w:val="1"/>
                <w:iCs w:val="1"/>
                <w:color w:val="auto"/>
                <w:w w:val="88"/>
              </w:rPr>
              <w:t>(dollars in thousands, except per share amounts)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Interest and fees on loans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78,083</w:t>
            </w:r>
          </w:p>
        </w:tc>
        <w:tc>
          <w:tcPr>
            <w:tcW w:w="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63,589</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227,903</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186,839</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and dividends on investment securities: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340"/>
              <w:spacing w:after="0"/>
              <w:rPr>
                <w:sz w:val="20"/>
                <w:szCs w:val="20"/>
                <w:color w:val="auto"/>
              </w:rPr>
            </w:pPr>
            <w:r>
              <w:rPr>
                <w:rFonts w:ascii="Arial" w:cs="Arial" w:eastAsia="Arial" w:hAnsi="Arial"/>
                <w:sz w:val="14"/>
                <w:szCs w:val="14"/>
                <w:color w:val="auto"/>
              </w:rPr>
              <w:t>Taxable interest income</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10,247</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7,357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31,583</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19,670</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Non-taxable interest income</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1,180</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3,456</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0" w:type="dxa"/>
            <w:vAlign w:val="bottom"/>
          </w:tcPr>
          <w:p>
            <w:pPr>
              <w:spacing w:after="0"/>
              <w:rPr>
                <w:sz w:val="1"/>
                <w:szCs w:val="1"/>
                <w:color w:val="auto"/>
              </w:rPr>
            </w:pPr>
          </w:p>
        </w:tc>
      </w:tr>
      <w:tr>
        <w:trPr>
          <w:trHeight w:val="176"/>
        </w:trPr>
        <w:tc>
          <w:tcPr>
            <w:tcW w:w="39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Other interest income</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2,181</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4,496</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income</w:t>
            </w: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91,691</w:t>
            </w: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72,761</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267,438</w:t>
            </w: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211,719</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14,753</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41,407</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21,837</w:t>
            </w:r>
          </w:p>
        </w:tc>
        <w:tc>
          <w:tcPr>
            <w:tcW w:w="0" w:type="dxa"/>
            <w:vAlign w:val="bottom"/>
          </w:tcPr>
          <w:p>
            <w:pPr>
              <w:spacing w:after="0"/>
              <w:rPr>
                <w:sz w:val="1"/>
                <w:szCs w:val="1"/>
                <w:color w:val="auto"/>
              </w:rPr>
            </w:pPr>
          </w:p>
        </w:tc>
      </w:tr>
      <w:tr>
        <w:trPr>
          <w:trHeight w:val="182"/>
        </w:trPr>
        <w:tc>
          <w:tcPr>
            <w:tcW w:w="3960" w:type="dxa"/>
            <w:vAlign w:val="bottom"/>
          </w:tcPr>
          <w:p>
            <w:pPr>
              <w:ind w:left="220"/>
              <w:spacing w:after="0"/>
              <w:rPr>
                <w:sz w:val="20"/>
                <w:szCs w:val="20"/>
                <w:color w:val="auto"/>
              </w:rPr>
            </w:pPr>
            <w:r>
              <w:rPr>
                <w:rFonts w:ascii="Arial" w:cs="Arial" w:eastAsia="Arial" w:hAnsi="Arial"/>
                <w:sz w:val="14"/>
                <w:szCs w:val="14"/>
                <w:color w:val="auto"/>
              </w:rPr>
              <w:t>Federal funds purchased and securities sold under</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579</w:t>
            </w:r>
          </w:p>
        </w:tc>
        <w:tc>
          <w:tcPr>
            <w:tcW w:w="5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426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1,789</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69"/>
        </w:trPr>
        <w:tc>
          <w:tcPr>
            <w:tcW w:w="3960" w:type="dxa"/>
            <w:vAlign w:val="bottom"/>
          </w:tcPr>
          <w:p>
            <w:pPr>
              <w:ind w:left="340"/>
              <w:spacing w:after="0"/>
              <w:rPr>
                <w:sz w:val="20"/>
                <w:szCs w:val="20"/>
                <w:color w:val="auto"/>
              </w:rPr>
            </w:pPr>
            <w:r>
              <w:rPr>
                <w:rFonts w:ascii="Arial" w:cs="Arial" w:eastAsia="Arial" w:hAnsi="Arial"/>
                <w:sz w:val="14"/>
                <w:szCs w:val="14"/>
                <w:color w:val="auto"/>
              </w:rPr>
              <w:t>agreements to repurchase</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885</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700</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Senior notes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1,199</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Subordinated notes</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731</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2,193</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Junior subordinated debt owed to unconsolidated trusts</w:t>
            </w: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852</w:t>
            </w: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2,658</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2,383</w:t>
            </w:r>
          </w:p>
        </w:tc>
        <w:tc>
          <w:tcPr>
            <w:tcW w:w="0" w:type="dxa"/>
            <w:vAlign w:val="bottom"/>
          </w:tcPr>
          <w:p>
            <w:pPr>
              <w:spacing w:after="0"/>
              <w:rPr>
                <w:sz w:val="1"/>
                <w:szCs w:val="1"/>
                <w:color w:val="auto"/>
              </w:rPr>
            </w:pPr>
          </w:p>
        </w:tc>
      </w:tr>
      <w:tr>
        <w:trPr>
          <w:trHeight w:val="169"/>
        </w:trPr>
        <w:tc>
          <w:tcPr>
            <w:tcW w:w="39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interest expense</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18,215</w:t>
            </w: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52,151</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30,816</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73,476</w:t>
            </w: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60,774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215,287</w:t>
            </w: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180,903</w:t>
            </w:r>
          </w:p>
        </w:tc>
        <w:tc>
          <w:tcPr>
            <w:tcW w:w="0" w:type="dxa"/>
            <w:vAlign w:val="bottom"/>
          </w:tcPr>
          <w:p>
            <w:pPr>
              <w:spacing w:after="0"/>
              <w:rPr>
                <w:sz w:val="1"/>
                <w:szCs w:val="1"/>
                <w:color w:val="auto"/>
              </w:rPr>
            </w:pPr>
          </w:p>
        </w:tc>
      </w:tr>
      <w:tr>
        <w:trPr>
          <w:trHeight w:val="17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loan losses</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3,411</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8,039</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4,024</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interest income after provision for loan losses</w:t>
            </w: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70,065</w:t>
            </w: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60,016</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207,248</w:t>
            </w: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176,879</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Arial" w:cs="Arial" w:eastAsia="Arial" w:hAnsi="Arial"/>
                <w:sz w:val="14"/>
                <w:szCs w:val="14"/>
                <w:b w:val="1"/>
                <w:bCs w:val="1"/>
                <w:color w:val="auto"/>
              </w:rPr>
              <w:t>Non-interest income:</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Fees for customer services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9,842</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27,635</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21,576</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Trust fees</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7,689</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6,324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24,122</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20,573</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Commissions and brokers’ fees, net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1,132</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3,216</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Remittance processing</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3,780</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11,277</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10,588</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Mortgage revenue</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3,331</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8,127</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4,488</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Net gains on sales of securities</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296</w:t>
            </w:r>
          </w:p>
        </w:tc>
        <w:tc>
          <w:tcPr>
            <w:tcW w:w="5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112</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gains (losses) recognized on equity securities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c>
          <w:tcPr>
            <w:tcW w:w="5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(735)</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4,801</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2,406</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11,023</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6,896</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non-interest income</w:t>
            </w: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30,936</w:t>
            </w: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21,853</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84,777</w:t>
            </w: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67,141</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Arial" w:cs="Arial" w:eastAsia="Arial" w:hAnsi="Arial"/>
                <w:sz w:val="14"/>
                <w:szCs w:val="14"/>
                <w:b w:val="1"/>
                <w:bCs w:val="1"/>
                <w:color w:val="auto"/>
              </w:rPr>
              <w:t>Non-interest expense:</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Salaries, wages and employee benefits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38,747</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105,356</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80,315</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Net occupancy expense of premises</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4,652</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3,761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13,365</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11,271</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Furniture and equipment expenses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2,489</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6,936</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5,418</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Data processing</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5,032</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4,016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15,049</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12,391</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2,360</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6,866</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4,450</w:t>
            </w:r>
          </w:p>
        </w:tc>
        <w:tc>
          <w:tcPr>
            <w:tcW w:w="0" w:type="dxa"/>
            <w:vAlign w:val="bottom"/>
          </w:tcPr>
          <w:p>
            <w:pPr>
              <w:spacing w:after="0"/>
              <w:rPr>
                <w:sz w:val="1"/>
                <w:szCs w:val="1"/>
                <w:color w:val="auto"/>
              </w:rPr>
            </w:pPr>
          </w:p>
        </w:tc>
      </w:tr>
      <w:tr>
        <w:trPr>
          <w:trHeight w:val="17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expense</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14,841</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45,732</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30,429</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non-interest expense</w:t>
            </w: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68,121</w:t>
            </w: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45,929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193,304</w:t>
            </w: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144,274</w:t>
            </w:r>
          </w:p>
        </w:tc>
        <w:tc>
          <w:tcPr>
            <w:tcW w:w="0" w:type="dxa"/>
            <w:vAlign w:val="bottom"/>
          </w:tcPr>
          <w:p>
            <w:pPr>
              <w:spacing w:after="0"/>
              <w:rPr>
                <w:sz w:val="1"/>
                <w:szCs w:val="1"/>
                <w:color w:val="auto"/>
              </w:rPr>
            </w:pPr>
          </w:p>
        </w:tc>
      </w:tr>
      <w:tr>
        <w:trPr>
          <w:trHeight w:val="169"/>
        </w:trPr>
        <w:tc>
          <w:tcPr>
            <w:tcW w:w="3960" w:type="dxa"/>
            <w:vAlign w:val="bottom"/>
          </w:tcPr>
          <w:p>
            <w:pPr>
              <w:ind w:left="440"/>
              <w:spacing w:after="0"/>
              <w:rPr>
                <w:sz w:val="20"/>
                <w:szCs w:val="20"/>
                <w:color w:val="auto"/>
              </w:rPr>
            </w:pPr>
            <w:r>
              <w:rPr>
                <w:rFonts w:ascii="Arial" w:cs="Arial" w:eastAsia="Arial" w:hAnsi="Arial"/>
                <w:sz w:val="14"/>
                <w:szCs w:val="14"/>
                <w:color w:val="auto"/>
              </w:rPr>
              <w:t>Income before income taxes</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32,880</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35,940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98,721</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99,746</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w:t>
            </w: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8,052</w:t>
            </w: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9,081</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24,339</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26,108</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tcPr>
          <w:p>
            <w:pPr>
              <w:ind w:left="440"/>
              <w:spacing w:after="0"/>
              <w:rPr>
                <w:sz w:val="20"/>
                <w:szCs w:val="20"/>
                <w:color w:val="auto"/>
              </w:rPr>
            </w:pPr>
            <w:r>
              <w:rPr>
                <w:rFonts w:ascii="Arial" w:cs="Arial" w:eastAsia="Arial" w:hAnsi="Arial"/>
                <w:sz w:val="14"/>
                <w:szCs w:val="14"/>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24,828</w:t>
            </w:r>
          </w:p>
        </w:tc>
        <w:tc>
          <w:tcPr>
            <w:tcW w:w="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26,859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74,382</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73,638</w:t>
            </w:r>
          </w:p>
        </w:tc>
        <w:tc>
          <w:tcPr>
            <w:tcW w:w="0" w:type="dxa"/>
            <w:vAlign w:val="bottom"/>
          </w:tcPr>
          <w:p>
            <w:pPr>
              <w:spacing w:after="0"/>
              <w:rPr>
                <w:sz w:val="1"/>
                <w:szCs w:val="1"/>
                <w:color w:val="auto"/>
              </w:rPr>
            </w:pPr>
          </w:p>
        </w:tc>
      </w:tr>
      <w:tr>
        <w:trPr>
          <w:trHeight w:val="156"/>
        </w:trPr>
        <w:tc>
          <w:tcPr>
            <w:tcW w:w="3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Basic earnings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0.45</w:t>
            </w:r>
          </w:p>
        </w:tc>
        <w:tc>
          <w:tcPr>
            <w:tcW w:w="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1.36</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56"/>
        </w:trPr>
        <w:tc>
          <w:tcPr>
            <w:tcW w:w="39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Diluted earnings per common share</w:t>
            </w: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0.45</w:t>
            </w:r>
          </w:p>
        </w:tc>
        <w:tc>
          <w:tcPr>
            <w:tcW w:w="520" w:type="dxa"/>
            <w:vAlign w:val="bottom"/>
            <w:tcBorders>
              <w:bottom w:val="single" w:sz="8" w:color="auto"/>
            </w:tcBorders>
            <w:shd w:val="clear" w:color="auto" w:fill="CCEEFF"/>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0.55</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ind w:right="68"/>
              <w:spacing w:after="0" w:line="156" w:lineRule="exact"/>
              <w:rPr>
                <w:sz w:val="20"/>
                <w:szCs w:val="20"/>
                <w:color w:val="auto"/>
              </w:rPr>
            </w:pPr>
            <w:r>
              <w:rPr>
                <w:rFonts w:ascii="Arial" w:cs="Arial" w:eastAsia="Arial" w:hAnsi="Arial"/>
                <w:sz w:val="14"/>
                <w:szCs w:val="14"/>
                <w:b w:val="1"/>
                <w:bCs w:val="1"/>
                <w:color w:val="auto"/>
              </w:rPr>
              <w:t>1.35</w:t>
            </w:r>
          </w:p>
        </w:tc>
        <w:tc>
          <w:tcPr>
            <w:tcW w:w="380" w:type="dxa"/>
            <w:vAlign w:val="bottom"/>
            <w:tcBorders>
              <w:bottom w:val="single" w:sz="8" w:color="auto"/>
            </w:tcBorders>
            <w:shd w:val="clear" w:color="auto" w:fill="CCEEFF"/>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Dividends declared per share of common stock</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vMerge w:val="continue"/>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b w:val="1"/>
                <w:bCs w:val="1"/>
                <w:color w:val="auto"/>
              </w:rPr>
              <w:t>0.21</w:t>
            </w:r>
          </w:p>
        </w:tc>
        <w:tc>
          <w:tcPr>
            <w:tcW w:w="52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0.20</w:t>
            </w:r>
          </w:p>
        </w:tc>
        <w:tc>
          <w:tcPr>
            <w:tcW w:w="1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b w:val="1"/>
                <w:bCs w:val="1"/>
                <w:color w:val="auto"/>
              </w:rPr>
              <w:t>0.63</w:t>
            </w:r>
          </w:p>
        </w:tc>
        <w:tc>
          <w:tcPr>
            <w:tcW w:w="38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line="247" w:lineRule="auto"/>
        <w:rPr>
          <w:sz w:val="20"/>
          <w:szCs w:val="20"/>
          <w:color w:val="auto"/>
        </w:rPr>
      </w:pPr>
      <w:r>
        <w:rPr>
          <w:rFonts w:ascii="Arial" w:cs="Arial" w:eastAsia="Arial" w:hAnsi="Arial"/>
          <w:sz w:val="18"/>
          <w:szCs w:val="18"/>
          <w:b w:val="1"/>
          <w:bCs w:val="1"/>
          <w:color w:val="auto"/>
        </w:rPr>
        <w:t>FIRST BUSEY CORPORATION and Subsidiaries CONSOLIDATED STATEMENTS OF COMPREHENSIVE INCOME (Unaudited)</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right"/>
              <w:ind w:right="21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8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Borders>
              <w:bottom w:val="single" w:sz="8" w:color="auto"/>
            </w:tcBorders>
            <w:gridSpan w:val="2"/>
          </w:tcPr>
          <w:p>
            <w:pPr>
              <w:jc w:val="right"/>
              <w:ind w:right="435"/>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880" w:type="dxa"/>
            <w:vAlign w:val="bottom"/>
            <w:tcBorders>
              <w:bottom w:val="single" w:sz="8" w:color="auto"/>
            </w:tcBorders>
            <w:gridSpan w:val="2"/>
          </w:tcPr>
          <w:p>
            <w:pPr>
              <w:jc w:val="right"/>
              <w:ind w:right="4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gridSpan w:val="3"/>
          </w:tcPr>
          <w:p>
            <w:pPr>
              <w:jc w:val="right"/>
              <w:ind w:right="321"/>
              <w:spacing w:after="0"/>
              <w:rPr>
                <w:sz w:val="20"/>
                <w:szCs w:val="20"/>
                <w:color w:val="auto"/>
              </w:rPr>
            </w:pPr>
            <w:r>
              <w:rPr>
                <w:rFonts w:ascii="Arial" w:cs="Arial" w:eastAsia="Arial" w:hAnsi="Arial"/>
                <w:sz w:val="14"/>
                <w:szCs w:val="14"/>
                <w:b w:val="1"/>
                <w:bCs w:val="1"/>
                <w:i w:val="1"/>
                <w:iCs w:val="1"/>
                <w:color w:val="auto"/>
              </w:rPr>
              <w:t>(dollars in thousands)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  24,828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26,859</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  74,382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73,638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Unrealized gains (losses) on debt securities available for sale: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Net unrealized holding gains (losses) on debt securities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w w:val="96"/>
              </w:rPr>
              <w:t>available for sale, net of taxes of $(1,423), $860, $(8,552)</w:t>
            </w:r>
          </w:p>
        </w:tc>
        <w:tc>
          <w:tcPr>
            <w:tcW w:w="1200" w:type="dxa"/>
            <w:vAlign w:val="bottom"/>
            <w:gridSpan w:val="2"/>
            <w:vMerge w:val="restart"/>
          </w:tcPr>
          <w:p>
            <w:pPr>
              <w:jc w:val="right"/>
              <w:ind w:right="79"/>
              <w:spacing w:after="0"/>
              <w:rPr>
                <w:sz w:val="20"/>
                <w:szCs w:val="20"/>
                <w:color w:val="auto"/>
              </w:rPr>
            </w:pPr>
            <w:r>
              <w:rPr>
                <w:rFonts w:ascii="Arial" w:cs="Arial" w:eastAsia="Arial" w:hAnsi="Arial"/>
                <w:sz w:val="18"/>
                <w:szCs w:val="18"/>
                <w:b w:val="1"/>
                <w:bCs w:val="1"/>
                <w:color w:val="auto"/>
              </w:rPr>
              <w:t>3,568</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(2,159)</w:t>
            </w:r>
          </w:p>
        </w:tc>
        <w:tc>
          <w:tcPr>
            <w:tcW w:w="1140" w:type="dxa"/>
            <w:vAlign w:val="bottom"/>
            <w:gridSpan w:val="2"/>
            <w:vMerge w:val="restart"/>
          </w:tcPr>
          <w:p>
            <w:pPr>
              <w:jc w:val="right"/>
              <w:ind w:right="81"/>
              <w:spacing w:after="0"/>
              <w:rPr>
                <w:sz w:val="20"/>
                <w:szCs w:val="20"/>
                <w:color w:val="auto"/>
              </w:rPr>
            </w:pPr>
            <w:r>
              <w:rPr>
                <w:rFonts w:ascii="Arial" w:cs="Arial" w:eastAsia="Arial" w:hAnsi="Arial"/>
                <w:sz w:val="18"/>
                <w:szCs w:val="18"/>
                <w:b w:val="1"/>
                <w:bCs w:val="1"/>
                <w:color w:val="auto"/>
              </w:rPr>
              <w:t>21,453</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and $3,830, respectively</w:t>
            </w:r>
          </w:p>
        </w:tc>
        <w:tc>
          <w:tcPr>
            <w:tcW w:w="1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unrealized gains on debt securities transferred from</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held to maturity to available for sale, net of taxes of $-,$-,</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3,417</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$(1,363) and $-, respectively</w:t>
            </w: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260"/>
              <w:spacing w:after="0"/>
              <w:rPr>
                <w:sz w:val="20"/>
                <w:szCs w:val="20"/>
                <w:color w:val="auto"/>
              </w:rPr>
            </w:pPr>
            <w:r>
              <w:rPr>
                <w:rFonts w:ascii="Arial" w:cs="Arial" w:eastAsia="Arial" w:hAnsi="Arial"/>
                <w:sz w:val="18"/>
                <w:szCs w:val="18"/>
                <w:color w:val="auto"/>
              </w:rPr>
              <w:t>Reclassification adjustment for realized (gains) losses 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w w:val="98"/>
              </w:rPr>
              <w:t>debt securities available for sale included in net income,</w:t>
            </w:r>
          </w:p>
        </w:tc>
        <w:tc>
          <w:tcPr>
            <w:tcW w:w="260" w:type="dxa"/>
            <w:vAlign w:val="bottom"/>
            <w:vMerge w:val="restart"/>
          </w:tcPr>
          <w:p>
            <w:pPr>
              <w:spacing w:after="0"/>
              <w:rPr>
                <w:sz w:val="20"/>
                <w:szCs w:val="20"/>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(212)</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20"/>
                <w:szCs w:val="20"/>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18"/>
                <w:szCs w:val="18"/>
                <w:b w:val="1"/>
                <w:bCs w:val="1"/>
                <w:color w:val="auto"/>
              </w:rPr>
              <w:t>(75)</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of taxes of $85, $-, $29 and $-, respectively</w:t>
            </w:r>
          </w:p>
        </w:tc>
        <w:tc>
          <w:tcPr>
            <w:tcW w:w="26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Net change in unrealized gains (losses) on debt securities</w:t>
            </w:r>
          </w:p>
        </w:tc>
        <w:tc>
          <w:tcPr>
            <w:tcW w:w="260" w:type="dxa"/>
            <w:vAlign w:val="bottom"/>
            <w:vMerge w:val="restart"/>
            <w:shd w:val="clear" w:color="auto" w:fill="CCEEFF"/>
          </w:tcPr>
          <w:p>
            <w:pPr>
              <w:spacing w:after="0"/>
              <w:rPr>
                <w:sz w:val="18"/>
                <w:szCs w:val="18"/>
                <w:color w:val="auto"/>
              </w:rPr>
            </w:pPr>
          </w:p>
        </w:tc>
        <w:tc>
          <w:tcPr>
            <w:tcW w:w="940" w:type="dxa"/>
            <w:vAlign w:val="bottom"/>
            <w:vMerge w:val="restart"/>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3,356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00" w:type="dxa"/>
            <w:vAlign w:val="bottom"/>
            <w:vMerge w:val="restart"/>
            <w:shd w:val="clear" w:color="auto" w:fill="CCEEFF"/>
          </w:tcPr>
          <w:p>
            <w:pPr>
              <w:spacing w:after="0"/>
              <w:rPr>
                <w:sz w:val="18"/>
                <w:szCs w:val="18"/>
                <w:color w:val="auto"/>
              </w:rPr>
            </w:pPr>
          </w:p>
        </w:tc>
        <w:tc>
          <w:tcPr>
            <w:tcW w:w="940" w:type="dxa"/>
            <w:vAlign w:val="bottom"/>
            <w:vMerge w:val="restart"/>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24,795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19"/>
                <w:szCs w:val="19"/>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w:t>
            </w:r>
          </w:p>
        </w:tc>
        <w:tc>
          <w:tcPr>
            <w:tcW w:w="26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30" w:right="1419" w:bottom="1440" w:gutter="0" w:footer="0" w:header="0"/>
        </w:sectPr>
      </w:pPr>
    </w:p>
    <w:p>
      <w:pPr>
        <w:spacing w:after="0" w:line="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Unrealized gains (losses)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-130175</wp:posOffset>
            </wp:positionV>
            <wp:extent cx="574611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pacing w:after="0" w:line="3" w:lineRule="exact"/>
        <w:rPr>
          <w:sz w:val="20"/>
          <w:szCs w:val="20"/>
          <w:color w:val="auto"/>
        </w:rPr>
      </w:pPr>
    </w:p>
    <w:p>
      <w:pPr>
        <w:ind w:left="420" w:right="320" w:hanging="134"/>
        <w:spacing w:after="0" w:line="308" w:lineRule="auto"/>
        <w:rPr>
          <w:sz w:val="20"/>
          <w:szCs w:val="20"/>
          <w:color w:val="auto"/>
        </w:rPr>
      </w:pPr>
      <w:r>
        <w:rPr>
          <w:rFonts w:ascii="Arial" w:cs="Arial" w:eastAsia="Arial" w:hAnsi="Arial"/>
          <w:sz w:val="16"/>
          <w:szCs w:val="16"/>
          <w:color w:val="auto"/>
        </w:rPr>
        <w:t>Net unrealized holding gains (losses) on cash flow hedges, net of taxes of $239, $-, $239 and $-,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5746115" cy="43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437515"/>
                    </a:xfrm>
                    <a:prstGeom prst="rect">
                      <a:avLst/>
                    </a:prstGeom>
                    <a:noFill/>
                  </pic:spPr>
                </pic:pic>
              </a:graphicData>
            </a:graphic>
          </wp:anchor>
        </w:drawing>
      </w:r>
    </w:p>
    <w:p>
      <w:pPr>
        <w:jc w:val="both"/>
        <w:ind w:left="420" w:right="360" w:hanging="134"/>
        <w:spacing w:after="0" w:line="284" w:lineRule="auto"/>
        <w:rPr>
          <w:sz w:val="20"/>
          <w:szCs w:val="20"/>
          <w:color w:val="auto"/>
        </w:rPr>
      </w:pPr>
      <w:r>
        <w:rPr>
          <w:rFonts w:ascii="Arial" w:cs="Arial" w:eastAsia="Arial" w:hAnsi="Arial"/>
          <w:sz w:val="17"/>
          <w:szCs w:val="17"/>
          <w:color w:val="auto"/>
        </w:rPr>
        <w:t>Reclassification adjustment for realized (gains) losses on cash flow hedges included in net income, net of taxes of $(3), $-, $(3) and $-,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tabs>
          <w:tab w:leader="none" w:pos="1180" w:val="left"/>
          <w:tab w:leader="none" w:pos="2060" w:val="left"/>
          <w:tab w:leader="none" w:pos="3260" w:val="left"/>
        </w:tabs>
        <w:rPr>
          <w:sz w:val="20"/>
          <w:szCs w:val="20"/>
          <w:color w:val="auto"/>
        </w:rPr>
      </w:pPr>
      <w:r>
        <w:rPr>
          <w:rFonts w:ascii="Arial" w:cs="Arial" w:eastAsia="Arial" w:hAnsi="Arial"/>
          <w:sz w:val="18"/>
          <w:szCs w:val="18"/>
          <w:b w:val="1"/>
          <w:bCs w:val="1"/>
          <w:color w:val="auto"/>
        </w:rPr>
        <w:t>(598)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(598)</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260"/>
        <w:spacing w:after="0"/>
        <w:tabs>
          <w:tab w:leader="none" w:pos="1180" w:val="left"/>
          <w:tab w:leader="none" w:pos="2320" w:val="left"/>
          <w:tab w:leader="none" w:pos="32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color w:val="auto"/>
        </w:rPr>
        <w:t>—</w:t>
      </w:r>
    </w:p>
    <w:p>
      <w:pPr>
        <w:spacing w:after="0" w:line="47" w:lineRule="exact"/>
        <w:rPr>
          <w:sz w:val="20"/>
          <w:szCs w:val="20"/>
          <w:color w:val="auto"/>
        </w:rPr>
      </w:pPr>
    </w:p>
    <w:p>
      <w:pPr>
        <w:sectPr>
          <w:pgSz w:w="11900" w:h="16838" w:orient="portrait"/>
          <w:cols w:equalWidth="0" w:num="2">
            <w:col w:w="4820" w:space="720"/>
            <w:col w:w="3520"/>
          </w:cols>
          <w:pgMar w:left="1420" w:top="530" w:right="141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780" w:type="dxa"/>
            <w:vAlign w:val="bottom"/>
          </w:tcPr>
          <w:p>
            <w:pPr>
              <w:ind w:left="260"/>
              <w:spacing w:after="0" w:line="204" w:lineRule="exact"/>
              <w:rPr>
                <w:sz w:val="20"/>
                <w:szCs w:val="20"/>
                <w:color w:val="auto"/>
              </w:rPr>
            </w:pPr>
            <w:r>
              <w:rPr>
                <w:rFonts w:ascii="Arial" w:cs="Arial" w:eastAsia="Arial" w:hAnsi="Arial"/>
                <w:sz w:val="18"/>
                <w:szCs w:val="18"/>
                <w:color w:val="auto"/>
              </w:rPr>
              <w:t>Net change in unrealized gains (losses) on derivative</w:t>
            </w:r>
          </w:p>
        </w:tc>
        <w:tc>
          <w:tcPr>
            <w:tcW w:w="300" w:type="dxa"/>
            <w:vAlign w:val="bottom"/>
            <w:vMerge w:val="restart"/>
          </w:tcPr>
          <w:p>
            <w:pPr>
              <w:spacing w:after="0"/>
              <w:rPr>
                <w:sz w:val="17"/>
                <w:szCs w:val="17"/>
                <w:color w:val="auto"/>
              </w:rPr>
            </w:pP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(592)</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(592)</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instruments</w:t>
            </w:r>
          </w:p>
        </w:tc>
        <w:tc>
          <w:tcPr>
            <w:tcW w:w="30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Net change in accumulated other comprehensive income</w:t>
            </w:r>
          </w:p>
        </w:tc>
        <w:tc>
          <w:tcPr>
            <w:tcW w:w="124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2,764</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8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24,203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(loss)</w:t>
            </w:r>
          </w:p>
        </w:tc>
        <w:tc>
          <w:tcPr>
            <w:tcW w:w="124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27,592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24,700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98,585</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64,029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6" w:name="page7"/>
    <w:bookmarkEnd w:id="6"/>
    <w:p>
      <w:pPr>
        <w:ind w:left="2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92"/>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2"/>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2"/>
              </w:rPr>
              <w:t>Common</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Accumulated</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w w:val="91"/>
              </w:rPr>
              <w:t>Comprehensive</w:t>
            </w: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760" w:type="dxa"/>
            <w:vAlign w:val="bottom"/>
          </w:tcPr>
          <w:p>
            <w:pPr>
              <w:spacing w:after="0"/>
              <w:rPr>
                <w:sz w:val="15"/>
                <w:szCs w:val="15"/>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3"/>
              </w:rPr>
              <w:t>Stock</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(Deficit)</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168"/>
        </w:trPr>
        <w:tc>
          <w:tcPr>
            <w:tcW w:w="3760" w:type="dxa"/>
            <w:vAlign w:val="bottom"/>
          </w:tcPr>
          <w:p>
            <w:pPr>
              <w:spacing w:after="0"/>
              <w:rPr>
                <w:sz w:val="20"/>
                <w:szCs w:val="20"/>
                <w:color w:val="auto"/>
              </w:rPr>
            </w:pPr>
            <w:r>
              <w:rPr>
                <w:rFonts w:ascii="Arial" w:cs="Arial" w:eastAsia="Arial" w:hAnsi="Arial"/>
                <w:sz w:val="13"/>
                <w:szCs w:val="13"/>
                <w:b w:val="1"/>
                <w:bCs w:val="1"/>
                <w:color w:val="auto"/>
              </w:rPr>
              <w:t>For the Three Months Ended September 30, 2019</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7"/>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Balance, June 30, 2019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55,386,636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56</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7"/>
              </w:rPr>
              <w:t>$ 1,246,160</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(44,878)</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14,627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88"/>
              </w:rPr>
              <w:t>(12,357)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1,203,608</w:t>
            </w:r>
          </w:p>
        </w:tc>
      </w:tr>
      <w:tr>
        <w:trPr>
          <w:trHeight w:val="175"/>
        </w:trPr>
        <w:tc>
          <w:tcPr>
            <w:tcW w:w="3760" w:type="dxa"/>
            <w:vAlign w:val="bottom"/>
          </w:tcPr>
          <w:p>
            <w:pPr>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24,828</w:t>
            </w:r>
          </w:p>
        </w:tc>
        <w:tc>
          <w:tcPr>
            <w:tcW w:w="1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24,828</w:t>
            </w:r>
          </w:p>
        </w:tc>
      </w:tr>
      <w:tr>
        <w:trPr>
          <w:trHeight w:val="176"/>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2,764</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w:t>
            </w:r>
          </w:p>
        </w:tc>
      </w:tr>
      <w:tr>
        <w:trPr>
          <w:trHeight w:val="175"/>
        </w:trPr>
        <w:tc>
          <w:tcPr>
            <w:tcW w:w="3760" w:type="dxa"/>
            <w:vAlign w:val="bottom"/>
          </w:tcPr>
          <w:p>
            <w:pPr>
              <w:spacing w:after="0"/>
              <w:rPr>
                <w:sz w:val="20"/>
                <w:szCs w:val="20"/>
                <w:color w:val="auto"/>
              </w:rPr>
            </w:pPr>
            <w:r>
              <w:rPr>
                <w:rFonts w:ascii="Arial" w:cs="Arial" w:eastAsia="Arial" w:hAnsi="Arial"/>
                <w:sz w:val="14"/>
                <w:szCs w:val="14"/>
                <w:color w:val="auto"/>
              </w:rPr>
              <w:t>Repurchase of stock</w:t>
            </w:r>
          </w:p>
        </w:tc>
        <w:tc>
          <w:tcPr>
            <w:tcW w:w="700" w:type="dxa"/>
            <w:vAlign w:val="bottom"/>
          </w:tcPr>
          <w:p>
            <w:pPr>
              <w:jc w:val="right"/>
              <w:spacing w:after="0"/>
              <w:rPr>
                <w:sz w:val="20"/>
                <w:szCs w:val="20"/>
                <w:color w:val="auto"/>
              </w:rPr>
            </w:pPr>
            <w:r>
              <w:rPr>
                <w:rFonts w:ascii="Arial" w:cs="Arial" w:eastAsia="Arial" w:hAnsi="Arial"/>
                <w:sz w:val="14"/>
                <w:szCs w:val="14"/>
                <w:color w:val="auto"/>
              </w:rPr>
              <w:t>(194,062)</w:t>
            </w:r>
          </w:p>
        </w:tc>
        <w:tc>
          <w:tcPr>
            <w:tcW w:w="1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(4,890)</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(4,890)</w:t>
            </w:r>
          </w:p>
        </w:tc>
      </w:tr>
      <w:tr>
        <w:trPr>
          <w:trHeight w:val="176"/>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w w:val="99"/>
              </w:rPr>
              <w:t>Issuance of treasury stock for employee stock purchase plan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75"/>
        </w:trPr>
        <w:tc>
          <w:tcPr>
            <w:tcW w:w="3760" w:type="dxa"/>
            <w:vAlign w:val="bottom"/>
          </w:tcPr>
          <w:p>
            <w:pPr>
              <w:spacing w:after="0"/>
              <w:rPr>
                <w:sz w:val="20"/>
                <w:szCs w:val="20"/>
                <w:color w:val="auto"/>
              </w:rPr>
            </w:pPr>
            <w:r>
              <w:rPr>
                <w:rFonts w:ascii="Arial" w:cs="Arial" w:eastAsia="Arial" w:hAnsi="Arial"/>
                <w:sz w:val="14"/>
                <w:szCs w:val="14"/>
                <w:color w:val="auto"/>
                <w:w w:val="96"/>
              </w:rPr>
              <w:t>Net issuance of treasury stock for restricted/deferred stock unit</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760" w:type="dxa"/>
            <w:vAlign w:val="bottom"/>
          </w:tcPr>
          <w:p>
            <w:pPr>
              <w:ind w:left="100"/>
              <w:spacing w:after="0"/>
              <w:rPr>
                <w:sz w:val="20"/>
                <w:szCs w:val="20"/>
                <w:color w:val="auto"/>
              </w:rPr>
            </w:pPr>
            <w:r>
              <w:rPr>
                <w:rFonts w:ascii="Arial" w:cs="Arial" w:eastAsia="Arial" w:hAnsi="Arial"/>
                <w:sz w:val="14"/>
                <w:szCs w:val="14"/>
                <w:color w:val="auto"/>
              </w:rPr>
              <w:t>vesting and related tax</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75"/>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w w:val="93"/>
              </w:rPr>
              <w:t>Net issuance of treasury stock for stock options exercised, net of</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6"/>
        </w:trPr>
        <w:tc>
          <w:tcPr>
            <w:tcW w:w="3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redeemed and related tax</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760" w:type="dxa"/>
            <w:vAlign w:val="bottom"/>
          </w:tcPr>
          <w:p>
            <w:pPr>
              <w:spacing w:after="0"/>
              <w:rPr>
                <w:sz w:val="20"/>
                <w:szCs w:val="20"/>
                <w:color w:val="auto"/>
              </w:rPr>
            </w:pPr>
            <w:r>
              <w:rPr>
                <w:rFonts w:ascii="Arial" w:cs="Arial" w:eastAsia="Arial" w:hAnsi="Arial"/>
                <w:sz w:val="14"/>
                <w:szCs w:val="14"/>
                <w:color w:val="auto"/>
              </w:rPr>
              <w:t>Cash dividends common stock at $0.21 per share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(11,632)</w:t>
            </w:r>
          </w:p>
        </w:tc>
        <w:tc>
          <w:tcPr>
            <w:tcW w:w="1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(11,632)</w:t>
            </w:r>
          </w:p>
        </w:tc>
      </w:tr>
      <w:tr>
        <w:trPr>
          <w:trHeight w:val="175"/>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w w:val="99"/>
              </w:rPr>
              <w:t>Stock dividend equivalents restricted stock units at $0.21 per</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6"/>
        </w:trPr>
        <w:tc>
          <w:tcPr>
            <w:tcW w:w="3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186</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(186)</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1,205</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r>
      <w:tr>
        <w:trPr>
          <w:trHeight w:val="169"/>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September 30, 2019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55,197,277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56</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97"/>
              </w:rPr>
              <w:t>$ 1,247,560</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(31,868)</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17,391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88"/>
              </w:rPr>
              <w:t>(17,158)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1,215,981</w:t>
            </w:r>
          </w:p>
        </w:tc>
      </w:tr>
      <w:tr>
        <w:trPr>
          <w:trHeight w:val="20"/>
        </w:trPr>
        <w:tc>
          <w:tcPr>
            <w:tcW w:w="3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56"/>
        </w:trPr>
        <w:tc>
          <w:tcPr>
            <w:tcW w:w="3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6"/>
        </w:trPr>
        <w:tc>
          <w:tcPr>
            <w:tcW w:w="3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the Nine Months Ended September 30, 2019</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5"/>
        </w:trPr>
        <w:tc>
          <w:tcPr>
            <w:tcW w:w="3760" w:type="dxa"/>
            <w:vAlign w:val="bottom"/>
          </w:tcPr>
          <w:p>
            <w:pPr>
              <w:spacing w:after="0"/>
              <w:rPr>
                <w:sz w:val="20"/>
                <w:szCs w:val="20"/>
                <w:color w:val="auto"/>
              </w:rPr>
            </w:pPr>
            <w:r>
              <w:rPr>
                <w:rFonts w:ascii="Arial" w:cs="Arial" w:eastAsia="Arial" w:hAnsi="Arial"/>
                <w:sz w:val="14"/>
                <w:szCs w:val="14"/>
                <w:color w:val="auto"/>
              </w:rPr>
              <w:t>Balance, December 31, 2018</w:t>
            </w:r>
          </w:p>
        </w:tc>
        <w:tc>
          <w:tcPr>
            <w:tcW w:w="700" w:type="dxa"/>
            <w:vAlign w:val="bottom"/>
          </w:tcPr>
          <w:p>
            <w:pPr>
              <w:jc w:val="right"/>
              <w:spacing w:after="0"/>
              <w:rPr>
                <w:sz w:val="20"/>
                <w:szCs w:val="20"/>
                <w:color w:val="auto"/>
              </w:rPr>
            </w:pPr>
            <w:r>
              <w:rPr>
                <w:rFonts w:ascii="Arial" w:cs="Arial" w:eastAsia="Arial" w:hAnsi="Arial"/>
                <w:sz w:val="14"/>
                <w:szCs w:val="14"/>
                <w:color w:val="auto"/>
                <w:w w:val="91"/>
              </w:rPr>
              <w:t>48,874,836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49</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w w:val="97"/>
              </w:rPr>
              <w:t>$ 1,080,084</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(72,167)</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(6,812)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(6,190)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994,964</w:t>
            </w:r>
          </w:p>
        </w:tc>
      </w:tr>
      <w:tr>
        <w:trPr>
          <w:trHeight w:val="176"/>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74,382</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74,382</w:t>
            </w:r>
          </w:p>
        </w:tc>
      </w:tr>
      <w:tr>
        <w:trPr>
          <w:trHeight w:val="175"/>
        </w:trPr>
        <w:tc>
          <w:tcPr>
            <w:tcW w:w="37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24,203</w:t>
            </w:r>
          </w:p>
        </w:tc>
        <w:tc>
          <w:tcPr>
            <w:tcW w:w="16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24,203</w:t>
            </w:r>
          </w:p>
        </w:tc>
      </w:tr>
      <w:tr>
        <w:trPr>
          <w:trHeight w:val="176"/>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w w:val="90"/>
              </w:rPr>
              <w:t>Stock issued in acquisition of Banc Ed, net of stock issuance costs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6,725,152</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166,274</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166,281</w:t>
            </w:r>
          </w:p>
        </w:tc>
      </w:tr>
      <w:tr>
        <w:trPr>
          <w:trHeight w:val="175"/>
        </w:trPr>
        <w:tc>
          <w:tcPr>
            <w:tcW w:w="3760" w:type="dxa"/>
            <w:vAlign w:val="bottom"/>
          </w:tcPr>
          <w:p>
            <w:pPr>
              <w:spacing w:after="0"/>
              <w:rPr>
                <w:sz w:val="20"/>
                <w:szCs w:val="20"/>
                <w:color w:val="auto"/>
              </w:rPr>
            </w:pPr>
            <w:r>
              <w:rPr>
                <w:rFonts w:ascii="Arial" w:cs="Arial" w:eastAsia="Arial" w:hAnsi="Arial"/>
                <w:sz w:val="14"/>
                <w:szCs w:val="14"/>
                <w:color w:val="auto"/>
              </w:rPr>
              <w:t>Repurchase of stock</w:t>
            </w:r>
          </w:p>
        </w:tc>
        <w:tc>
          <w:tcPr>
            <w:tcW w:w="700" w:type="dxa"/>
            <w:vAlign w:val="bottom"/>
          </w:tcPr>
          <w:p>
            <w:pPr>
              <w:jc w:val="right"/>
              <w:spacing w:after="0"/>
              <w:rPr>
                <w:sz w:val="20"/>
                <w:szCs w:val="20"/>
                <w:color w:val="auto"/>
              </w:rPr>
            </w:pPr>
            <w:r>
              <w:rPr>
                <w:rFonts w:ascii="Arial" w:cs="Arial" w:eastAsia="Arial" w:hAnsi="Arial"/>
                <w:sz w:val="14"/>
                <w:szCs w:val="14"/>
                <w:color w:val="auto"/>
              </w:rPr>
              <w:t>(527,396)</w:t>
            </w:r>
          </w:p>
        </w:tc>
        <w:tc>
          <w:tcPr>
            <w:tcW w:w="1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w w:val="88"/>
              </w:rPr>
              <w:t>(13,323)</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(13,323)</w:t>
            </w:r>
          </w:p>
        </w:tc>
      </w:tr>
      <w:tr>
        <w:trPr>
          <w:trHeight w:val="176"/>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w w:val="99"/>
              </w:rPr>
              <w:t>Issuance of treasury stock for employee stock purchase plan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20,528</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389</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r>
      <w:tr>
        <w:trPr>
          <w:trHeight w:val="175"/>
        </w:trPr>
        <w:tc>
          <w:tcPr>
            <w:tcW w:w="3760" w:type="dxa"/>
            <w:vAlign w:val="bottom"/>
          </w:tcPr>
          <w:p>
            <w:pPr>
              <w:spacing w:after="0"/>
              <w:rPr>
                <w:sz w:val="20"/>
                <w:szCs w:val="20"/>
                <w:color w:val="auto"/>
              </w:rPr>
            </w:pPr>
            <w:r>
              <w:rPr>
                <w:rFonts w:ascii="Arial" w:cs="Arial" w:eastAsia="Arial" w:hAnsi="Arial"/>
                <w:sz w:val="14"/>
                <w:szCs w:val="14"/>
                <w:color w:val="auto"/>
                <w:w w:val="96"/>
              </w:rPr>
              <w:t>Net issuance of treasury stock for restricted/deferred stock unit</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760" w:type="dxa"/>
            <w:vAlign w:val="bottom"/>
          </w:tcPr>
          <w:p>
            <w:pPr>
              <w:ind w:left="100"/>
              <w:spacing w:after="0"/>
              <w:rPr>
                <w:sz w:val="20"/>
                <w:szCs w:val="20"/>
                <w:color w:val="auto"/>
              </w:rPr>
            </w:pPr>
            <w:r>
              <w:rPr>
                <w:rFonts w:ascii="Arial" w:cs="Arial" w:eastAsia="Arial" w:hAnsi="Arial"/>
                <w:sz w:val="14"/>
                <w:szCs w:val="14"/>
                <w:color w:val="auto"/>
              </w:rPr>
              <w:t>vesting and related tax</w:t>
            </w:r>
          </w:p>
        </w:tc>
        <w:tc>
          <w:tcPr>
            <w:tcW w:w="700" w:type="dxa"/>
            <w:vAlign w:val="bottom"/>
          </w:tcPr>
          <w:p>
            <w:pPr>
              <w:jc w:val="right"/>
              <w:spacing w:after="0"/>
              <w:rPr>
                <w:sz w:val="20"/>
                <w:szCs w:val="20"/>
                <w:color w:val="auto"/>
              </w:rPr>
            </w:pPr>
            <w:r>
              <w:rPr>
                <w:rFonts w:ascii="Arial" w:cs="Arial" w:eastAsia="Arial" w:hAnsi="Arial"/>
                <w:sz w:val="14"/>
                <w:szCs w:val="14"/>
                <w:color w:val="auto"/>
              </w:rPr>
              <w:t>91,032</w:t>
            </w:r>
          </w:p>
        </w:tc>
        <w:tc>
          <w:tcPr>
            <w:tcW w:w="1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(2,541)</w:t>
            </w:r>
          </w:p>
        </w:tc>
        <w:tc>
          <w:tcPr>
            <w:tcW w:w="18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345</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(2,196)</w:t>
            </w:r>
          </w:p>
        </w:tc>
      </w:tr>
      <w:tr>
        <w:trPr>
          <w:trHeight w:val="175"/>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w w:val="93"/>
              </w:rPr>
              <w:t>Net issuance of treasury stock for stock options exercised, net of</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6"/>
        </w:trPr>
        <w:tc>
          <w:tcPr>
            <w:tcW w:w="3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redeemed and related tax</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13,125</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1,621</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w:t>
            </w:r>
          </w:p>
        </w:tc>
      </w:tr>
      <w:tr>
        <w:trPr>
          <w:trHeight w:val="175"/>
        </w:trPr>
        <w:tc>
          <w:tcPr>
            <w:tcW w:w="3760" w:type="dxa"/>
            <w:vAlign w:val="bottom"/>
          </w:tcPr>
          <w:p>
            <w:pPr>
              <w:spacing w:after="0"/>
              <w:rPr>
                <w:sz w:val="20"/>
                <w:szCs w:val="20"/>
                <w:color w:val="auto"/>
              </w:rPr>
            </w:pPr>
            <w:r>
              <w:rPr>
                <w:rFonts w:ascii="Arial" w:cs="Arial" w:eastAsia="Arial" w:hAnsi="Arial"/>
                <w:sz w:val="14"/>
                <w:szCs w:val="14"/>
                <w:color w:val="auto"/>
              </w:rPr>
              <w:t>Cash dividends common stock at $0.63 per share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(33,579)</w:t>
            </w:r>
          </w:p>
        </w:tc>
        <w:tc>
          <w:tcPr>
            <w:tcW w:w="1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(33,579)</w:t>
            </w:r>
          </w:p>
        </w:tc>
      </w:tr>
      <w:tr>
        <w:trPr>
          <w:trHeight w:val="175"/>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w w:val="99"/>
              </w:rPr>
              <w:t>Stock dividend equivalents restricted stock units at $0.63 per</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6"/>
        </w:trPr>
        <w:tc>
          <w:tcPr>
            <w:tcW w:w="3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504</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(504)</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3,236</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3,236</w:t>
            </w:r>
          </w:p>
        </w:tc>
      </w:tr>
      <w:tr>
        <w:trPr>
          <w:trHeight w:val="169"/>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September 30, 2019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55,197,277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56</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97"/>
              </w:rPr>
              <w:t>$ 1,247,560</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(31,868)</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17,391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88"/>
              </w:rPr>
              <w:t>(17,158)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1,215,981</w:t>
            </w:r>
          </w:p>
        </w:tc>
      </w:tr>
      <w:tr>
        <w:trPr>
          <w:trHeight w:val="20"/>
        </w:trPr>
        <w:tc>
          <w:tcPr>
            <w:tcW w:w="3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349250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460"/>
          </w:cols>
          <w:pgMar w:left="1220" w:top="530" w:right="12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(Continued)</w:t>
      </w:r>
    </w:p>
    <w:p>
      <w:pPr>
        <w:jc w:val="center"/>
        <w:ind w:right="-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72"/>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5"/>
                <w:szCs w:val="15"/>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Paid-in</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Comprehensive</w:t>
            </w:r>
          </w:p>
        </w:tc>
        <w:tc>
          <w:tcPr>
            <w:tcW w:w="140" w:type="dxa"/>
            <w:vAlign w:val="bottom"/>
          </w:tcPr>
          <w:p>
            <w:pPr>
              <w:spacing w:after="0"/>
              <w:rPr>
                <w:sz w:val="15"/>
                <w:szCs w:val="15"/>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87"/>
              </w:rPr>
              <w:t>Treasury</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(Deficit)</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06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 September 30, 2018</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Balance, June 30, 2018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48,776,404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9"/>
              </w:rPr>
              <w:t>1,082,323</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(104,504)</w:t>
            </w: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(10,865)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(9,821)</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957,182</w:t>
            </w:r>
          </w:p>
        </w:tc>
        <w:tc>
          <w:tcPr>
            <w:tcW w:w="0" w:type="dxa"/>
            <w:vAlign w:val="bottom"/>
          </w:tcPr>
          <w:p>
            <w:pPr>
              <w:spacing w:after="0"/>
              <w:rPr>
                <w:sz w:val="1"/>
                <w:szCs w:val="1"/>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26,859</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26,859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(2,159)</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Issuance of treasury stock for employee stock</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ind w:left="120"/>
              <w:spacing w:after="0"/>
              <w:rPr>
                <w:sz w:val="20"/>
                <w:szCs w:val="20"/>
                <w:color w:val="auto"/>
              </w:rPr>
            </w:pPr>
            <w:r>
              <w:rPr>
                <w:rFonts w:ascii="Arial" w:cs="Arial" w:eastAsia="Arial" w:hAnsi="Arial"/>
                <w:sz w:val="14"/>
                <w:szCs w:val="14"/>
                <w:color w:val="auto"/>
              </w:rPr>
              <w:t>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3,080</w:t>
            </w:r>
          </w:p>
        </w:tc>
        <w:tc>
          <w:tcPr>
            <w:tcW w:w="1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58</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Net issuance of treasury stock for</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7"/>
              </w:rPr>
              <w:t>restricted/deferred stock unit vesting and related</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72,805</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(4,184)</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3,121</w:t>
            </w:r>
          </w:p>
        </w:tc>
        <w:tc>
          <w:tcPr>
            <w:tcW w:w="2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tax</w:t>
            </w: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Net issuance of treasury stock for stock options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ind w:left="100"/>
              <w:spacing w:after="0"/>
              <w:rPr>
                <w:sz w:val="20"/>
                <w:szCs w:val="20"/>
                <w:color w:val="auto"/>
              </w:rPr>
            </w:pPr>
            <w:r>
              <w:rPr>
                <w:rFonts w:ascii="Arial" w:cs="Arial" w:eastAsia="Arial" w:hAnsi="Arial"/>
                <w:sz w:val="14"/>
                <w:szCs w:val="14"/>
                <w:color w:val="auto"/>
                <w:w w:val="93"/>
              </w:rPr>
              <w:t>exercised, net of shares redeemed and related tax</w:t>
            </w:r>
          </w:p>
        </w:tc>
        <w:tc>
          <w:tcPr>
            <w:tcW w:w="700" w:type="dxa"/>
            <w:vAlign w:val="bottom"/>
          </w:tcPr>
          <w:p>
            <w:pPr>
              <w:jc w:val="right"/>
              <w:spacing w:after="0"/>
              <w:rPr>
                <w:sz w:val="20"/>
                <w:szCs w:val="20"/>
                <w:color w:val="auto"/>
              </w:rPr>
            </w:pPr>
            <w:r>
              <w:rPr>
                <w:rFonts w:ascii="Arial" w:cs="Arial" w:eastAsia="Arial" w:hAnsi="Arial"/>
                <w:sz w:val="14"/>
                <w:szCs w:val="14"/>
                <w:color w:val="auto"/>
              </w:rPr>
              <w:t>8,020</w:t>
            </w:r>
          </w:p>
        </w:tc>
        <w:tc>
          <w:tcPr>
            <w:tcW w:w="1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(138)</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178</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w w:val="98"/>
              </w:rPr>
              <w:t>Cash dividends common stock at $0.20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(9,756)</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(9,756)</w:t>
            </w:r>
          </w:p>
        </w:tc>
        <w:tc>
          <w:tcPr>
            <w:tcW w:w="0" w:type="dxa"/>
            <w:vAlign w:val="bottom"/>
          </w:tcPr>
          <w:p>
            <w:pPr>
              <w:spacing w:after="0"/>
              <w:rPr>
                <w:sz w:val="1"/>
                <w:szCs w:val="1"/>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w w:val="97"/>
              </w:rPr>
              <w:t>Stock dividend equivalents restricted stock units at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ind w:left="100"/>
              <w:spacing w:after="0"/>
              <w:rPr>
                <w:sz w:val="20"/>
                <w:szCs w:val="20"/>
                <w:color w:val="auto"/>
              </w:rPr>
            </w:pPr>
            <w:r>
              <w:rPr>
                <w:rFonts w:ascii="Arial" w:cs="Arial" w:eastAsia="Arial" w:hAnsi="Arial"/>
                <w:sz w:val="14"/>
                <w:szCs w:val="14"/>
                <w:color w:val="auto"/>
              </w:rPr>
              <w:t>$0.20 per share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133</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944</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209"/>
        </w:trPr>
        <w:tc>
          <w:tcPr>
            <w:tcW w:w="3060" w:type="dxa"/>
            <w:vAlign w:val="bottom"/>
            <w:gridSpan w:val="2"/>
          </w:tcPr>
          <w:p>
            <w:pPr>
              <w:spacing w:after="0"/>
              <w:rPr>
                <w:sz w:val="20"/>
                <w:szCs w:val="20"/>
                <w:color w:val="auto"/>
              </w:rPr>
            </w:pPr>
            <w:r>
              <w:rPr>
                <w:rFonts w:ascii="Arial" w:cs="Arial" w:eastAsia="Arial" w:hAnsi="Arial"/>
                <w:sz w:val="14"/>
                <w:szCs w:val="14"/>
                <w:color w:val="auto"/>
              </w:rPr>
              <w:t>Balance, September 30, 2018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48,860,309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9"/>
              </w:rPr>
              <w:t>1,079,111</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(87,532)</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(13,024)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(6,464)</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972,140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060" w:type="dxa"/>
            <w:vAlign w:val="bottom"/>
            <w:gridSpan w:val="2"/>
          </w:tcPr>
          <w:p>
            <w:pPr>
              <w:spacing w:after="0"/>
              <w:rPr>
                <w:sz w:val="20"/>
                <w:szCs w:val="20"/>
                <w:color w:val="auto"/>
              </w:rPr>
            </w:pPr>
            <w:r>
              <w:rPr>
                <w:rFonts w:ascii="Arial" w:cs="Arial" w:eastAsia="Arial" w:hAnsi="Arial"/>
                <w:sz w:val="13"/>
                <w:szCs w:val="13"/>
                <w:b w:val="1"/>
                <w:bCs w:val="1"/>
                <w:color w:val="auto"/>
              </w:rPr>
              <w:t>For the Nine Months Ended September 30, 2018</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2017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48,684,943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9"/>
              </w:rPr>
              <w:t>1,084,889</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(132,122)</w:t>
            </w: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(2,810)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(15,003)</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935,003</w:t>
            </w:r>
          </w:p>
        </w:tc>
        <w:tc>
          <w:tcPr>
            <w:tcW w:w="0" w:type="dxa"/>
            <w:vAlign w:val="bottom"/>
          </w:tcPr>
          <w:p>
            <w:pPr>
              <w:spacing w:after="0"/>
              <w:rPr>
                <w:sz w:val="1"/>
                <w:szCs w:val="1"/>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73,638</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73,638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(9,609)</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(9,609)</w:t>
            </w:r>
          </w:p>
        </w:tc>
        <w:tc>
          <w:tcPr>
            <w:tcW w:w="0" w:type="dxa"/>
            <w:vAlign w:val="bottom"/>
          </w:tcPr>
          <w:p>
            <w:pPr>
              <w:spacing w:after="0"/>
              <w:rPr>
                <w:sz w:val="1"/>
                <w:szCs w:val="1"/>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Tax Cuts and Jobs Act of 2017 reclassification</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605</w:t>
            </w:r>
          </w:p>
        </w:tc>
        <w:tc>
          <w:tcPr>
            <w:tcW w:w="14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(605)</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Issuance of treasury stock for employee stock</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 plan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(295)</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724</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Net issuance of treasury stock for</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4"/>
                <w:szCs w:val="14"/>
                <w:color w:val="auto"/>
                <w:w w:val="97"/>
              </w:rPr>
              <w:t>restricted/deferred stock unit vesting and related</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104,637</w:t>
            </w:r>
          </w:p>
        </w:tc>
        <w:tc>
          <w:tcPr>
            <w:tcW w:w="100" w:type="dxa"/>
            <w:vAlign w:val="bottom"/>
          </w:tcPr>
          <w:p>
            <w:pPr>
              <w:spacing w:after="0"/>
              <w:rPr>
                <w:sz w:val="16"/>
                <w:szCs w:val="16"/>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color w:val="auto"/>
              </w:rPr>
              <w:t>(6,059)</w:t>
            </w:r>
          </w:p>
        </w:tc>
        <w:tc>
          <w:tcPr>
            <w:tcW w:w="18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color w:val="auto"/>
              </w:rPr>
              <w:t>4,924</w:t>
            </w:r>
          </w:p>
        </w:tc>
        <w:tc>
          <w:tcPr>
            <w:tcW w:w="2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4"/>
                <w:szCs w:val="14"/>
                <w:color w:val="auto"/>
              </w:rPr>
              <w:t>tax</w:t>
            </w: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Net issuance of treasury stock for stock options</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3"/>
              </w:rPr>
              <w:t>exercised, net of shares redeemed and related tax</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55,901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(2,505)</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2,891</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w w:val="98"/>
              </w:rPr>
              <w:t>Cash dividends common stock at $0.60 per share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(29,238)</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(29,238)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w w:val="96"/>
              </w:rPr>
              <w:t>Stock dividend equivalents restricted stock units at</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$0.60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415</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2,666</w:t>
            </w:r>
          </w:p>
        </w:tc>
        <w:tc>
          <w:tcPr>
            <w:tcW w:w="18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2,666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September 30, 2018</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48,860,309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9"/>
              </w:rPr>
              <w:t>1,079,111</w:t>
            </w:r>
          </w:p>
        </w:tc>
        <w:tc>
          <w:tcPr>
            <w:tcW w:w="1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(87,532)</w:t>
            </w:r>
          </w:p>
        </w:tc>
        <w:tc>
          <w:tcPr>
            <w:tcW w:w="1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(13,024)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(6,464)</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3"/>
          </w:tcPr>
          <w:p>
            <w:pPr>
              <w:jc w:val="right"/>
              <w:ind w:right="457"/>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74,382</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73,638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Provision for loan losses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8,039</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6,866</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Amortization of Mortgage Servicing Rights ("MSR")</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2,061</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Depreciation and amortization of premises and equipment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8,701</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Net amortization (accretion) of premium (discount) on portfolio loans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rPr>
              <w:t>(8,300)</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(8,615)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amortization (accretion) of premium (discount) on investment securities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4,538</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Net amortization (accretion) of premium (discount) on time deposits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rPr>
              <w:t>(1,243)</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5"/>
              </w:rPr>
              <w:t>Net amortization (accretion) of premium (discount) on Federal Home Loan Bank ("FHLB") advances and other</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216</w:t>
            </w: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borrowings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Impairment of other real estate owned ("OREO")</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26</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Impairment of fixed assets held for sale</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Impairment of MSR</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1,822</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Change in fair value of loans held for sale, net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(1,022)</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Change in fair value of equity securities, net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735</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(Gain) loss on sales of securities, net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(112)</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(Gain) loss on sale of loans, net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rPr>
              <w:t>(11,022)</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(7,805)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(Gain) loss on sale of OREO</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(81)</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(Gain) loss on sale of premises and equipment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114</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(Gain) loss life insurance proceeds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(1,509)</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Provision for deferred income taxes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3,816</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Stock-based and non-cash compensation</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3,236</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Decrease in deferred compensation</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rPr>
              <w:t>(3,339)</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Increase in cash surrender value of bank owned life insurance</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(3,050)</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Mortgage loans originated for sale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rPr>
              <w:t>(468,227)</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(336,169)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sales of mortgage loans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437,525</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406,205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Net change in operating assets and liabilities: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(Increase) decrease in other assets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1,746</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(Decrease) in other liabilities</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(3,603)</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rPr>
              <w:t>Net cash provided by operating activities</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52,315</w:t>
            </w:r>
          </w:p>
        </w:tc>
        <w:tc>
          <w:tcPr>
            <w:tcW w:w="3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147,136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Purchases of debt securities held to maturity</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(217,767)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Purchases of debt securities available for sale</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(296,806)</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Purchase of FHLB stock</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rPr>
              <w:t>(3,700)</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(25,990)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sales of securities classified held to maturity</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Proceeds from sales of equity securities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958</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sales of debt securities available for sale</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227,371</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Proceeds from paydowns and maturities of debt securities held to maturity</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14,422</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paydowns and maturities of debt securities available for sale</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366,624</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115,522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Proceeds from the redemption of FHLB stock</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3,720</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23,379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cash (paid) in acquisitions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(61,481)</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Net change in loans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rPr>
              <w:t>(227,069)</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(104,195)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Cash paid for premiums on bank-owned life insurance</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Purchases of premises and equipment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b w:val="1"/>
                <w:bCs w:val="1"/>
                <w:color w:val="auto"/>
              </w:rPr>
              <w:t>(10,746)</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(10,436)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life insurance</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3,915</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Pr>
          <w:p>
            <w:pPr>
              <w:ind w:left="320"/>
              <w:spacing w:after="0"/>
              <w:rPr>
                <w:sz w:val="20"/>
                <w:szCs w:val="20"/>
                <w:color w:val="auto"/>
              </w:rPr>
            </w:pPr>
            <w:r>
              <w:rPr>
                <w:rFonts w:ascii="Arial" w:cs="Arial" w:eastAsia="Arial" w:hAnsi="Arial"/>
                <w:sz w:val="13"/>
                <w:szCs w:val="13"/>
                <w:color w:val="auto"/>
              </w:rPr>
              <w:t>Proceeds from disposition of premises and equipment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b w:val="1"/>
                <w:bCs w:val="1"/>
                <w:color w:val="auto"/>
              </w:rPr>
              <w:t>393</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Capitalized expenditures on OREO</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Proceeds from sale of OREO</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2,071</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19,667</w:t>
            </w:r>
          </w:p>
        </w:tc>
        <w:tc>
          <w:tcPr>
            <w:tcW w:w="3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(305,405)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1440" w:right="1920"/>
        <w:spacing w:after="0" w:line="247" w:lineRule="auto"/>
        <w:rPr>
          <w:sz w:val="20"/>
          <w:szCs w:val="20"/>
          <w:color w:val="auto"/>
        </w:rPr>
      </w:pPr>
      <w:r>
        <w:rPr>
          <w:rFonts w:ascii="Arial" w:cs="Arial" w:eastAsia="Arial" w:hAnsi="Arial"/>
          <w:sz w:val="18"/>
          <w:szCs w:val="18"/>
          <w:b w:val="1"/>
          <w:bCs w:val="1"/>
          <w:color w:val="auto"/>
        </w:rPr>
        <w:t>FIRST BUSEY CORPORATION and Subsidiaries CONSOLIDATED STATEMENTS OF CASH FLOWS (Continued) (Unaudited)</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3"/>
          </w:tcPr>
          <w:p>
            <w:pPr>
              <w:jc w:val="right"/>
              <w:ind w:right="417"/>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ind w:left="200"/>
              <w:spacing w:after="0"/>
              <w:rPr>
                <w:sz w:val="20"/>
                <w:szCs w:val="20"/>
                <w:color w:val="auto"/>
              </w:rPr>
            </w:pPr>
            <w:r>
              <w:rPr>
                <w:rFonts w:ascii="Arial" w:cs="Arial" w:eastAsia="Arial" w:hAnsi="Arial"/>
                <w:sz w:val="13"/>
                <w:szCs w:val="13"/>
                <w:color w:val="auto"/>
              </w:rPr>
              <w:t>Net change in deposits</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56"/>
              <w:spacing w:after="0"/>
              <w:rPr>
                <w:sz w:val="20"/>
                <w:szCs w:val="20"/>
                <w:color w:val="auto"/>
              </w:rPr>
            </w:pPr>
            <w:r>
              <w:rPr>
                <w:rFonts w:ascii="Arial" w:cs="Arial" w:eastAsia="Arial" w:hAnsi="Arial"/>
                <w:sz w:val="13"/>
                <w:szCs w:val="13"/>
                <w:b w:val="1"/>
                <w:bCs w:val="1"/>
                <w:color w:val="auto"/>
              </w:rPr>
              <w:t>243,184</w:t>
            </w:r>
          </w:p>
        </w:tc>
        <w:tc>
          <w:tcPr>
            <w:tcW w:w="3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69,796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change in federal funds purchased and securities sold under agreements to repurchase</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(33,895)</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ind w:left="200"/>
              <w:spacing w:after="0"/>
              <w:rPr>
                <w:sz w:val="20"/>
                <w:szCs w:val="20"/>
                <w:color w:val="auto"/>
              </w:rPr>
            </w:pPr>
            <w:r>
              <w:rPr>
                <w:rFonts w:ascii="Arial" w:cs="Arial" w:eastAsia="Arial" w:hAnsi="Arial"/>
                <w:sz w:val="13"/>
                <w:szCs w:val="13"/>
                <w:color w:val="auto"/>
              </w:rPr>
              <w:t>Proceeds from other borrowings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b w:val="1"/>
                <w:bCs w:val="1"/>
                <w:color w:val="auto"/>
              </w:rPr>
              <w:t>60,000</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Repayment of FHLB advances, net</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(3,479)</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ind w:left="200"/>
              <w:spacing w:after="0"/>
              <w:rPr>
                <w:sz w:val="20"/>
                <w:szCs w:val="20"/>
                <w:color w:val="auto"/>
              </w:rPr>
            </w:pPr>
            <w:r>
              <w:rPr>
                <w:rFonts w:ascii="Arial" w:cs="Arial" w:eastAsia="Arial" w:hAnsi="Arial"/>
                <w:sz w:val="13"/>
                <w:szCs w:val="13"/>
                <w:color w:val="auto"/>
              </w:rPr>
              <w:t>Repayment of other borrowings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b w:val="1"/>
                <w:bCs w:val="1"/>
                <w:color w:val="auto"/>
              </w:rPr>
              <w:t>(4,500)</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dividends paid</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(33,579)</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ind w:left="200"/>
              <w:spacing w:after="0"/>
              <w:rPr>
                <w:sz w:val="20"/>
                <w:szCs w:val="20"/>
                <w:color w:val="auto"/>
              </w:rPr>
            </w:pPr>
            <w:r>
              <w:rPr>
                <w:rFonts w:ascii="Arial" w:cs="Arial" w:eastAsia="Arial" w:hAnsi="Arial"/>
                <w:sz w:val="13"/>
                <w:szCs w:val="13"/>
                <w:color w:val="auto"/>
              </w:rPr>
              <w:t>Purchase of treasury stock</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b w:val="1"/>
                <w:bCs w:val="1"/>
                <w:color w:val="auto"/>
              </w:rPr>
              <w:t>(13,323)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paid for withholding taxes on share-based payments</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(841)</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ind w:left="200"/>
              <w:spacing w:after="0"/>
              <w:rPr>
                <w:sz w:val="20"/>
                <w:szCs w:val="20"/>
                <w:color w:val="auto"/>
              </w:rPr>
            </w:pPr>
            <w:r>
              <w:rPr>
                <w:rFonts w:ascii="Arial" w:cs="Arial" w:eastAsia="Arial" w:hAnsi="Arial"/>
                <w:sz w:val="13"/>
                <w:szCs w:val="13"/>
                <w:color w:val="auto"/>
              </w:rPr>
              <w:t>Proceeds from stock options exercised</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b w:val="1"/>
                <w:bCs w:val="1"/>
                <w:color w:val="auto"/>
              </w:rPr>
              <w:t>169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Common stock issuance costs</w:t>
            </w:r>
          </w:p>
        </w:tc>
        <w:tc>
          <w:tcPr>
            <w:tcW w:w="10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(234)</w:t>
            </w: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b w:val="1"/>
                <w:bCs w:val="1"/>
                <w:color w:val="auto"/>
              </w:rPr>
              <w:t>Net cash provided by (used in) financing activities</w:t>
            </w:r>
          </w:p>
        </w:tc>
        <w:tc>
          <w:tcPr>
            <w:tcW w:w="10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80"/>
              <w:spacing w:after="0"/>
              <w:rPr>
                <w:sz w:val="20"/>
                <w:szCs w:val="20"/>
                <w:color w:val="auto"/>
              </w:rPr>
            </w:pPr>
            <w:r>
              <w:rPr>
                <w:rFonts w:ascii="Arial" w:cs="Arial" w:eastAsia="Arial" w:hAnsi="Arial"/>
                <w:sz w:val="9"/>
                <w:szCs w:val="9"/>
                <w:b w:val="1"/>
                <w:bCs w:val="1"/>
                <w:color w:val="auto"/>
                <w:w w:val="78"/>
              </w:rPr>
              <w:t>$</w:t>
            </w: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213,502</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(34,351)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80" w:type="dxa"/>
            <w:vAlign w:val="bottom"/>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b w:val="1"/>
                <w:bCs w:val="1"/>
                <w:color w:val="auto"/>
              </w:rPr>
              <w:t>285,484</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(192,620)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beginning of period</w:t>
            </w:r>
          </w:p>
        </w:tc>
        <w:tc>
          <w:tcPr>
            <w:tcW w:w="10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239,973</w:t>
            </w: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353,272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ending of period</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525,457</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Payments for:</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ind w:left="200"/>
              <w:spacing w:after="0"/>
              <w:rPr>
                <w:sz w:val="20"/>
                <w:szCs w:val="20"/>
                <w:color w:val="auto"/>
              </w:rPr>
            </w:pPr>
            <w:r>
              <w:rPr>
                <w:rFonts w:ascii="Arial" w:cs="Arial" w:eastAsia="Arial" w:hAnsi="Arial"/>
                <w:sz w:val="13"/>
                <w:szCs w:val="13"/>
                <w:color w:val="auto"/>
              </w:rPr>
              <w:t>Interest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56"/>
              <w:spacing w:after="0"/>
              <w:rPr>
                <w:sz w:val="20"/>
                <w:szCs w:val="20"/>
                <w:color w:val="auto"/>
              </w:rPr>
            </w:pPr>
            <w:r>
              <w:rPr>
                <w:rFonts w:ascii="Arial" w:cs="Arial" w:eastAsia="Arial" w:hAnsi="Arial"/>
                <w:sz w:val="13"/>
                <w:szCs w:val="13"/>
                <w:b w:val="1"/>
                <w:bCs w:val="1"/>
                <w:color w:val="auto"/>
              </w:rPr>
              <w:t>51,230</w:t>
            </w:r>
          </w:p>
        </w:tc>
        <w:tc>
          <w:tcPr>
            <w:tcW w:w="3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26,665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 taxes</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15,205</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ind w:left="200"/>
              <w:spacing w:after="0"/>
              <w:rPr>
                <w:sz w:val="20"/>
                <w:szCs w:val="20"/>
                <w:color w:val="auto"/>
              </w:rPr>
            </w:pPr>
            <w:r>
              <w:rPr>
                <w:rFonts w:ascii="Arial" w:cs="Arial" w:eastAsia="Arial" w:hAnsi="Arial"/>
                <w:sz w:val="13"/>
                <w:szCs w:val="13"/>
                <w:color w:val="auto"/>
              </w:rPr>
              <w:t>OREO acquired in settlement of loans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b w:val="1"/>
                <w:bCs w:val="1"/>
                <w:color w:val="auto"/>
              </w:rPr>
              <w:t>2,349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Transfer of debt securities held to maturity to available for sale</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573,639</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Financial Statement Presentation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When preparing these unaudited consolidated financial statements of First Busey Corporation and its subsidiaries (“First Busey,” “Company,” “we,” or “our”), a Nevada corporation, we have assumed that you have read the audited consolidated financial statements included in our Annual Report on Form 10-K for the year ended December 31, 2018 (“2018 Form 10-K”). These interim unaudited consolidated financial statements serve to update our 2018 Form 10-K and may not include all information and notes necessary to constitute a complete set of financial statements.</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We prepared these unaudited consolidated financial statements in accordance with accounting principles generally accepted in the United States of America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83"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unaudited consolidated financial statements included in this Quarterly Report on Form 10-Q were issued. On October 4, 2019 TheBANK of Edwardsville (“TheBANK”) was merged with and into Busey Bank. On October 15, 2019, the Company began operations of First Busey Risk Management, Inc. (“First Busey Risk Management”), a new formed wholly-owned subsidiary of First Busey. First Busey Risk Management, incorporated in Nevada, is a captive insurance company which insures against certain risks unique to the operations of the Company and its subsidiaries and for which insurance may not be currently available or economically feasible in today’s insurance marketplace. First Busey Risk Management pools resources with several other similar insurance company subsidiaries of financial institutions to spread a limited amount of risk among themselves. First Busey Risk Management is subject to regulations of the State of Nevada and will be subject to periodic examinations by the Nevada Division of Insurance. Other than these events, there were no significant subsequent events for the quarter ended September 30, 2019 through the issuance date of these unaudited consolidated financial statements that warranted adjustment to or disclosure in the unaudited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investment securities, fair value of assets acquired and liabilities assumed in business combinations, goodwill, income taxes and the determination of the allowance for loan losses.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Effective January 1, 2019, a determination is made at inception if an arrangement contains a lease. For arrangements that contain a lease, the Company recognizes the lease on the balance sheet as a right of use asset and corresponding lease liability. Lease-related assets, or right of use assets, are recognized on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Topic 842 requires the use of the rate implicit in the lease whenever this rate is readily determinable. If not readily determinable, the Company utilizes its incremental borrowing rate at lease inception, on a collateralized basis, over a similar term. For operating leases existing prior to January 1, 2019, the Company used a borrowing rate that corresponded to the remaining lease term.</w:t>
      </w:r>
    </w:p>
    <w:p>
      <w:pPr>
        <w:spacing w:after="0" w:line="21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Company’s lease agreements often include one or more options to renew at the Company’s discretion. If at lease inception, the Company considers the exercising of a renewal option to be reasonably certain, the Company will include the extended term in the calculation of the right-of-use asset and lease liability.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recently adopted accounting standards</w:t>
      </w:r>
    </w:p>
    <w:p>
      <w:pPr>
        <w:spacing w:after="0" w:line="19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 xml:space="preserve">On January 1, 2019, the Company adopted Accounting Standards Update (“ASU”) </w:t>
      </w:r>
      <w:r>
        <w:rPr>
          <w:rFonts w:ascii="Arial" w:cs="Arial" w:eastAsia="Arial" w:hAnsi="Arial"/>
          <w:sz w:val="18"/>
          <w:szCs w:val="18"/>
          <w:i w:val="1"/>
          <w:iCs w:val="1"/>
          <w:color w:val="auto"/>
        </w:rPr>
        <w:t>2016-02 “Leases (Topic 842)</w:t>
      </w:r>
      <w:r>
        <w:rPr>
          <w:rFonts w:ascii="Arial" w:cs="Arial" w:eastAsia="Arial" w:hAnsi="Arial"/>
          <w:sz w:val="18"/>
          <w:szCs w:val="18"/>
          <w:color w:val="auto"/>
        </w:rPr>
        <w:t xml:space="preserve"> and all subsequent ASUs that modified Topic 842. The Company made the following elections for all leases in connection with the adoption of this guidance:</w:t>
      </w:r>
    </w:p>
    <w:p>
      <w:pPr>
        <w:spacing w:after="0" w:line="74" w:lineRule="exact"/>
        <w:rPr>
          <w:sz w:val="20"/>
          <w:szCs w:val="20"/>
          <w:color w:val="auto"/>
        </w:rPr>
      </w:pPr>
    </w:p>
    <w:p>
      <w:pPr>
        <w:ind w:left="680" w:right="420" w:hanging="320"/>
        <w:spacing w:after="0" w:line="24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package of practical expedients to not reassess prior conclusions related to contracts containing leases, lease classification and initial direct costs;</w:t>
      </w:r>
    </w:p>
    <w:p>
      <w:pPr>
        <w:ind w:left="680" w:hanging="320"/>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did not elect the hindsight practical expedient;</w:t>
      </w:r>
    </w:p>
    <w:p>
      <w:pPr>
        <w:ind w:left="680" w:hanging="320"/>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optional transition method that allows companies to use the effective date as the date of initial application on transition. As a result, the Company did not adjust comparative period financial information or make the newly required lease disclosures for periods before the effective date;</w:t>
      </w:r>
    </w:p>
    <w:p>
      <w:pPr>
        <w:spacing w:after="0" w:line="2" w:lineRule="exact"/>
        <w:rPr>
          <w:rFonts w:ascii="Arial" w:cs="Arial" w:eastAsia="Arial" w:hAnsi="Arial"/>
          <w:sz w:val="18"/>
          <w:szCs w:val="18"/>
          <w:color w:val="auto"/>
        </w:rPr>
      </w:pPr>
    </w:p>
    <w:p>
      <w:pPr>
        <w:ind w:left="680" w:hanging="320"/>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not to apply the above guidance to short-term leases;</w:t>
      </w:r>
    </w:p>
    <w:p>
      <w:pPr>
        <w:ind w:left="680" w:right="280" w:hanging="320"/>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to separate the lease components from the nonlease components and exclude the nonlease components from the right-of-use asset and lease liability; and</w:t>
      </w:r>
    </w:p>
    <w:p>
      <w:pPr>
        <w:spacing w:after="0" w:line="1" w:lineRule="exact"/>
        <w:rPr>
          <w:rFonts w:ascii="Arial" w:cs="Arial" w:eastAsia="Arial" w:hAnsi="Arial"/>
          <w:sz w:val="18"/>
          <w:szCs w:val="18"/>
          <w:color w:val="auto"/>
        </w:rPr>
      </w:pPr>
    </w:p>
    <w:p>
      <w:pPr>
        <w:ind w:left="680" w:hanging="32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did not elect the land easement practical expedient.</w:t>
      </w:r>
    </w:p>
    <w:p>
      <w:pPr>
        <w:spacing w:after="0" w:line="20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At the date of adoption, the Company recorded approximately $8.1 million on its Consolidated Balance Sheets to reflect the right of use asset and associated lease liability. The Company utilized its incremental borrowing rate, on a collateralized basis, for the remaining contractual lease term.</w:t>
      </w:r>
    </w:p>
    <w:p>
      <w:pPr>
        <w:spacing w:after="0" w:line="19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i w:val="1"/>
          <w:iCs w:val="1"/>
          <w:color w:val="auto"/>
        </w:rPr>
        <w:t xml:space="preserve">ASU 2017-08, "Receivables - Nonrefundable Fees and Other Costs (Subtopic 310-20), Premium Amortization on Purchased Callable Debt Securities." </w:t>
      </w:r>
      <w:r>
        <w:rPr>
          <w:rFonts w:ascii="Arial" w:cs="Arial" w:eastAsia="Arial" w:hAnsi="Arial"/>
          <w:sz w:val="16"/>
          <w:szCs w:val="16"/>
          <w:color w:val="auto"/>
        </w:rPr>
        <w:t>ASU 2017-08 shortens the amortization period for certain callable debt securities held at a</w:t>
      </w:r>
      <w:r>
        <w:rPr>
          <w:rFonts w:ascii="Arial" w:cs="Arial" w:eastAsia="Arial" w:hAnsi="Arial"/>
          <w:sz w:val="16"/>
          <w:szCs w:val="16"/>
          <w:i w:val="1"/>
          <w:iCs w:val="1"/>
          <w:color w:val="auto"/>
        </w:rPr>
        <w:t xml:space="preserve"> </w:t>
      </w:r>
      <w:r>
        <w:rPr>
          <w:rFonts w:ascii="Arial" w:cs="Arial" w:eastAsia="Arial" w:hAnsi="Arial"/>
          <w:sz w:val="16"/>
          <w:szCs w:val="16"/>
          <w:color w:val="auto"/>
        </w:rPr>
        <w:t>premium, requiring the premium to be amortized to the earliest call date. ASU 2017-08 does not require an accounting change for securities held at a discount; the discount continues to be amortized to maturity. This guidance was effective for annual reporting periods beginning after December 15, 2018, including interim periods within those fiscal years. The adoption of this guidance did not have a material impact on the Company’s consolidated financial statements.</w:t>
      </w:r>
    </w:p>
    <w:p>
      <w:pPr>
        <w:spacing w:after="0" w:line="17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i w:val="1"/>
          <w:iCs w:val="1"/>
          <w:color w:val="auto"/>
        </w:rPr>
        <w:t xml:space="preserve">ASU 2017-12, "Derivatives and Hedging (Topic 815): Targeted Improvements to Accounting for Hedging Activities."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2017-12 amends Topic 815 to reduce the cost and complexity of applying hedge accounting and expands the types of relationships that qualify for hedge accounting. The guidance eliminates the requirement to separately measure and report hedge ineffectiveness, requires all items that affect earnings to be presented in the same income statement line as the hedged item, provides for applying hedge accounting to additional hedging strategies, provides for new approaches to measuring the hedged item in fair value hedges of interest rate risk, and eases the requirements for effective testing and hedge documentation. This guidance was effective for annual reporting periods beginning after December 15, 2018, including interim periods within those fiscal years. During the first quarter of 2019, the Company adopted this guidance, reassessed classification of certain investments, and transferred $573.6 million of securities from held to maturity to available for sale.</w:t>
      </w:r>
    </w:p>
    <w:p>
      <w:pPr>
        <w:spacing w:after="0" w:line="18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ASU 2018-07, "Compensation-Stock Compensation (Topic 718): Improvements to Nonemployee Share-Based Payment Accounting." </w:t>
      </w:r>
      <w:r>
        <w:rPr>
          <w:rFonts w:ascii="Arial" w:cs="Arial" w:eastAsia="Arial" w:hAnsi="Arial"/>
          <w:sz w:val="18"/>
          <w:szCs w:val="18"/>
          <w:color w:val="auto"/>
        </w:rPr>
        <w:t>ASU 2018-07 expands the scope of Topic 718 to include share-based payment transactions for acquiring goods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from nonemployees. This guidance was effective for annual reporting periods beginning after December 15, 2018, including interim periods within those fiscal years. The adoption of this guidance did not have a material impact on the Company’s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i w:val="1"/>
          <w:iCs w:val="1"/>
          <w:color w:val="auto"/>
        </w:rPr>
        <w:t xml:space="preserve">ASU 2016-13, "Financial Instruments - Credit Losses (Topic 326): Measurement of Credit Losses on Financial Instruments." </w:t>
      </w:r>
      <w:r>
        <w:rPr>
          <w:rFonts w:ascii="Arial" w:cs="Arial" w:eastAsia="Arial" w:hAnsi="Arial"/>
          <w:sz w:val="17"/>
          <w:szCs w:val="17"/>
          <w:color w:val="auto"/>
        </w:rPr>
        <w:t>ASU 2016-13 implements a change from the current impaired loss model to an expected credit loss model over the life of an instrument, including loans and securities held to maturity. The expected credit loss model is expected to result in earlier recognition of losses. ASU 2016-13 is effective for fiscal years beginning after December 15, 2019 including interim periods with those years. The Company is executing a project plan to implement this guidance. The project plan includes an assessment of data, development of methodologies, model validation, parallel runs, refining qualitative factors and forecast periods and evaluating related disclosures. The Company is currently assessing the impact of adopting ASU 2016-13, which will be significantly influenced by the composition, characteristics and quality of the loan portfolio as well as the prevailing economic conditions and forecasts as of the adoption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Banc Ed Corp.</w:t>
      </w:r>
    </w:p>
    <w:p>
      <w:pPr>
        <w:spacing w:after="0" w:line="22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On January 31, 2019, the Company completed its acquisition of The Banc Ed Corp. (“Banc Ed”). TheBANK, Banc Ed’s wholly-owned bank subsidiary, was operated as a separate subsidiary from the completion of the acquisition until October 4, 2019 when it was merged with and into Busey Bank. At that time, TheBANK’s banking centers became banking centers of Busey Bank.</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Under the terms of the merger agreement with Banc Ed, at the effective time of the acquisition, each share of Banc Ed common stock issued and outstanding was converted into the right to receive 8.2067 shares of the Company’s common stock, cash in lieu of fractional shares and $111.53 in cash consideration per share. The market value of the 6.7 million shares of First Busey common stock issued at the effective time of the acquisition was approximately $166.5 million based on First Busey’s closing stock price of $24.76 on January 31, 2019.</w:t>
      </w:r>
    </w:p>
    <w:p>
      <w:pPr>
        <w:spacing w:after="0" w:line="203"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was recorded at estimated fair values on the date of acquisition. Fair values are considered provisional until final fair values are determined or the measurement period has passed, but no later than one year from the acquisition date. Reviews of third party valuations are still being performed by management. Therefore amounts are subject to change and could change materially from the provisional amounts disclosed below. During the quarter ended September 30, 2019, the Company adjusted the provisional fair value estimates of Banc Ed’s assets acquired and liabilities assumed. Adjustments included a $0.1 million decrease to premises and equipment and a $0.3 decrease to other liabilities with a corresponding decrease to goodwill of $0.2 million.</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First Busey incurred $6.5 million and $11.5 million in pre-tax expenses related to the acquisition of Banc Ed for the three and nine months ended September 30, 2019, respectively, primarily for salaries, wages and employee benefits, professional and legal fees and deconversion expenses, all of which are reported as a component of non-interest expense in the accompanying unaudited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99"/>
        <w:spacing w:after="0" w:line="262" w:lineRule="auto"/>
        <w:rPr>
          <w:sz w:val="20"/>
          <w:szCs w:val="20"/>
          <w:color w:val="auto"/>
        </w:rPr>
      </w:pPr>
      <w:r>
        <w:rPr>
          <w:rFonts w:ascii="Arial" w:cs="Arial" w:eastAsia="Arial" w:hAnsi="Arial"/>
          <w:sz w:val="18"/>
          <w:szCs w:val="18"/>
          <w:color w:val="auto"/>
        </w:rPr>
        <w:t xml:space="preserve">The following table presents the estimated fair value of Banc Ed’s assets acquired and liabilities assumed as of January 31, 2019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80"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6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w:t>
            </w: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Loans held for sale</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Portfolio loans</w:t>
            </w: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Premises and equipment</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intangible assets</w:t>
            </w: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Mortgage servicing rights</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1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acquired</w:t>
            </w:r>
          </w:p>
        </w:tc>
        <w:tc>
          <w:tcPr>
            <w:tcW w:w="1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1,738,885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Liabilities assumed:</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Deposits</w:t>
            </w: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Other borrowings</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liabilities</w:t>
            </w:r>
          </w:p>
        </w:tc>
        <w:tc>
          <w:tcPr>
            <w:tcW w:w="1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 assumed</w:t>
            </w:r>
          </w:p>
        </w:tc>
        <w:tc>
          <w:tcPr>
            <w:tcW w:w="1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0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211,483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Consideration paid:</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20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Common stock</w:t>
            </w:r>
          </w:p>
        </w:tc>
        <w:tc>
          <w:tcPr>
            <w:tcW w:w="1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consideration paid</w:t>
            </w:r>
          </w:p>
        </w:tc>
        <w:tc>
          <w:tcPr>
            <w:tcW w:w="16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257,915</w:t>
            </w: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79"/>
        <w:spacing w:after="0" w:line="268" w:lineRule="auto"/>
        <w:rPr>
          <w:sz w:val="20"/>
          <w:szCs w:val="20"/>
          <w:color w:val="auto"/>
        </w:rPr>
      </w:pPr>
      <w:r>
        <w:rPr>
          <w:rFonts w:ascii="Arial" w:cs="Arial" w:eastAsia="Arial" w:hAnsi="Arial"/>
          <w:sz w:val="16"/>
          <w:szCs w:val="16"/>
          <w:color w:val="auto"/>
        </w:rPr>
        <w:t xml:space="preserve">The loans acquired in this transaction were recorded at fair value with no carryover of any existing allowance for loan losses. Loans that were not deemed to be credit-impaired at the acquisition date were accounted for under Financial Accounting Standards Board (“FASB”) Accounting Standards Codification (“ASC”) </w:t>
      </w:r>
      <w:r>
        <w:rPr>
          <w:rFonts w:ascii="Arial" w:cs="Arial" w:eastAsia="Arial" w:hAnsi="Arial"/>
          <w:sz w:val="16"/>
          <w:szCs w:val="16"/>
          <w:i w:val="1"/>
          <w:iCs w:val="1"/>
          <w:color w:val="auto"/>
        </w:rPr>
        <w:t>310-20, Receivables-Nonrefundable</w:t>
      </w:r>
      <w:r>
        <w:rPr>
          <w:rFonts w:ascii="Arial" w:cs="Arial" w:eastAsia="Arial" w:hAnsi="Arial"/>
          <w:sz w:val="16"/>
          <w:szCs w:val="16"/>
          <w:color w:val="auto"/>
        </w:rPr>
        <w:t xml:space="preserve"> </w:t>
      </w:r>
      <w:r>
        <w:rPr>
          <w:rFonts w:ascii="Arial" w:cs="Arial" w:eastAsia="Arial" w:hAnsi="Arial"/>
          <w:sz w:val="16"/>
          <w:szCs w:val="16"/>
          <w:i w:val="1"/>
          <w:iCs w:val="1"/>
          <w:color w:val="auto"/>
        </w:rPr>
        <w:t>Fees and Other Costs</w:t>
      </w:r>
      <w:r>
        <w:rPr>
          <w:rFonts w:ascii="Arial" w:cs="Arial" w:eastAsia="Arial" w:hAnsi="Arial"/>
          <w:sz w:val="16"/>
          <w:szCs w:val="16"/>
          <w:color w:val="auto"/>
        </w:rPr>
        <w:t>, and were subsequently considered as part of the Company’s determination of the adequacy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allowance for loan losses. Purchased credit impaired (“PCI”) loans were accounted for under </w:t>
      </w:r>
      <w:r>
        <w:rPr>
          <w:rFonts w:ascii="Arial" w:cs="Arial" w:eastAsia="Arial" w:hAnsi="Arial"/>
          <w:sz w:val="16"/>
          <w:szCs w:val="16"/>
          <w:i w:val="1"/>
          <w:iCs w:val="1"/>
          <w:color w:val="auto"/>
        </w:rPr>
        <w:t>ASC 310-30, Receivables —</w:t>
      </w:r>
      <w:r>
        <w:rPr>
          <w:rFonts w:ascii="Arial" w:cs="Arial" w:eastAsia="Arial" w:hAnsi="Arial"/>
          <w:sz w:val="16"/>
          <w:szCs w:val="16"/>
          <w:color w:val="auto"/>
        </w:rPr>
        <w:t xml:space="preserve"> </w:t>
      </w:r>
      <w:r>
        <w:rPr>
          <w:rFonts w:ascii="Arial" w:cs="Arial" w:eastAsia="Arial" w:hAnsi="Arial"/>
          <w:sz w:val="16"/>
          <w:szCs w:val="16"/>
          <w:i w:val="1"/>
          <w:iCs w:val="1"/>
          <w:color w:val="auto"/>
        </w:rPr>
        <w:t>Loans and Debt Securities Acquired with Deteriorated Credit Quality</w:t>
      </w:r>
      <w:r>
        <w:rPr>
          <w:rFonts w:ascii="Arial" w:cs="Arial" w:eastAsia="Arial" w:hAnsi="Arial"/>
          <w:sz w:val="16"/>
          <w:szCs w:val="16"/>
          <w:color w:val="auto"/>
        </w:rPr>
        <w:t>. As of the acquisition date, the aggregate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outstanding and aggregate fair value of the acquired performing loans were $889.3 million and $871.0 million, respectively. The difference between the carrying value and aggregate fair value of $17.0 million will be accreted over the estimated remaining life of the respective loans in a manner that approximates the level yield method. As of the acquisition date, the aggregate principal balance outstanding of PCI loans totaled $3.9 million and the aggregate fair value of PCI loans totaled $2.3 million. The accretable discount of $0.2 million on PCI loans represents the amount by which the undiscounted expected cash flows on such loans exceed their carrying value. The amount by which the contractual payments exceeds the undiscounted expected cash flows represents the non-accretable difference.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At September 30, 2019, the carrying value of PCI loans acquired from Banc Ed was $1.5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Since the acquisition date, Banc Ed earned total revenues of $53.7 million and net income of $9.5 million, which are included in the Company’s unaudited Consolidated Statements of Income for the nine months ended September 30, 2019. The following table provides the unaudited pro forma information for the results of operations for the three and nine months ended September 30, 2019 and 2018, as if the acquisition had occurred January 1, 2018. The pro forma results combine the historical results of Banc Ed into the Company’s unaudited Consolidated Statements of Income, including the impact of purchase accounting adjustments including loan discount accretion, intangible assets amortization, deposit accretion and premises accretion, net of taxes. The pro forma results have been prepared for comparative purposes only and are not necessarily indicative of the results that would have been obtained had the acquisition actually occurred on January 1, 2018. No assumptions have been applied to the pro forma results of operations regarding possible revenue enhancements, expense efficiencies or asset dispositions (</w:t>
      </w:r>
      <w:r>
        <w:rPr>
          <w:rFonts w:ascii="Arial" w:cs="Arial" w:eastAsia="Arial" w:hAnsi="Arial"/>
          <w:sz w:val="16"/>
          <w:szCs w:val="16"/>
          <w:i w:val="1"/>
          <w:iCs w:val="1"/>
          <w:color w:val="auto"/>
        </w:rPr>
        <w:t>dollars in thousands, except per share amounts)</w:t>
      </w:r>
      <w:r>
        <w:rPr>
          <w:rFonts w:ascii="Arial" w:cs="Arial" w:eastAsia="Arial" w:hAnsi="Arial"/>
          <w:sz w:val="16"/>
          <w:szCs w:val="16"/>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gridSpan w:val="4"/>
          </w:tcPr>
          <w:p>
            <w:pPr>
              <w:jc w:val="right"/>
              <w:ind w:right="837"/>
              <w:spacing w:after="0"/>
              <w:rPr>
                <w:sz w:val="20"/>
                <w:szCs w:val="20"/>
                <w:color w:val="auto"/>
              </w:rPr>
            </w:pPr>
            <w:r>
              <w:rPr>
                <w:rFonts w:ascii="Arial" w:cs="Arial" w:eastAsia="Arial" w:hAnsi="Arial"/>
                <w:sz w:val="14"/>
                <w:szCs w:val="14"/>
                <w:b w:val="1"/>
                <w:bCs w:val="1"/>
                <w:color w:val="auto"/>
              </w:rPr>
              <w:t>Pro Forma</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69"/>
        </w:trPr>
        <w:tc>
          <w:tcPr>
            <w:tcW w:w="38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interest income plus non-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104,543</w:t>
            </w:r>
          </w:p>
        </w:tc>
        <w:tc>
          <w:tcPr>
            <w:tcW w:w="4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101,001</w:t>
            </w:r>
          </w:p>
        </w:tc>
        <w:tc>
          <w:tcPr>
            <w:tcW w:w="2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305,709</w:t>
            </w:r>
          </w:p>
        </w:tc>
        <w:tc>
          <w:tcPr>
            <w:tcW w:w="3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306,472</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30,811</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84,742</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87,972</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0.55</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1.51</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Security Trust Company</w:t>
      </w:r>
    </w:p>
    <w:p>
      <w:pPr>
        <w:spacing w:after="0" w:line="225"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On August 31, 2019, the Company completed the previously announced acquisition by Busey Bank of Investors’ Security Trust Company (“IST”), a Fort Myers, Florida wealth management firm. While the partnership is expected to add to the Company’s wealth management offerings, it is not expected to have any immediate, material impact on the Company’s earnings or overall business.</w:t>
      </w:r>
    </w:p>
    <w:p>
      <w:pPr>
        <w:spacing w:after="0" w:line="20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was recorded at estimated fair values on the date of acquisition. Fair values are considered provisional until final fair values are determined or the measurement period has passed, but no later than one year from the acquisition date. Reviews of third party valuations are still being performed by management.</w:t>
      </w:r>
    </w:p>
    <w:p>
      <w:pPr>
        <w:spacing w:after="0" w:line="169"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First Busey incurred $0.5 million and $0.7 million in pre-tax expenses related to the acquisition of IST for the three and nine months ended September 30, 2019, respectively, primarily for professional and legal fees, which are reported as a component of non-interest expense in the accompanying unaudited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Securities</w:t>
      </w:r>
    </w:p>
    <w:p>
      <w:pPr>
        <w:spacing w:after="0" w:line="229"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34"/>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980" w:type="dxa"/>
            <w:vAlign w:val="bottom"/>
          </w:tcPr>
          <w:p>
            <w:pPr>
              <w:jc w:val="center"/>
              <w:ind w:right="134"/>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3"/>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5"/>
                <w:szCs w:val="15"/>
                <w:color w:val="auto"/>
              </w:rPr>
            </w:pPr>
          </w:p>
        </w:tc>
        <w:tc>
          <w:tcPr>
            <w:tcW w:w="94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5"/>
                <w:szCs w:val="15"/>
                <w:color w:val="auto"/>
              </w:rPr>
            </w:pPr>
          </w:p>
        </w:tc>
        <w:tc>
          <w:tcPr>
            <w:tcW w:w="980" w:type="dxa"/>
            <w:vAlign w:val="bottom"/>
          </w:tcPr>
          <w:p>
            <w:pPr>
              <w:jc w:val="center"/>
              <w:ind w:right="134"/>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5"/>
                <w:szCs w:val="15"/>
                <w:color w:val="auto"/>
              </w:rPr>
            </w:pPr>
          </w:p>
        </w:tc>
        <w:tc>
          <w:tcPr>
            <w:tcW w:w="860" w:type="dxa"/>
            <w:vAlign w:val="bottom"/>
          </w:tcPr>
          <w:p>
            <w:pPr>
              <w:jc w:val="center"/>
              <w:ind w:right="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440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133"/>
              <w:spacing w:after="0" w:line="158" w:lineRule="exact"/>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3"/>
                <w:szCs w:val="13"/>
                <w:color w:val="auto"/>
              </w:rPr>
            </w:pPr>
          </w:p>
        </w:tc>
        <w:tc>
          <w:tcPr>
            <w:tcW w:w="940" w:type="dxa"/>
            <w:vAlign w:val="bottom"/>
          </w:tcPr>
          <w:p>
            <w:pPr>
              <w:jc w:val="center"/>
              <w:ind w:right="134"/>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980" w:type="dxa"/>
            <w:vAlign w:val="bottom"/>
          </w:tcPr>
          <w:p>
            <w:pPr>
              <w:jc w:val="center"/>
              <w:ind w:right="134"/>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860" w:type="dxa"/>
            <w:vAlign w:val="bottom"/>
          </w:tcPr>
          <w:p>
            <w:pPr>
              <w:jc w:val="center"/>
              <w:ind w:right="93"/>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51,395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U.S. government corporations and</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202,393</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3,273</w:t>
            </w:r>
          </w:p>
        </w:tc>
        <w:tc>
          <w:tcPr>
            <w:tcW w:w="26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205,613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agencies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263,345</w:t>
            </w:r>
          </w:p>
        </w:tc>
        <w:tc>
          <w:tcPr>
            <w:tcW w:w="2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5,733</w:t>
            </w:r>
          </w:p>
        </w:tc>
        <w:tc>
          <w:tcPr>
            <w:tcW w:w="26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121,338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2,248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914,320</w:t>
            </w:r>
          </w:p>
        </w:tc>
        <w:tc>
          <w:tcPr>
            <w:tcW w:w="2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12,674</w:t>
            </w:r>
          </w:p>
        </w:tc>
        <w:tc>
          <w:tcPr>
            <w:tcW w:w="26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(607)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926,387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123,061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1,668</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124,724</w:t>
            </w:r>
          </w:p>
        </w:tc>
        <w:tc>
          <w:tcPr>
            <w:tcW w:w="0" w:type="dxa"/>
            <w:vAlign w:val="bottom"/>
          </w:tcPr>
          <w:p>
            <w:pPr>
              <w:spacing w:after="0"/>
              <w:rPr>
                <w:sz w:val="1"/>
                <w:szCs w:val="1"/>
                <w:color w:val="auto"/>
              </w:rPr>
            </w:pPr>
          </w:p>
        </w:tc>
      </w:tr>
      <w:tr>
        <w:trPr>
          <w:trHeight w:val="263"/>
        </w:trPr>
        <w:tc>
          <w:tcPr>
            <w:tcW w:w="440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1,675,852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25,858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1,701,005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Debt securities held to maturity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15,170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center"/>
              <w:ind w:right="94"/>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24"/>
                <w:szCs w:val="24"/>
                <w:color w:val="auto"/>
              </w:rPr>
            </w:pPr>
          </w:p>
        </w:tc>
        <w:tc>
          <w:tcPr>
            <w:tcW w:w="980" w:type="dxa"/>
            <w:vAlign w:val="bottom"/>
          </w:tcPr>
          <w:p>
            <w:pPr>
              <w:jc w:val="center"/>
              <w:ind w:right="134"/>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5"/>
                <w:szCs w:val="15"/>
                <w:color w:val="auto"/>
              </w:rPr>
            </w:pPr>
          </w:p>
        </w:tc>
        <w:tc>
          <w:tcPr>
            <w:tcW w:w="94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5"/>
                <w:szCs w:val="15"/>
                <w:color w:val="auto"/>
              </w:rPr>
            </w:pPr>
          </w:p>
        </w:tc>
        <w:tc>
          <w:tcPr>
            <w:tcW w:w="980" w:type="dxa"/>
            <w:vAlign w:val="bottom"/>
          </w:tcPr>
          <w:p>
            <w:pPr>
              <w:jc w:val="center"/>
              <w:ind w:right="134"/>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5"/>
                <w:szCs w:val="15"/>
                <w:color w:val="auto"/>
              </w:rPr>
            </w:pPr>
          </w:p>
        </w:tc>
        <w:tc>
          <w:tcPr>
            <w:tcW w:w="860" w:type="dxa"/>
            <w:vAlign w:val="bottom"/>
          </w:tcPr>
          <w:p>
            <w:pPr>
              <w:jc w:val="center"/>
              <w:ind w:right="11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440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93"/>
              <w:spacing w:after="0" w:line="158" w:lineRule="exact"/>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3"/>
                <w:szCs w:val="13"/>
                <w:color w:val="auto"/>
              </w:rPr>
            </w:pPr>
          </w:p>
        </w:tc>
        <w:tc>
          <w:tcPr>
            <w:tcW w:w="94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980" w:type="dxa"/>
            <w:vAlign w:val="bottom"/>
          </w:tcPr>
          <w:p>
            <w:pPr>
              <w:jc w:val="center"/>
              <w:ind w:right="134"/>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860" w:type="dxa"/>
            <w:vAlign w:val="bottom"/>
          </w:tcPr>
          <w:p>
            <w:pPr>
              <w:jc w:val="center"/>
              <w:ind w:right="113"/>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25,824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U.S. government corporations and</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53,096</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8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agencies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171,131</w:t>
            </w:r>
          </w:p>
        </w:tc>
        <w:tc>
          <w:tcPr>
            <w:tcW w:w="26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2,003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322,646</w:t>
            </w:r>
          </w:p>
        </w:tc>
        <w:tc>
          <w:tcPr>
            <w:tcW w:w="26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315,748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132,513</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132,198</w:t>
            </w:r>
          </w:p>
        </w:tc>
        <w:tc>
          <w:tcPr>
            <w:tcW w:w="0" w:type="dxa"/>
            <w:vAlign w:val="bottom"/>
          </w:tcPr>
          <w:p>
            <w:pPr>
              <w:spacing w:after="0"/>
              <w:rPr>
                <w:sz w:val="1"/>
                <w:szCs w:val="1"/>
                <w:color w:val="auto"/>
              </w:rPr>
            </w:pPr>
          </w:p>
        </w:tc>
      </w:tr>
      <w:tr>
        <w:trPr>
          <w:trHeight w:val="263"/>
        </w:trPr>
        <w:tc>
          <w:tcPr>
            <w:tcW w:w="440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707,213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(10,326)</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Debt securities held to maturity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33,947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Commercial mortgage-backed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59,054</w:t>
            </w:r>
          </w:p>
        </w:tc>
        <w:tc>
          <w:tcPr>
            <w:tcW w:w="26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515,659</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1,748</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511,370</w:t>
            </w:r>
          </w:p>
        </w:tc>
        <w:tc>
          <w:tcPr>
            <w:tcW w:w="0" w:type="dxa"/>
            <w:vAlign w:val="bottom"/>
          </w:tcPr>
          <w:p>
            <w:pPr>
              <w:spacing w:after="0"/>
              <w:rPr>
                <w:sz w:val="1"/>
                <w:szCs w:val="1"/>
                <w:color w:val="auto"/>
              </w:rPr>
            </w:pPr>
          </w:p>
        </w:tc>
      </w:tr>
      <w:tr>
        <w:trPr>
          <w:trHeight w:val="223"/>
        </w:trPr>
        <w:tc>
          <w:tcPr>
            <w:tcW w:w="440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608,660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adopting ASU 2017-12, the Company reassessed the classification of certain investments during the first quarter of 2019 and transferred $573.6 million of securities from held to maturity to available for sale. The transfer occurred at fair value and had a related unrealized loss of $4.8 million recorded in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The amortized cost and fair value of debt securities, by contractual maturity or pre-refunded date, are shown below. Mortgages underlying mortgage-backed securities may be called or prepaid; therefore, actual maturities could differ from the contractual maturities. All mortgage-backed securities were issued by U.S. government agencies and corporations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3" w:lineRule="exact"/>
        <w:rPr>
          <w:sz w:val="20"/>
          <w:szCs w:val="20"/>
          <w:color w:val="auto"/>
        </w:rPr>
      </w:pPr>
    </w:p>
    <w:tbl>
      <w:tblPr>
        <w:tblLayout w:type="fixed"/>
        <w:tblInd w:w="740" w:type="dxa"/>
        <w:tblCellMar>
          <w:top w:w="0" w:type="dxa"/>
          <w:left w:w="0" w:type="dxa"/>
          <w:bottom w:w="0" w:type="dxa"/>
          <w:right w:w="0" w:type="dxa"/>
        </w:tblCellMar>
      </w:tblPr>
      <w:tr>
        <w:trPr>
          <w:trHeight w:val="176"/>
        </w:trPr>
        <w:tc>
          <w:tcPr>
            <w:tcW w:w="1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w w:val="91"/>
              </w:rPr>
              <w:t>Debt securities available for sale</w:t>
            </w: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w w:val="91"/>
              </w:rPr>
              <w:t>Debt securities held to maturity</w:t>
            </w:r>
          </w:p>
        </w:tc>
        <w:tc>
          <w:tcPr>
            <w:tcW w:w="0" w:type="dxa"/>
            <w:vAlign w:val="bottom"/>
          </w:tcPr>
          <w:p>
            <w:pPr>
              <w:spacing w:after="0"/>
              <w:rPr>
                <w:sz w:val="1"/>
                <w:szCs w:val="1"/>
                <w:color w:val="auto"/>
              </w:rPr>
            </w:pPr>
          </w:p>
        </w:tc>
      </w:tr>
      <w:tr>
        <w:trPr>
          <w:trHeight w:val="160"/>
        </w:trPr>
        <w:tc>
          <w:tcPr>
            <w:tcW w:w="1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157"/>
              <w:spacing w:after="0" w:line="160" w:lineRule="exact"/>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3"/>
                <w:szCs w:val="13"/>
                <w:color w:val="auto"/>
              </w:rPr>
            </w:pPr>
          </w:p>
        </w:tc>
        <w:tc>
          <w:tcPr>
            <w:tcW w:w="920" w:type="dxa"/>
            <w:vAlign w:val="bottom"/>
          </w:tcPr>
          <w:p>
            <w:pPr>
              <w:jc w:val="right"/>
              <w:ind w:right="355"/>
              <w:spacing w:after="0" w:line="160"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3"/>
                <w:szCs w:val="13"/>
                <w:color w:val="auto"/>
              </w:rPr>
            </w:pPr>
          </w:p>
        </w:tc>
        <w:tc>
          <w:tcPr>
            <w:tcW w:w="940" w:type="dxa"/>
            <w:vAlign w:val="bottom"/>
          </w:tcPr>
          <w:p>
            <w:pPr>
              <w:jc w:val="right"/>
              <w:ind w:right="157"/>
              <w:spacing w:after="0" w:line="160" w:lineRule="exact"/>
              <w:rPr>
                <w:sz w:val="20"/>
                <w:szCs w:val="20"/>
                <w:color w:val="auto"/>
              </w:rPr>
            </w:pPr>
            <w:r>
              <w:rPr>
                <w:rFonts w:ascii="Arial" w:cs="Arial" w:eastAsia="Arial" w:hAnsi="Arial"/>
                <w:sz w:val="14"/>
                <w:szCs w:val="14"/>
                <w:b w:val="1"/>
                <w:bCs w:val="1"/>
                <w:color w:val="auto"/>
                <w:w w:val="99"/>
              </w:rPr>
              <w:t>Amortized</w:t>
            </w:r>
          </w:p>
        </w:tc>
        <w:tc>
          <w:tcPr>
            <w:tcW w:w="340" w:type="dxa"/>
            <w:vAlign w:val="bottom"/>
          </w:tcPr>
          <w:p>
            <w:pPr>
              <w:spacing w:after="0"/>
              <w:rPr>
                <w:sz w:val="13"/>
                <w:szCs w:val="13"/>
                <w:color w:val="auto"/>
              </w:rPr>
            </w:pPr>
          </w:p>
        </w:tc>
        <w:tc>
          <w:tcPr>
            <w:tcW w:w="760" w:type="dxa"/>
            <w:vAlign w:val="bottom"/>
          </w:tcPr>
          <w:p>
            <w:pPr>
              <w:jc w:val="right"/>
              <w:ind w:right="275"/>
              <w:spacing w:after="0" w:line="16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30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September 30, 2019:</w:t>
            </w:r>
          </w:p>
        </w:tc>
        <w:tc>
          <w:tcPr>
            <w:tcW w:w="80" w:type="dxa"/>
            <w:vAlign w:val="bottom"/>
          </w:tcPr>
          <w:p>
            <w:pPr>
              <w:spacing w:after="0"/>
              <w:rPr>
                <w:sz w:val="13"/>
                <w:szCs w:val="13"/>
                <w:color w:val="auto"/>
              </w:rPr>
            </w:pPr>
          </w:p>
        </w:tc>
        <w:tc>
          <w:tcPr>
            <w:tcW w:w="980" w:type="dxa"/>
            <w:vAlign w:val="bottom"/>
          </w:tcPr>
          <w:p>
            <w:pPr>
              <w:jc w:val="right"/>
              <w:ind w:right="357"/>
              <w:spacing w:after="0" w:line="158"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3"/>
                <w:szCs w:val="13"/>
                <w:color w:val="auto"/>
              </w:rPr>
            </w:pPr>
          </w:p>
        </w:tc>
        <w:tc>
          <w:tcPr>
            <w:tcW w:w="92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3"/>
                <w:szCs w:val="13"/>
                <w:color w:val="auto"/>
              </w:rPr>
            </w:pPr>
          </w:p>
        </w:tc>
        <w:tc>
          <w:tcPr>
            <w:tcW w:w="94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3"/>
                <w:szCs w:val="13"/>
                <w:color w:val="auto"/>
              </w:rPr>
            </w:pPr>
          </w:p>
        </w:tc>
        <w:tc>
          <w:tcPr>
            <w:tcW w:w="76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128,897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129,230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2,215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Due after one year through five</w:t>
            </w:r>
          </w:p>
        </w:tc>
        <w:tc>
          <w:tcPr>
            <w:tcW w:w="80" w:type="dxa"/>
            <w:vAlign w:val="bottom"/>
          </w:tcPr>
          <w:p>
            <w:pPr>
              <w:spacing w:after="0"/>
              <w:rPr>
                <w:sz w:val="20"/>
                <w:szCs w:val="20"/>
                <w:color w:val="auto"/>
              </w:rPr>
            </w:pPr>
          </w:p>
        </w:tc>
        <w:tc>
          <w:tcPr>
            <w:tcW w:w="980" w:type="dxa"/>
            <w:vAlign w:val="bottom"/>
            <w:vMerge w:val="restart"/>
          </w:tcPr>
          <w:p>
            <w:pPr>
              <w:jc w:val="right"/>
              <w:ind w:right="57"/>
              <w:spacing w:after="0"/>
              <w:rPr>
                <w:sz w:val="20"/>
                <w:szCs w:val="20"/>
                <w:color w:val="auto"/>
              </w:rPr>
            </w:pPr>
            <w:r>
              <w:rPr>
                <w:rFonts w:ascii="Arial" w:cs="Arial" w:eastAsia="Arial" w:hAnsi="Arial"/>
                <w:sz w:val="18"/>
                <w:szCs w:val="18"/>
                <w:color w:val="auto"/>
              </w:rPr>
              <w:t>407,251</w:t>
            </w:r>
          </w:p>
        </w:tc>
        <w:tc>
          <w:tcPr>
            <w:tcW w:w="280" w:type="dxa"/>
            <w:vAlign w:val="bottom"/>
          </w:tcPr>
          <w:p>
            <w:pPr>
              <w:spacing w:after="0"/>
              <w:rPr>
                <w:sz w:val="20"/>
                <w:szCs w:val="20"/>
                <w:color w:val="auto"/>
              </w:rPr>
            </w:pPr>
          </w:p>
        </w:tc>
        <w:tc>
          <w:tcPr>
            <w:tcW w:w="920" w:type="dxa"/>
            <w:vAlign w:val="bottom"/>
            <w:vMerge w:val="restart"/>
          </w:tcPr>
          <w:p>
            <w:pPr>
              <w:jc w:val="right"/>
              <w:ind w:right="55"/>
              <w:spacing w:after="0"/>
              <w:rPr>
                <w:sz w:val="20"/>
                <w:szCs w:val="20"/>
                <w:color w:val="auto"/>
              </w:rPr>
            </w:pPr>
            <w:r>
              <w:rPr>
                <w:rFonts w:ascii="Arial" w:cs="Arial" w:eastAsia="Arial" w:hAnsi="Arial"/>
                <w:sz w:val="18"/>
                <w:szCs w:val="18"/>
                <w:color w:val="auto"/>
              </w:rPr>
              <w:t>413,491</w:t>
            </w:r>
          </w:p>
        </w:tc>
        <w:tc>
          <w:tcPr>
            <w:tcW w:w="240" w:type="dxa"/>
            <w:vAlign w:val="bottom"/>
          </w:tcPr>
          <w:p>
            <w:pPr>
              <w:spacing w:after="0"/>
              <w:rPr>
                <w:sz w:val="20"/>
                <w:szCs w:val="20"/>
                <w:color w:val="auto"/>
              </w:rPr>
            </w:pPr>
          </w:p>
        </w:tc>
        <w:tc>
          <w:tcPr>
            <w:tcW w:w="940" w:type="dxa"/>
            <w:vAlign w:val="bottom"/>
            <w:vMerge w:val="restart"/>
          </w:tcPr>
          <w:p>
            <w:pPr>
              <w:jc w:val="right"/>
              <w:ind w:right="57"/>
              <w:spacing w:after="0"/>
              <w:rPr>
                <w:sz w:val="20"/>
                <w:szCs w:val="20"/>
                <w:color w:val="auto"/>
              </w:rPr>
            </w:pPr>
            <w:r>
              <w:rPr>
                <w:rFonts w:ascii="Arial" w:cs="Arial" w:eastAsia="Arial" w:hAnsi="Arial"/>
                <w:sz w:val="18"/>
                <w:szCs w:val="18"/>
                <w:color w:val="auto"/>
              </w:rPr>
              <w:t>11,834</w:t>
            </w:r>
          </w:p>
        </w:tc>
        <w:tc>
          <w:tcPr>
            <w:tcW w:w="3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12,006</w:t>
            </w:r>
          </w:p>
        </w:tc>
        <w:tc>
          <w:tcPr>
            <w:tcW w:w="0" w:type="dxa"/>
            <w:vAlign w:val="bottom"/>
          </w:tcPr>
          <w:p>
            <w:pPr>
              <w:spacing w:after="0"/>
              <w:rPr>
                <w:sz w:val="1"/>
                <w:szCs w:val="1"/>
                <w:color w:val="auto"/>
              </w:rPr>
            </w:pPr>
          </w:p>
        </w:tc>
      </w:tr>
      <w:tr>
        <w:trPr>
          <w:trHeight w:val="229"/>
        </w:trPr>
        <w:tc>
          <w:tcPr>
            <w:tcW w:w="3040" w:type="dxa"/>
            <w:vAlign w:val="bottom"/>
            <w:gridSpan w:val="2"/>
          </w:tcPr>
          <w:p>
            <w:pPr>
              <w:ind w:left="140"/>
              <w:spacing w:after="0"/>
              <w:rPr>
                <w:sz w:val="20"/>
                <w:szCs w:val="20"/>
                <w:color w:val="auto"/>
              </w:rPr>
            </w:pPr>
            <w:r>
              <w:rPr>
                <w:rFonts w:ascii="Arial" w:cs="Arial" w:eastAsia="Arial" w:hAnsi="Arial"/>
                <w:sz w:val="18"/>
                <w:szCs w:val="18"/>
                <w:color w:val="auto"/>
              </w:rPr>
              <w:t>years</w:t>
            </w: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w:t>
            </w:r>
          </w:p>
        </w:tc>
        <w:tc>
          <w:tcPr>
            <w:tcW w:w="8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248,270</w:t>
            </w:r>
          </w:p>
        </w:tc>
        <w:tc>
          <w:tcPr>
            <w:tcW w:w="28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253,453</w:t>
            </w:r>
          </w:p>
        </w:tc>
        <w:tc>
          <w:tcPr>
            <w:tcW w:w="24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1,121</w:t>
            </w:r>
          </w:p>
        </w:tc>
        <w:tc>
          <w:tcPr>
            <w:tcW w:w="34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years</w:t>
            </w: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Due after ten years</w:t>
            </w: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891,434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904,831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1,675,852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4"/>
              </w:rPr>
              <w:t>1,701,005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15,170</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66"/>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center"/>
              <w:ind w:right="114"/>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298</w:t>
            </w:r>
          </w:p>
        </w:tc>
        <w:tc>
          <w:tcPr>
            <w:tcW w:w="7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689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2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security (losses)</w:t>
            </w: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(585)</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800" w:type="dxa"/>
            <w:vAlign w:val="bottom"/>
            <w:gridSpan w:val="2"/>
            <w:shd w:val="clear" w:color="auto" w:fill="CCEEFF"/>
          </w:tcPr>
          <w:p>
            <w:pPr>
              <w:jc w:val="center"/>
              <w:ind w:left="11"/>
              <w:spacing w:after="0" w:line="199" w:lineRule="exact"/>
              <w:rPr>
                <w:sz w:val="20"/>
                <w:szCs w:val="20"/>
                <w:color w:val="auto"/>
              </w:rPr>
            </w:pPr>
            <w:r>
              <w:rPr>
                <w:rFonts w:ascii="Arial" w:cs="Arial" w:eastAsia="Arial" w:hAnsi="Arial"/>
                <w:sz w:val="18"/>
                <w:szCs w:val="18"/>
                <w:color w:val="auto"/>
                <w:w w:val="88"/>
              </w:rPr>
              <w:t>Net (losses) gains on sales of</w:t>
            </w:r>
          </w:p>
        </w:tc>
        <w:tc>
          <w:tcPr>
            <w:tcW w:w="50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297</w:t>
            </w:r>
          </w:p>
        </w:tc>
        <w:tc>
          <w:tcPr>
            <w:tcW w:w="720" w:type="dxa"/>
            <w:vAlign w:val="bottom"/>
            <w:vMerge w:val="restart"/>
            <w:shd w:val="clear" w:color="auto" w:fill="CCEEFF"/>
          </w:tcPr>
          <w:p>
            <w:pPr>
              <w:jc w:val="right"/>
              <w:ind w:right="436"/>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104</w:t>
            </w:r>
          </w:p>
        </w:tc>
        <w:tc>
          <w:tcPr>
            <w:tcW w:w="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2800" w:type="dxa"/>
            <w:vAlign w:val="bottom"/>
            <w:gridSpan w:val="2"/>
            <w:shd w:val="clear" w:color="auto" w:fill="CCEEFF"/>
          </w:tcPr>
          <w:p>
            <w:pPr>
              <w:jc w:val="center"/>
              <w:spacing w:after="0" w:line="227" w:lineRule="exact"/>
              <w:rPr>
                <w:sz w:val="20"/>
                <w:szCs w:val="20"/>
                <w:color w:val="auto"/>
              </w:rPr>
            </w:pPr>
            <w:r>
              <w:rPr>
                <w:rFonts w:ascii="Arial" w:cs="Arial" w:eastAsia="Arial" w:hAnsi="Arial"/>
                <w:sz w:val="17"/>
                <w:szCs w:val="17"/>
                <w:color w:val="auto"/>
                <w:w w:val="90"/>
              </w:rPr>
              <w:t>securities</w:t>
            </w:r>
            <w:r>
              <w:rPr>
                <w:rFonts w:ascii="Arial" w:cs="Arial" w:eastAsia="Arial" w:hAnsi="Arial"/>
                <w:sz w:val="26"/>
                <w:szCs w:val="26"/>
                <w:color w:val="auto"/>
                <w:w w:val="90"/>
                <w:vertAlign w:val="superscript"/>
              </w:rPr>
              <w:t>(1)</w:t>
            </w:r>
          </w:p>
        </w:tc>
        <w:tc>
          <w:tcPr>
            <w:tcW w:w="5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9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40" w:right="140" w:hanging="323"/>
        <w:spacing w:after="0" w:line="200" w:lineRule="auto"/>
        <w:tabs>
          <w:tab w:leader="none" w:pos="44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Net (losses) gains on sales of securities reported on the unaudited Consolidated Statements of Income includes sale of equity securities, excluded in this table.</w:t>
      </w:r>
    </w:p>
    <w:p>
      <w:pPr>
        <w:spacing w:after="0" w:line="20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Debt securities with carrying amounts of $768.7 million and $498.3 million on September 30, 2019 and December 31, 2018, respectively, were pledged as collateral for public deposits, securities sold under agreements to repurchase and for other purposes as required or permitted by law.</w:t>
      </w:r>
    </w:p>
    <w:p>
      <w:pPr>
        <w:spacing w:after="0" w:line="196"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7"/>
          <w:szCs w:val="17"/>
          <w:i w:val="1"/>
          <w:iCs w:val="1"/>
          <w:color w:val="auto"/>
        </w:rPr>
        <w:t>(dollars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For less than</w:t>
            </w:r>
          </w:p>
        </w:tc>
        <w:tc>
          <w:tcPr>
            <w:tcW w:w="220" w:type="dxa"/>
            <w:vAlign w:val="bottom"/>
          </w:tcPr>
          <w:p>
            <w:pPr>
              <w:spacing w:after="0"/>
              <w:rPr>
                <w:sz w:val="15"/>
                <w:szCs w:val="15"/>
                <w:color w:val="auto"/>
              </w:rPr>
            </w:pPr>
          </w:p>
        </w:tc>
        <w:tc>
          <w:tcPr>
            <w:tcW w:w="168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For greater</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12 months, gross</w:t>
            </w: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2"/>
              </w:rPr>
              <w:t>than 12 months, gross</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Total, gross</w:t>
            </w:r>
          </w:p>
        </w:tc>
      </w:tr>
      <w:tr>
        <w:trPr>
          <w:trHeight w:val="160"/>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88"/>
              <w:spacing w:after="0" w:line="160"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84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620" w:type="dxa"/>
            <w:vAlign w:val="bottom"/>
          </w:tcPr>
          <w:p>
            <w:pPr>
              <w:jc w:val="right"/>
              <w:ind w:right="208"/>
              <w:spacing w:after="0" w:line="160"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86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3"/>
                <w:szCs w:val="13"/>
                <w:color w:val="auto"/>
              </w:rPr>
            </w:pPr>
          </w:p>
        </w:tc>
        <w:tc>
          <w:tcPr>
            <w:tcW w:w="640" w:type="dxa"/>
            <w:vAlign w:val="bottom"/>
          </w:tcPr>
          <w:p>
            <w:pPr>
              <w:jc w:val="right"/>
              <w:ind w:right="208"/>
              <w:spacing w:after="0" w:line="160"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780" w:type="dxa"/>
            <w:vAlign w:val="bottom"/>
          </w:tcPr>
          <w:p>
            <w:pPr>
              <w:jc w:val="right"/>
              <w:ind w:right="28"/>
              <w:spacing w:after="0" w:line="160" w:lineRule="exact"/>
              <w:rPr>
                <w:sz w:val="20"/>
                <w:szCs w:val="20"/>
                <w:color w:val="auto"/>
              </w:rPr>
            </w:pPr>
            <w:r>
              <w:rPr>
                <w:rFonts w:ascii="Arial" w:cs="Arial" w:eastAsia="Arial" w:hAnsi="Arial"/>
                <w:sz w:val="14"/>
                <w:szCs w:val="14"/>
                <w:b w:val="1"/>
                <w:bCs w:val="1"/>
                <w:color w:val="auto"/>
                <w:w w:val="93"/>
              </w:rPr>
              <w:t>Unrealized</w:t>
            </w:r>
          </w:p>
        </w:tc>
      </w:tr>
      <w:tr>
        <w:trPr>
          <w:trHeight w:val="158"/>
        </w:trPr>
        <w:tc>
          <w:tcPr>
            <w:tcW w:w="34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3"/>
                <w:szCs w:val="13"/>
                <w:color w:val="auto"/>
              </w:rPr>
            </w:pPr>
          </w:p>
        </w:tc>
        <w:tc>
          <w:tcPr>
            <w:tcW w:w="84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3"/>
                <w:szCs w:val="13"/>
                <w:color w:val="auto"/>
              </w:rPr>
            </w:pPr>
          </w:p>
        </w:tc>
        <w:tc>
          <w:tcPr>
            <w:tcW w:w="62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3"/>
                <w:szCs w:val="13"/>
                <w:color w:val="auto"/>
              </w:rPr>
            </w:pPr>
          </w:p>
        </w:tc>
        <w:tc>
          <w:tcPr>
            <w:tcW w:w="86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3"/>
                <w:szCs w:val="13"/>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3"/>
                <w:szCs w:val="13"/>
                <w:color w:val="auto"/>
              </w:rPr>
            </w:pPr>
          </w:p>
        </w:tc>
        <w:tc>
          <w:tcPr>
            <w:tcW w:w="78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Losses</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Debt securities available for sale</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U.S. Treasury securities</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9,982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9,982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76"/>
        </w:trPr>
        <w:tc>
          <w:tcPr>
            <w:tcW w:w="20" w:type="dxa"/>
            <w:vAlign w:val="bottom"/>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rPr>
              <w:t>Obligations of U.S. government corporations and agencies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6,938</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6,481</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13,419</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76"/>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Obligations of states and political subdivisions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4,949</w:t>
            </w:r>
          </w:p>
        </w:tc>
        <w:tc>
          <w:tcPr>
            <w:tcW w:w="20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9,129</w:t>
            </w:r>
          </w:p>
        </w:tc>
        <w:tc>
          <w:tcPr>
            <w:tcW w:w="2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14,078</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6"/>
        </w:trPr>
        <w:tc>
          <w:tcPr>
            <w:tcW w:w="20" w:type="dxa"/>
            <w:vAlign w:val="bottom"/>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mortgage-backed securities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3,913</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9,702</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13,615</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76"/>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Residential mortgage-backed securities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43,372</w:t>
            </w:r>
          </w:p>
        </w:tc>
        <w:tc>
          <w:tcPr>
            <w:tcW w:w="20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57,319</w:t>
            </w:r>
          </w:p>
        </w:tc>
        <w:tc>
          <w:tcPr>
            <w:tcW w:w="2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(560)</w:t>
            </w:r>
          </w:p>
        </w:tc>
        <w:tc>
          <w:tcPr>
            <w:tcW w:w="20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100,691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(607)</w:t>
            </w:r>
          </w:p>
        </w:tc>
      </w:tr>
      <w:tr>
        <w:trPr>
          <w:trHeight w:val="176"/>
        </w:trPr>
        <w:tc>
          <w:tcPr>
            <w:tcW w:w="20" w:type="dxa"/>
            <w:vAlign w:val="bottom"/>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debt securities</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485</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5,595</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6,080</w:t>
            </w: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09"/>
        </w:trPr>
        <w:tc>
          <w:tcPr>
            <w:tcW w:w="3460" w:type="dxa"/>
            <w:vAlign w:val="bottom"/>
            <w:gridSpan w:val="3"/>
          </w:tcPr>
          <w:p>
            <w:pPr>
              <w:spacing w:after="0"/>
              <w:rPr>
                <w:sz w:val="20"/>
                <w:szCs w:val="20"/>
                <w:color w:val="auto"/>
              </w:rPr>
            </w:pPr>
            <w:r>
              <w:rPr>
                <w:rFonts w:ascii="Arial" w:cs="Arial" w:eastAsia="Arial" w:hAnsi="Arial"/>
                <w:sz w:val="14"/>
                <w:szCs w:val="14"/>
                <w:color w:val="auto"/>
              </w:rPr>
              <w:t>Total temporarily impaired securities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98,208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157,865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r>
      <w:tr>
        <w:trPr>
          <w:trHeight w:val="156"/>
        </w:trPr>
        <w:tc>
          <w:tcPr>
            <w:tcW w:w="20" w:type="dxa"/>
            <w:vAlign w:val="bottom"/>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2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For less than</w:t>
            </w:r>
          </w:p>
        </w:tc>
        <w:tc>
          <w:tcPr>
            <w:tcW w:w="220" w:type="dxa"/>
            <w:vAlign w:val="bottom"/>
          </w:tcPr>
          <w:p>
            <w:pPr>
              <w:spacing w:after="0"/>
              <w:rPr>
                <w:sz w:val="15"/>
                <w:szCs w:val="15"/>
                <w:color w:val="auto"/>
              </w:rPr>
            </w:pPr>
          </w:p>
        </w:tc>
        <w:tc>
          <w:tcPr>
            <w:tcW w:w="184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For greater</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12 months, gross</w:t>
            </w: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w w:val="97"/>
              </w:rPr>
              <w:t>than 12 months, gross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3"/>
                <w:szCs w:val="13"/>
                <w:color w:val="auto"/>
              </w:rPr>
            </w:pPr>
          </w:p>
        </w:tc>
        <w:tc>
          <w:tcPr>
            <w:tcW w:w="7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84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58"/>
        </w:trPr>
        <w:tc>
          <w:tcPr>
            <w:tcW w:w="30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920" w:type="dxa"/>
            <w:vAlign w:val="bottom"/>
          </w:tcPr>
          <w:p>
            <w:pPr>
              <w:jc w:val="right"/>
              <w:ind w:right="288"/>
              <w:spacing w:after="0" w:line="158" w:lineRule="exact"/>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3"/>
                <w:szCs w:val="13"/>
                <w:color w:val="auto"/>
              </w:rPr>
            </w:pPr>
          </w:p>
        </w:tc>
        <w:tc>
          <w:tcPr>
            <w:tcW w:w="70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920" w:type="dxa"/>
            <w:vAlign w:val="bottom"/>
          </w:tcPr>
          <w:p>
            <w:pPr>
              <w:jc w:val="right"/>
              <w:ind w:right="288"/>
              <w:spacing w:after="0" w:line="158" w:lineRule="exact"/>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3"/>
                <w:szCs w:val="13"/>
                <w:color w:val="auto"/>
              </w:rPr>
            </w:pPr>
          </w:p>
        </w:tc>
        <w:tc>
          <w:tcPr>
            <w:tcW w:w="70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8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Debt securities available for sale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U.S. Treasury securities</w:t>
            </w: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995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24,343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25,338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Obligations of U.S. government corporations and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749</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50,744</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2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51,493</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agencies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49,893</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(460)</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77,651</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(1,111)</w:t>
            </w:r>
          </w:p>
        </w:tc>
        <w:tc>
          <w:tcPr>
            <w:tcW w:w="2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127,544</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mortgage-backed securities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1,942</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1,942</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Residential mortgage-backed securities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48,387</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(496)</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247,573</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(6,647)</w:t>
            </w:r>
          </w:p>
        </w:tc>
        <w:tc>
          <w:tcPr>
            <w:tcW w:w="2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295,960</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debt securities</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90,713</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15,083</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105,796</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09"/>
        </w:trPr>
        <w:tc>
          <w:tcPr>
            <w:tcW w:w="3040" w:type="dxa"/>
            <w:vAlign w:val="bottom"/>
            <w:gridSpan w:val="3"/>
          </w:tcPr>
          <w:p>
            <w:pPr>
              <w:spacing w:after="0"/>
              <w:rPr>
                <w:sz w:val="20"/>
                <w:szCs w:val="20"/>
                <w:color w:val="auto"/>
              </w:rPr>
            </w:pPr>
            <w:r>
              <w:rPr>
                <w:rFonts w:ascii="Arial" w:cs="Arial" w:eastAsia="Arial" w:hAnsi="Arial"/>
                <w:sz w:val="14"/>
                <w:szCs w:val="14"/>
                <w:color w:val="auto"/>
              </w:rPr>
              <w:t>Total temporarily impaired securities</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190,737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417,336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(9,095)</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608,073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Debt securities held to maturity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Obligations of states and political subdivisions</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19,069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Commercial mortgage-backed securities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12,067</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45,041</w:t>
            </w:r>
          </w:p>
        </w:tc>
        <w:tc>
          <w:tcPr>
            <w:tcW w:w="2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(791)</w:t>
            </w:r>
          </w:p>
        </w:tc>
        <w:tc>
          <w:tcPr>
            <w:tcW w:w="2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57,108</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mortgage-backed securities</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77,071</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(974)</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245,128</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(5,063)</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322,199</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(6,037)</w:t>
            </w:r>
          </w:p>
        </w:tc>
        <w:tc>
          <w:tcPr>
            <w:tcW w:w="0" w:type="dxa"/>
            <w:vAlign w:val="bottom"/>
          </w:tcPr>
          <w:p>
            <w:pPr>
              <w:spacing w:after="0"/>
              <w:rPr>
                <w:sz w:val="1"/>
                <w:szCs w:val="1"/>
                <w:color w:val="auto"/>
              </w:rPr>
            </w:pPr>
          </w:p>
        </w:tc>
      </w:tr>
      <w:tr>
        <w:trPr>
          <w:trHeight w:val="169"/>
        </w:trPr>
        <w:tc>
          <w:tcPr>
            <w:tcW w:w="3040" w:type="dxa"/>
            <w:vAlign w:val="bottom"/>
            <w:gridSpan w:val="3"/>
          </w:tcPr>
          <w:p>
            <w:pPr>
              <w:spacing w:after="0"/>
              <w:rPr>
                <w:sz w:val="20"/>
                <w:szCs w:val="20"/>
                <w:color w:val="auto"/>
              </w:rPr>
            </w:pPr>
            <w:r>
              <w:rPr>
                <w:rFonts w:ascii="Arial" w:cs="Arial" w:eastAsia="Arial" w:hAnsi="Arial"/>
                <w:sz w:val="14"/>
                <w:szCs w:val="14"/>
                <w:color w:val="auto"/>
              </w:rPr>
              <w:t>Total temporarily impaired securities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98,669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299,707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398,376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Debt securities are periodically evaluated for other-than-temporary impairment (“OTTI”). As of September 30, 2019, the Company’s debt security portfolio consisted of 1,208 securities. The total number of debt securities in the investment portfolio in an unrealized loss position as of September 30, 2019 was 74 and represented an unrealized loss of 0.44% of the aggregate fair value. The unrealized losses relate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debt securities. Full collection of the amounts due according to the contractual terms of the debt securities is expected; therefore, the Company does not consider these investments to be OTTI at September 30, 2019. As of September 30, 2019, the Company did not hold general obligation bonds of any single issuer, the aggregate of which exceeded 10% of the Company’s stockholders’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Portfolio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distribution of portfolio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274"/>
              <w:spacing w:after="0"/>
              <w:rPr>
                <w:sz w:val="20"/>
                <w:szCs w:val="20"/>
                <w:color w:val="auto"/>
              </w:rPr>
            </w:pPr>
            <w:r>
              <w:rPr>
                <w:rFonts w:ascii="Arial" w:cs="Arial" w:eastAsia="Arial" w:hAnsi="Arial"/>
                <w:sz w:val="14"/>
                <w:szCs w:val="14"/>
                <w:b w:val="1"/>
                <w:bCs w:val="1"/>
                <w:color w:val="auto"/>
                <w:w w:val="93"/>
              </w:rPr>
              <w:t>September 30,</w:t>
            </w:r>
          </w:p>
        </w:tc>
        <w:tc>
          <w:tcPr>
            <w:tcW w:w="280" w:type="dxa"/>
            <w:vAlign w:val="bottom"/>
          </w:tcPr>
          <w:p>
            <w:pPr>
              <w:spacing w:after="0"/>
              <w:rPr>
                <w:sz w:val="15"/>
                <w:szCs w:val="15"/>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1,680,491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2,793,380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2,366,823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426,559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Retail real estate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1,717,555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1,480,133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51,430</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1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6,669,415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5,568,428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(52,965)</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6,616,450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Net deferred loan origination costs included in the table above were $5.4 million as of September 30, 2019 and $5.6 million as of December 31, 2018. Net accretable purchase accounting adjustments included in the table above reduced loans by $22.5 million as of September 30, 2019 and $13.9 million as of December 31, 2018.</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59"/>
        <w:spacing w:after="0" w:line="262"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291" w:lineRule="exact"/>
        <w:rPr>
          <w:sz w:val="20"/>
          <w:szCs w:val="20"/>
          <w:color w:val="auto"/>
        </w:rPr>
      </w:pPr>
    </w:p>
    <w:p>
      <w:pPr>
        <w:ind w:left="680" w:right="479" w:hanging="320"/>
        <w:spacing w:after="0" w:line="248"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Pass</w:t>
      </w:r>
      <w:r>
        <w:rPr>
          <w:rFonts w:ascii="Arial" w:cs="Arial" w:eastAsia="Arial" w:hAnsi="Arial"/>
          <w:sz w:val="18"/>
          <w:szCs w:val="18"/>
          <w:color w:val="auto"/>
        </w:rPr>
        <w:t>- This category includes loans that are all considered acceptable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meet or exceed industry standards.</w:t>
      </w:r>
    </w:p>
    <w:p>
      <w:pPr>
        <w:spacing w:after="0" w:line="195" w:lineRule="exact"/>
        <w:rPr>
          <w:rFonts w:ascii="Arial" w:cs="Arial" w:eastAsia="Arial" w:hAnsi="Arial"/>
          <w:sz w:val="18"/>
          <w:szCs w:val="18"/>
          <w:color w:val="auto"/>
        </w:rPr>
      </w:pPr>
    </w:p>
    <w:p>
      <w:pPr>
        <w:ind w:left="680" w:right="239" w:hanging="320"/>
        <w:spacing w:after="0" w:line="24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that warrant a higher than average level of monitoring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201" w:lineRule="exact"/>
        <w:rPr>
          <w:rFonts w:ascii="Arial" w:cs="Arial" w:eastAsia="Arial" w:hAnsi="Arial"/>
          <w:sz w:val="18"/>
          <w:szCs w:val="18"/>
          <w:color w:val="auto"/>
        </w:rPr>
      </w:pPr>
    </w:p>
    <w:p>
      <w:pPr>
        <w:ind w:left="680" w:right="159" w:hanging="320"/>
        <w:spacing w:after="0" w:line="248"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95" w:lineRule="exact"/>
        <w:rPr>
          <w:rFonts w:ascii="Arial" w:cs="Arial" w:eastAsia="Arial" w:hAnsi="Arial"/>
          <w:sz w:val="18"/>
          <w:szCs w:val="18"/>
          <w:color w:val="auto"/>
        </w:rPr>
      </w:pPr>
    </w:p>
    <w:p>
      <w:pPr>
        <w:ind w:left="680" w:right="19" w:hanging="320"/>
        <w:spacing w:after="0" w:line="24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Substandard- </w:t>
      </w:r>
      <w:r>
        <w:rPr>
          <w:rFonts w:ascii="Arial" w:cs="Arial" w:eastAsia="Arial" w:hAnsi="Arial"/>
          <w:sz w:val="18"/>
          <w:szCs w:val="18"/>
          <w:color w:val="auto"/>
        </w:rPr>
        <w:t>This category includes “Substandard” loans, determined in accordance with regulatory guidelines,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201" w:lineRule="exact"/>
        <w:rPr>
          <w:rFonts w:ascii="Arial" w:cs="Arial" w:eastAsia="Arial" w:hAnsi="Arial"/>
          <w:sz w:val="18"/>
          <w:szCs w:val="18"/>
          <w:color w:val="auto"/>
        </w:rPr>
      </w:pPr>
    </w:p>
    <w:p>
      <w:pPr>
        <w:ind w:left="680" w:right="239" w:hanging="320"/>
        <w:spacing w:after="0" w:line="270"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w:t>
      </w:r>
      <w:r>
        <w:rPr>
          <w:rFonts w:ascii="Arial" w:cs="Arial" w:eastAsia="Arial" w:hAnsi="Arial"/>
          <w:sz w:val="17"/>
          <w:szCs w:val="17"/>
          <w:color w:val="auto"/>
        </w:rPr>
        <w:t>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178" w:lineRule="exact"/>
        <w:rPr>
          <w:sz w:val="20"/>
          <w:szCs w:val="20"/>
          <w:color w:val="auto"/>
        </w:rPr>
      </w:pPr>
    </w:p>
    <w:p>
      <w:pPr>
        <w:ind w:right="139"/>
        <w:spacing w:after="0" w:line="276" w:lineRule="auto"/>
        <w:rPr>
          <w:sz w:val="20"/>
          <w:szCs w:val="20"/>
          <w:color w:val="auto"/>
        </w:rPr>
      </w:pPr>
      <w:r>
        <w:rPr>
          <w:rFonts w:ascii="Arial" w:cs="Arial" w:eastAsia="Arial" w:hAnsi="Arial"/>
          <w:sz w:val="16"/>
          <w:szCs w:val="16"/>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176" w:lineRule="exact"/>
        <w:rPr>
          <w:sz w:val="20"/>
          <w:szCs w:val="20"/>
          <w:color w:val="auto"/>
        </w:rPr>
      </w:pPr>
    </w:p>
    <w:p>
      <w:pPr>
        <w:ind w:right="299"/>
        <w:spacing w:after="0" w:line="262"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(excluding accretable purchase accounting adjustments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8"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2019</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60"/>
        </w:trPr>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ind w:right="328"/>
              <w:spacing w:after="0" w:line="160" w:lineRule="exact"/>
              <w:rPr>
                <w:sz w:val="20"/>
                <w:szCs w:val="20"/>
                <w:color w:val="auto"/>
              </w:rPr>
            </w:pPr>
            <w:r>
              <w:rPr>
                <w:rFonts w:ascii="Arial" w:cs="Arial" w:eastAsia="Arial" w:hAnsi="Arial"/>
                <w:sz w:val="14"/>
                <w:szCs w:val="14"/>
                <w:b w:val="1"/>
                <w:bCs w:val="1"/>
                <w:color w:val="auto"/>
              </w:rPr>
              <w:t>Special</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Substandard</w:t>
            </w:r>
          </w:p>
        </w:tc>
      </w:tr>
      <w:tr>
        <w:trPr>
          <w:trHeight w:val="185"/>
        </w:trPr>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Pass</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Watch</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Mention</w:t>
            </w:r>
          </w:p>
        </w:tc>
        <w:tc>
          <w:tcPr>
            <w:tcW w:w="10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Substandard</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Non-accrual</w:t>
            </w:r>
          </w:p>
        </w:tc>
      </w:tr>
      <w:tr>
        <w:trPr>
          <w:trHeight w:val="169"/>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1,393,420</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167,439</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63,516</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47,765</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10,708</w:t>
            </w: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2,474,248</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189,443</w:t>
            </w:r>
          </w:p>
        </w:tc>
        <w:tc>
          <w:tcPr>
            <w:tcW w:w="360" w:type="dxa"/>
            <w:vAlign w:val="bottom"/>
          </w:tcPr>
          <w:p>
            <w:pPr>
              <w:spacing w:after="0"/>
              <w:rPr>
                <w:sz w:val="15"/>
                <w:szCs w:val="15"/>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91,689</w:t>
            </w:r>
          </w:p>
        </w:tc>
        <w:tc>
          <w:tcPr>
            <w:tcW w:w="3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38,018</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11,852</w:t>
            </w:r>
          </w:p>
        </w:tc>
      </w:tr>
      <w:tr>
        <w:trPr>
          <w:trHeight w:val="176"/>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397,377</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24,050</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5,151</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1,130</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1,670,187</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14,231</w:t>
            </w:r>
          </w:p>
        </w:tc>
        <w:tc>
          <w:tcPr>
            <w:tcW w:w="360" w:type="dxa"/>
            <w:vAlign w:val="bottom"/>
          </w:tcPr>
          <w:p>
            <w:pPr>
              <w:spacing w:after="0"/>
              <w:rPr>
                <w:sz w:val="15"/>
                <w:szCs w:val="15"/>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7,565</w:t>
            </w:r>
          </w:p>
        </w:tc>
        <w:tc>
          <w:tcPr>
            <w:tcW w:w="3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7,963</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8,591</w:t>
            </w:r>
          </w:p>
        </w:tc>
      </w:tr>
      <w:tr>
        <w:trPr>
          <w:trHeight w:val="176"/>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51,752</w:t>
            </w: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3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3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69"/>
        </w:trPr>
        <w:tc>
          <w:tcPr>
            <w:tcW w:w="2000" w:type="dxa"/>
            <w:vAlign w:val="bottom"/>
          </w:tcPr>
          <w:p>
            <w:pPr>
              <w:ind w:left="20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5,986,984</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395,242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167,921</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94,889</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31,827</w:t>
            </w:r>
          </w:p>
        </w:tc>
      </w:tr>
      <w:tr>
        <w:trPr>
          <w:trHeight w:val="20"/>
        </w:trPr>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60"/>
        </w:trPr>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ind w:right="328"/>
              <w:spacing w:after="0" w:line="160" w:lineRule="exact"/>
              <w:rPr>
                <w:sz w:val="20"/>
                <w:szCs w:val="20"/>
                <w:color w:val="auto"/>
              </w:rPr>
            </w:pPr>
            <w:r>
              <w:rPr>
                <w:rFonts w:ascii="Arial" w:cs="Arial" w:eastAsia="Arial" w:hAnsi="Arial"/>
                <w:sz w:val="14"/>
                <w:szCs w:val="14"/>
                <w:b w:val="1"/>
                <w:bCs w:val="1"/>
                <w:color w:val="auto"/>
              </w:rPr>
              <w:t>Special</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Substandard</w:t>
            </w:r>
          </w:p>
        </w:tc>
      </w:tr>
      <w:tr>
        <w:trPr>
          <w:trHeight w:val="185"/>
        </w:trPr>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Pass</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Watch</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Mention</w:t>
            </w:r>
          </w:p>
        </w:tc>
        <w:tc>
          <w:tcPr>
            <w:tcW w:w="10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Substandard</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Non-accrual</w:t>
            </w:r>
          </w:p>
        </w:tc>
      </w:tr>
      <w:tr>
        <w:trPr>
          <w:trHeight w:val="169"/>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1,126,257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172,449</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47,000</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42,532</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17,953</w:t>
            </w: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2,106,711</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137,214</w:t>
            </w:r>
          </w:p>
        </w:tc>
        <w:tc>
          <w:tcPr>
            <w:tcW w:w="340" w:type="dxa"/>
            <w:vAlign w:val="bottom"/>
          </w:tcPr>
          <w:p>
            <w:pPr>
              <w:spacing w:after="0"/>
              <w:rPr>
                <w:sz w:val="15"/>
                <w:szCs w:val="15"/>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85,148</w:t>
            </w:r>
          </w:p>
        </w:tc>
        <w:tc>
          <w:tcPr>
            <w:tcW w:w="3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36,205</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10,298</w:t>
            </w:r>
          </w:p>
        </w:tc>
      </w:tr>
      <w:tr>
        <w:trPr>
          <w:trHeight w:val="176"/>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268,069</w:t>
            </w: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14,562</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3,899</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1,888</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1,448,964</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6,425</w:t>
            </w:r>
          </w:p>
        </w:tc>
        <w:tc>
          <w:tcPr>
            <w:tcW w:w="340" w:type="dxa"/>
            <w:vAlign w:val="bottom"/>
          </w:tcPr>
          <w:p>
            <w:pPr>
              <w:spacing w:after="0"/>
              <w:rPr>
                <w:sz w:val="15"/>
                <w:szCs w:val="15"/>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6,792</w:t>
            </w:r>
          </w:p>
        </w:tc>
        <w:tc>
          <w:tcPr>
            <w:tcW w:w="3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5,435</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6,698</w:t>
            </w:r>
          </w:p>
        </w:tc>
      </w:tr>
      <w:tr>
        <w:trPr>
          <w:trHeight w:val="176"/>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26,707</w:t>
            </w:r>
          </w:p>
        </w:tc>
        <w:tc>
          <w:tcPr>
            <w:tcW w:w="3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69"/>
        </w:trPr>
        <w:tc>
          <w:tcPr>
            <w:tcW w:w="2000" w:type="dxa"/>
            <w:vAlign w:val="bottom"/>
          </w:tcPr>
          <w:p>
            <w:pPr>
              <w:ind w:left="20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4,976,708</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330,650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142,839</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86,060</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34,997</w:t>
            </w:r>
          </w:p>
        </w:tc>
      </w:tr>
      <w:tr>
        <w:trPr>
          <w:trHeight w:val="20"/>
        </w:trPr>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40"/>
        <w:spacing w:after="0" w:line="251" w:lineRule="auto"/>
        <w:rPr>
          <w:sz w:val="20"/>
          <w:szCs w:val="20"/>
          <w:color w:val="auto"/>
        </w:rPr>
      </w:pPr>
      <w:r>
        <w:rPr>
          <w:rFonts w:ascii="Arial" w:cs="Arial" w:eastAsia="Arial" w:hAnsi="Arial"/>
          <w:sz w:val="18"/>
          <w:szCs w:val="18"/>
          <w:color w:val="auto"/>
        </w:rPr>
        <w:t xml:space="preserve">An analysis of portfolio loans that are past due and still accruing or on a non-accrual status is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920" w:type="dxa"/>
        <w:tblCellMar>
          <w:top w:w="0" w:type="dxa"/>
          <w:left w:w="0" w:type="dxa"/>
          <w:bottom w:w="0" w:type="dxa"/>
          <w:right w:w="0" w:type="dxa"/>
        </w:tblCellMar>
      </w:tblPr>
      <w:tr>
        <w:trPr>
          <w:trHeight w:val="176"/>
        </w:trPr>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September 30, 2019</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69"/>
        </w:trPr>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Loans past due, still accruing</w:t>
            </w:r>
          </w:p>
        </w:tc>
        <w:tc>
          <w:tcPr>
            <w:tcW w:w="8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Non-accrual</w:t>
            </w:r>
          </w:p>
        </w:tc>
      </w:tr>
      <w:tr>
        <w:trPr>
          <w:trHeight w:val="169"/>
        </w:trPr>
        <w:tc>
          <w:tcPr>
            <w:tcW w:w="2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30-59 Days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60-89 Days</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90+Days</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Loans</w:t>
            </w:r>
          </w:p>
        </w:tc>
      </w:tr>
      <w:tr>
        <w:trPr>
          <w:trHeight w:val="223"/>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464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584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474</w:t>
            </w:r>
          </w:p>
        </w:tc>
        <w:tc>
          <w:tcPr>
            <w:tcW w:w="30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3,040</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11,852</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4,119</w:t>
            </w:r>
          </w:p>
        </w:tc>
        <w:tc>
          <w:tcPr>
            <w:tcW w:w="30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3,252</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8,591</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22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5,352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7,082</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31,827</w:t>
            </w:r>
          </w:p>
        </w:tc>
      </w:tr>
      <w:tr>
        <w:trPr>
          <w:trHeight w:val="20"/>
        </w:trPr>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99"/>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69"/>
        </w:trPr>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Loans past due, still accruing</w:t>
            </w:r>
          </w:p>
        </w:tc>
        <w:tc>
          <w:tcPr>
            <w:tcW w:w="8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Non-accrual</w:t>
            </w:r>
          </w:p>
        </w:tc>
      </w:tr>
      <w:tr>
        <w:trPr>
          <w:trHeight w:val="169"/>
        </w:trPr>
        <w:tc>
          <w:tcPr>
            <w:tcW w:w="2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30-59 Days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60-89 Days</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90+Days</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Loans</w:t>
            </w:r>
          </w:p>
        </w:tc>
      </w:tr>
      <w:tr>
        <w:trPr>
          <w:trHeight w:val="223"/>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558</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10,298</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4,578</w:t>
            </w:r>
          </w:p>
        </w:tc>
        <w:tc>
          <w:tcPr>
            <w:tcW w:w="30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1,368</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6,698</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22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5,053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2,068</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34,997</w:t>
            </w:r>
          </w:p>
        </w:tc>
      </w:tr>
      <w:tr>
        <w:trPr>
          <w:trHeight w:val="20"/>
        </w:trPr>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gross interest income that would have been recorded in the three months ended September 30, 2019 and 2018 if impaired loans had been current in accordance with their original terms was $0.5 million and $0.4 million, respectively. The gross interest income that would have been recorded in the nine months ended September 30, 2019 and 2018 if impaired loans had been current in accordance with their original terms was $1.6 million and $1.1 million, respectively. The amount of interest collected on those loans and recognized on a cash basis that was included in interest income was insignificant for the three and nine months ended September 30, 2019 and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troubled debt restructurings (“TDR”)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5"/>
                <w:szCs w:val="15"/>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23"/>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 compliance with modified terms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8,778</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30 — 89 days past due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Included in non-performing loans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3,557</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3"/>
        </w:trPr>
        <w:tc>
          <w:tcPr>
            <w:tcW w:w="400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12,335</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Loans classified as a TDR during the three and nine months ended September 30, 2019 included one commercial loan for short-term interest rate relief, with a recorded investment of $0.3 million. There were no loans classified as TDRs during the three months ended September 30, 2018. Loans classified as a TDR during the nine months ended September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30, 2018 included one retail real estate modification for short-term interest rate relief, with a recorded investment of $0.1 million.</w:t>
      </w:r>
    </w:p>
    <w:p>
      <w:pPr>
        <w:spacing w:after="0" w:line="183"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The gross interest income that would have been recorded in the three and nine months ended September 30, 2019 and 2018 if TDRs had performed in accordance with their original terms compared with their modified terms was insignificant.</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One commercial real estate TDR, with a recorded investment of $3.2 million, that was entered into during the last 12 months, was subsequently classified as non-performing and had payment defaults (a default occurs when a loan is 90 days or more past due or transferred to non-accrual) during the nine months ended September 30, 2019. There were no TDRs that were entered into during the prior twelve months that were subsequently classified as non-performing and had payment defaults during the three and nine months ended September 30,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the Company had $3.1 million of residential real estate in the process of foreclosure.</w:t>
      </w:r>
    </w:p>
    <w:p>
      <w:pPr>
        <w:spacing w:after="0" w:line="22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The following tables provide details of loans identified as impaired,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97"/>
              <w:spacing w:after="0" w:line="160" w:lineRule="exact"/>
              <w:rPr>
                <w:sz w:val="20"/>
                <w:szCs w:val="20"/>
                <w:color w:val="auto"/>
              </w:rPr>
            </w:pPr>
            <w:r>
              <w:rPr>
                <w:rFonts w:ascii="Arial" w:cs="Arial" w:eastAsia="Arial" w:hAnsi="Arial"/>
                <w:sz w:val="14"/>
                <w:szCs w:val="14"/>
                <w:b w:val="1"/>
                <w:bCs w:val="1"/>
                <w:color w:val="auto"/>
                <w:w w:val="96"/>
              </w:rPr>
              <w:t>Unpaid</w:t>
            </w:r>
          </w:p>
        </w:tc>
        <w:tc>
          <w:tcPr>
            <w:tcW w:w="260" w:type="dxa"/>
            <w:vAlign w:val="bottom"/>
          </w:tcPr>
          <w:p>
            <w:pPr>
              <w:spacing w:after="0"/>
              <w:rPr>
                <w:sz w:val="13"/>
                <w:szCs w:val="13"/>
                <w:color w:val="auto"/>
              </w:rPr>
            </w:pPr>
          </w:p>
        </w:tc>
        <w:tc>
          <w:tcPr>
            <w:tcW w:w="940" w:type="dxa"/>
            <w:vAlign w:val="bottom"/>
          </w:tcPr>
          <w:p>
            <w:pPr>
              <w:jc w:val="center"/>
              <w:ind w:right="97"/>
              <w:spacing w:after="0" w:line="160" w:lineRule="exact"/>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Recorded</w:t>
            </w:r>
          </w:p>
        </w:tc>
        <w:tc>
          <w:tcPr>
            <w:tcW w:w="240" w:type="dxa"/>
            <w:vAlign w:val="bottom"/>
          </w:tcPr>
          <w:p>
            <w:pPr>
              <w:spacing w:after="0"/>
              <w:rPr>
                <w:sz w:val="15"/>
                <w:szCs w:val="15"/>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with No</w:t>
            </w:r>
          </w:p>
        </w:tc>
        <w:tc>
          <w:tcPr>
            <w:tcW w:w="26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Investment</w:t>
            </w:r>
          </w:p>
        </w:tc>
        <w:tc>
          <w:tcPr>
            <w:tcW w:w="240" w:type="dxa"/>
            <w:vAlign w:val="bottom"/>
          </w:tcPr>
          <w:p>
            <w:pPr>
              <w:spacing w:after="0"/>
              <w:rPr>
                <w:sz w:val="15"/>
                <w:szCs w:val="15"/>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5"/>
                <w:szCs w:val="15"/>
                <w:color w:val="auto"/>
              </w:rPr>
            </w:pPr>
          </w:p>
        </w:tc>
        <w:tc>
          <w:tcPr>
            <w:tcW w:w="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Related</w:t>
            </w:r>
          </w:p>
        </w:tc>
        <w:tc>
          <w:tcPr>
            <w:tcW w:w="260" w:type="dxa"/>
            <w:vAlign w:val="bottom"/>
          </w:tcPr>
          <w:p>
            <w:pPr>
              <w:spacing w:after="0"/>
              <w:rPr>
                <w:sz w:val="15"/>
                <w:szCs w:val="15"/>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16,593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9,237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3,262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12,499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19,011</w:t>
            </w:r>
          </w:p>
        </w:tc>
        <w:tc>
          <w:tcPr>
            <w:tcW w:w="26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8,566</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8,823</w:t>
            </w:r>
          </w:p>
        </w:tc>
        <w:tc>
          <w:tcPr>
            <w:tcW w:w="24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17,389</w:t>
            </w:r>
          </w:p>
        </w:tc>
        <w:tc>
          <w:tcPr>
            <w:tcW w:w="2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2,497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1,071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929</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929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14,869</w:t>
            </w:r>
          </w:p>
        </w:tc>
        <w:tc>
          <w:tcPr>
            <w:tcW w:w="26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13,141</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13,615</w:t>
            </w:r>
          </w:p>
        </w:tc>
        <w:tc>
          <w:tcPr>
            <w:tcW w:w="2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98</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51,642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31,940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12,559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44,499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5,642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97"/>
              <w:spacing w:after="0" w:line="160" w:lineRule="exact"/>
              <w:rPr>
                <w:sz w:val="20"/>
                <w:szCs w:val="20"/>
                <w:color w:val="auto"/>
              </w:rPr>
            </w:pPr>
            <w:r>
              <w:rPr>
                <w:rFonts w:ascii="Arial" w:cs="Arial" w:eastAsia="Arial" w:hAnsi="Arial"/>
                <w:sz w:val="14"/>
                <w:szCs w:val="14"/>
                <w:b w:val="1"/>
                <w:bCs w:val="1"/>
                <w:color w:val="auto"/>
                <w:w w:val="96"/>
              </w:rPr>
              <w:t>Unpaid</w:t>
            </w:r>
          </w:p>
        </w:tc>
        <w:tc>
          <w:tcPr>
            <w:tcW w:w="260" w:type="dxa"/>
            <w:vAlign w:val="bottom"/>
          </w:tcPr>
          <w:p>
            <w:pPr>
              <w:spacing w:after="0"/>
              <w:rPr>
                <w:sz w:val="13"/>
                <w:szCs w:val="13"/>
                <w:color w:val="auto"/>
              </w:rPr>
            </w:pPr>
          </w:p>
        </w:tc>
        <w:tc>
          <w:tcPr>
            <w:tcW w:w="940" w:type="dxa"/>
            <w:vAlign w:val="bottom"/>
          </w:tcPr>
          <w:p>
            <w:pPr>
              <w:jc w:val="center"/>
              <w:ind w:right="137"/>
              <w:spacing w:after="0" w:line="160" w:lineRule="exact"/>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5"/>
                <w:szCs w:val="15"/>
                <w:color w:val="auto"/>
              </w:rPr>
            </w:pPr>
          </w:p>
        </w:tc>
        <w:tc>
          <w:tcPr>
            <w:tcW w:w="9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5"/>
                <w:szCs w:val="15"/>
                <w:color w:val="auto"/>
              </w:rPr>
            </w:pPr>
          </w:p>
        </w:tc>
        <w:tc>
          <w:tcPr>
            <w:tcW w:w="96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Recorded</w:t>
            </w:r>
          </w:p>
        </w:tc>
        <w:tc>
          <w:tcPr>
            <w:tcW w:w="240" w:type="dxa"/>
            <w:vAlign w:val="bottom"/>
          </w:tcPr>
          <w:p>
            <w:pPr>
              <w:spacing w:after="0"/>
              <w:rPr>
                <w:sz w:val="15"/>
                <w:szCs w:val="15"/>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5"/>
                <w:szCs w:val="15"/>
                <w:color w:val="auto"/>
              </w:rPr>
            </w:pPr>
          </w:p>
        </w:tc>
        <w:tc>
          <w:tcPr>
            <w:tcW w:w="94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with No</w:t>
            </w:r>
          </w:p>
        </w:tc>
        <w:tc>
          <w:tcPr>
            <w:tcW w:w="260" w:type="dxa"/>
            <w:vAlign w:val="bottom"/>
          </w:tcPr>
          <w:p>
            <w:pPr>
              <w:spacing w:after="0"/>
              <w:rPr>
                <w:sz w:val="15"/>
                <w:szCs w:val="15"/>
                <w:color w:val="auto"/>
              </w:rPr>
            </w:pPr>
          </w:p>
        </w:tc>
        <w:tc>
          <w:tcPr>
            <w:tcW w:w="96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tcPr>
          <w:p>
            <w:pPr>
              <w:spacing w:after="0"/>
              <w:rPr>
                <w:sz w:val="15"/>
                <w:szCs w:val="15"/>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5"/>
                <w:szCs w:val="15"/>
                <w:color w:val="auto"/>
              </w:rPr>
            </w:pPr>
          </w:p>
        </w:tc>
        <w:tc>
          <w:tcPr>
            <w:tcW w:w="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Related</w:t>
            </w:r>
          </w:p>
        </w:tc>
        <w:tc>
          <w:tcPr>
            <w:tcW w:w="260" w:type="dxa"/>
            <w:vAlign w:val="bottom"/>
          </w:tcPr>
          <w:p>
            <w:pPr>
              <w:spacing w:after="0"/>
              <w:rPr>
                <w:sz w:val="15"/>
                <w:szCs w:val="15"/>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21,442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6,858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12,001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18,859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19,079</w:t>
            </w:r>
          </w:p>
        </w:tc>
        <w:tc>
          <w:tcPr>
            <w:tcW w:w="260" w:type="dxa"/>
            <w:vAlign w:val="bottom"/>
          </w:tcPr>
          <w:p>
            <w:pPr>
              <w:spacing w:after="0"/>
              <w:rPr>
                <w:sz w:val="19"/>
                <w:szCs w:val="19"/>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13,082</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4,498</w:t>
            </w:r>
          </w:p>
        </w:tc>
        <w:tc>
          <w:tcPr>
            <w:tcW w:w="24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17,580</w:t>
            </w:r>
          </w:p>
        </w:tc>
        <w:tc>
          <w:tcPr>
            <w:tcW w:w="2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1,181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478</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14,418</w:t>
            </w:r>
          </w:p>
        </w:tc>
        <w:tc>
          <w:tcPr>
            <w:tcW w:w="260" w:type="dxa"/>
            <w:vAlign w:val="bottom"/>
          </w:tcPr>
          <w:p>
            <w:pPr>
              <w:spacing w:after="0"/>
              <w:rPr>
                <w:sz w:val="19"/>
                <w:szCs w:val="19"/>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13,196</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13,257</w:t>
            </w:r>
          </w:p>
        </w:tc>
        <w:tc>
          <w:tcPr>
            <w:tcW w:w="2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55,534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33,622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16,560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50,182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5,561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80"/>
        <w:spacing w:after="0" w:line="248"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96"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Company holds acquired loans from business combinations with uncollected principal balances. These loans are carried net of a fair value adjustment for credit risk and interest rates and are only included in the allowance calculation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to the extent that the reserve requirement exceeds the fair value adjustment. As the acquired loans renew, it is generally necessary to establish an allowance, which represents an amount that, in management’s opinion, will be adequate to absorb probable credit losses in such loans. The recorded investment of all acquired loans as of September 30, 2019 totaled approximately $1.7 billion.</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The following table details activity in the allowance for loan losses.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4"/>
                <w:szCs w:val="14"/>
                <w:b w:val="1"/>
                <w:bCs w:val="1"/>
                <w:color w:val="auto"/>
                <w:w w:val="93"/>
              </w:rPr>
              <w:t>As of and for the Three Months Ended September 30, 2019</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97"/>
              <w:spacing w:after="0" w:line="160" w:lineRule="exact"/>
              <w:rPr>
                <w:sz w:val="20"/>
                <w:szCs w:val="20"/>
                <w:color w:val="auto"/>
              </w:rPr>
            </w:pPr>
            <w:r>
              <w:rPr>
                <w:rFonts w:ascii="Arial" w:cs="Arial" w:eastAsia="Arial" w:hAnsi="Arial"/>
                <w:sz w:val="14"/>
                <w:szCs w:val="14"/>
                <w:b w:val="1"/>
                <w:bCs w:val="1"/>
                <w:color w:val="auto"/>
                <w:w w:val="94"/>
              </w:rPr>
              <w:t>Commercial</w:t>
            </w:r>
          </w:p>
        </w:tc>
        <w:tc>
          <w:tcPr>
            <w:tcW w:w="240" w:type="dxa"/>
            <w:vAlign w:val="bottom"/>
          </w:tcPr>
          <w:p>
            <w:pPr>
              <w:spacing w:after="0"/>
              <w:rPr>
                <w:sz w:val="13"/>
                <w:szCs w:val="13"/>
                <w:color w:val="auto"/>
              </w:rPr>
            </w:pPr>
          </w:p>
        </w:tc>
        <w:tc>
          <w:tcPr>
            <w:tcW w:w="980" w:type="dxa"/>
            <w:vAlign w:val="bottom"/>
          </w:tcPr>
          <w:p>
            <w:pPr>
              <w:jc w:val="center"/>
              <w:ind w:right="153"/>
              <w:spacing w:after="0" w:line="160" w:lineRule="exact"/>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3"/>
                <w:szCs w:val="13"/>
                <w:color w:val="auto"/>
              </w:rPr>
            </w:pPr>
          </w:p>
        </w:tc>
        <w:tc>
          <w:tcPr>
            <w:tcW w:w="980" w:type="dxa"/>
            <w:vAlign w:val="bottom"/>
          </w:tcPr>
          <w:p>
            <w:pPr>
              <w:jc w:val="center"/>
              <w:ind w:right="135"/>
              <w:spacing w:after="0" w:line="160" w:lineRule="exact"/>
              <w:rPr>
                <w:sz w:val="20"/>
                <w:szCs w:val="20"/>
                <w:color w:val="auto"/>
              </w:rPr>
            </w:pPr>
            <w:r>
              <w:rPr>
                <w:rFonts w:ascii="Arial" w:cs="Arial" w:eastAsia="Arial" w:hAnsi="Arial"/>
                <w:sz w:val="14"/>
                <w:szCs w:val="14"/>
                <w:b w:val="1"/>
                <w:bCs w:val="1"/>
                <w:color w:val="auto"/>
                <w:w w:val="94"/>
              </w:rPr>
              <w:t>Retail Real</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Real Estate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Retail Other</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23"/>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16,733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20,188</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10,613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536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51,375</w:t>
            </w:r>
          </w:p>
        </w:tc>
      </w:tr>
      <w:tr>
        <w:trPr>
          <w:trHeight w:val="230"/>
        </w:trPr>
        <w:tc>
          <w:tcPr>
            <w:tcW w:w="1840" w:type="dxa"/>
            <w:vAlign w:val="bottom"/>
            <w:gridSpan w:val="2"/>
          </w:tcPr>
          <w:p>
            <w:pPr>
              <w:spacing w:after="0"/>
              <w:rPr>
                <w:sz w:val="20"/>
                <w:szCs w:val="20"/>
                <w:color w:val="auto"/>
              </w:rPr>
            </w:pPr>
            <w:r>
              <w:rPr>
                <w:rFonts w:ascii="Arial" w:cs="Arial" w:eastAsia="Arial" w:hAnsi="Arial"/>
                <w:sz w:val="16"/>
                <w:szCs w:val="16"/>
                <w:color w:val="auto"/>
              </w:rPr>
              <w:t>Provision for loan losses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9"/>
                <w:szCs w:val="19"/>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3,167</w:t>
            </w: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3,411</w:t>
            </w:r>
          </w:p>
        </w:tc>
      </w:tr>
      <w:tr>
        <w:trPr>
          <w:trHeight w:val="230"/>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Charged-off</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(817)</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r>
      <w:tr>
        <w:trPr>
          <w:trHeight w:val="230"/>
        </w:trPr>
        <w:tc>
          <w:tcPr>
            <w:tcW w:w="1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Recoveries</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221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r>
      <w:tr>
        <w:trPr>
          <w:trHeight w:val="223"/>
        </w:trPr>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16,526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22,220</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3,110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10,522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587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52,965</w:t>
            </w: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gridSpan w:val="7"/>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600" w:type="dxa"/>
            <w:vAlign w:val="bottom"/>
            <w:tcBorders>
              <w:bottom w:val="single" w:sz="8" w:color="auto"/>
            </w:tcBorders>
            <w:gridSpan w:val="7"/>
            <w:shd w:val="clear" w:color="auto" w:fill="CCEEFF"/>
          </w:tcPr>
          <w:p>
            <w:pPr>
              <w:jc w:val="center"/>
              <w:ind w:right="53"/>
              <w:spacing w:after="0"/>
              <w:rPr>
                <w:sz w:val="20"/>
                <w:szCs w:val="20"/>
                <w:color w:val="auto"/>
              </w:rPr>
            </w:pPr>
            <w:r>
              <w:rPr>
                <w:rFonts w:ascii="Arial" w:cs="Arial" w:eastAsia="Arial" w:hAnsi="Arial"/>
                <w:sz w:val="14"/>
                <w:szCs w:val="14"/>
                <w:b w:val="1"/>
                <w:bCs w:val="1"/>
                <w:color w:val="auto"/>
                <w:w w:val="93"/>
              </w:rPr>
              <w:t>As of and for the Nine Months Ended September 30, 2019</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Commercial</w:t>
            </w:r>
          </w:p>
        </w:tc>
        <w:tc>
          <w:tcPr>
            <w:tcW w:w="240" w:type="dxa"/>
            <w:vAlign w:val="bottom"/>
          </w:tcPr>
          <w:p>
            <w:pPr>
              <w:spacing w:after="0"/>
              <w:rPr>
                <w:sz w:val="15"/>
                <w:szCs w:val="15"/>
                <w:color w:val="auto"/>
              </w:rPr>
            </w:pPr>
          </w:p>
        </w:tc>
        <w:tc>
          <w:tcPr>
            <w:tcW w:w="98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5"/>
                <w:szCs w:val="15"/>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Retail Real</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w w:val="92"/>
              </w:rPr>
              <w:t>Real Estate</w:t>
            </w:r>
          </w:p>
        </w:tc>
        <w:tc>
          <w:tcPr>
            <w:tcW w:w="12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ind w:right="155"/>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w w:val="95"/>
              </w:rPr>
              <w:t>Retail Other</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23"/>
        </w:trPr>
        <w:tc>
          <w:tcPr>
            <w:tcW w:w="1840" w:type="dxa"/>
            <w:vAlign w:val="bottom"/>
            <w:gridSpan w:val="2"/>
          </w:tcPr>
          <w:p>
            <w:pPr>
              <w:spacing w:after="0"/>
              <w:rPr>
                <w:sz w:val="20"/>
                <w:szCs w:val="20"/>
                <w:color w:val="auto"/>
              </w:rPr>
            </w:pPr>
            <w:r>
              <w:rPr>
                <w:rFonts w:ascii="Arial" w:cs="Arial" w:eastAsia="Arial" w:hAnsi="Arial"/>
                <w:sz w:val="16"/>
                <w:szCs w:val="16"/>
                <w:color w:val="auto"/>
              </w:rPr>
              <w:t>Beginning balance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17,829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21,137</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2,723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8,471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488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50,648</w:t>
            </w:r>
          </w:p>
        </w:tc>
      </w:tr>
      <w:tr>
        <w:trPr>
          <w:trHeight w:val="230"/>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loan losses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3,417</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1,981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2,212</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r>
      <w:tr>
        <w:trPr>
          <w:trHeight w:val="230"/>
        </w:trPr>
        <w:tc>
          <w:tcPr>
            <w:tcW w:w="1840" w:type="dxa"/>
            <w:vAlign w:val="bottom"/>
            <w:gridSpan w:val="2"/>
          </w:tcPr>
          <w:p>
            <w:pPr>
              <w:spacing w:after="0"/>
              <w:rPr>
                <w:sz w:val="20"/>
                <w:szCs w:val="20"/>
                <w:color w:val="auto"/>
              </w:rPr>
            </w:pPr>
            <w:r>
              <w:rPr>
                <w:rFonts w:ascii="Arial" w:cs="Arial" w:eastAsia="Arial" w:hAnsi="Arial"/>
                <w:sz w:val="16"/>
                <w:szCs w:val="16"/>
                <w:color w:val="auto"/>
              </w:rPr>
              <w:t>Charged-off</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(5,187)</w:t>
            </w:r>
          </w:p>
        </w:tc>
        <w:tc>
          <w:tcPr>
            <w:tcW w:w="2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(1,183)</w:t>
            </w:r>
          </w:p>
        </w:tc>
        <w:tc>
          <w:tcPr>
            <w:tcW w:w="24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(943)</w:t>
            </w:r>
          </w:p>
        </w:tc>
        <w:tc>
          <w:tcPr>
            <w:tcW w:w="2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(596)</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(7,909)</w:t>
            </w:r>
          </w:p>
        </w:tc>
      </w:tr>
      <w:tr>
        <w:trPr>
          <w:trHeight w:val="230"/>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Recoveries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467</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285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782</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320</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r>
      <w:tr>
        <w:trPr>
          <w:trHeight w:val="223"/>
        </w:trPr>
        <w:tc>
          <w:tcPr>
            <w:tcW w:w="184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16,526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22,220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3,110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10,522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587</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52,965</w:t>
            </w: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gridSpan w:val="7"/>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7"/>
          </w:tcPr>
          <w:p>
            <w:pPr>
              <w:jc w:val="center"/>
              <w:ind w:right="93"/>
              <w:spacing w:after="0"/>
              <w:rPr>
                <w:sz w:val="20"/>
                <w:szCs w:val="20"/>
                <w:color w:val="auto"/>
              </w:rPr>
            </w:pPr>
            <w:r>
              <w:rPr>
                <w:rFonts w:ascii="Arial" w:cs="Arial" w:eastAsia="Arial" w:hAnsi="Arial"/>
                <w:sz w:val="14"/>
                <w:szCs w:val="14"/>
                <w:b w:val="1"/>
                <w:bCs w:val="1"/>
                <w:color w:val="auto"/>
                <w:w w:val="93"/>
              </w:rPr>
              <w:t>As of and for the Three Months Ended September 30, 2018</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17"/>
              <w:spacing w:after="0" w:line="160" w:lineRule="exact"/>
              <w:rPr>
                <w:sz w:val="20"/>
                <w:szCs w:val="20"/>
                <w:color w:val="auto"/>
              </w:rPr>
            </w:pPr>
            <w:r>
              <w:rPr>
                <w:rFonts w:ascii="Arial" w:cs="Arial" w:eastAsia="Arial" w:hAnsi="Arial"/>
                <w:sz w:val="14"/>
                <w:szCs w:val="14"/>
                <w:b w:val="1"/>
                <w:bCs w:val="1"/>
                <w:color w:val="auto"/>
                <w:w w:val="92"/>
              </w:rPr>
              <w:t>Commercial</w:t>
            </w:r>
          </w:p>
        </w:tc>
        <w:tc>
          <w:tcPr>
            <w:tcW w:w="240" w:type="dxa"/>
            <w:vAlign w:val="bottom"/>
          </w:tcPr>
          <w:p>
            <w:pPr>
              <w:spacing w:after="0"/>
              <w:rPr>
                <w:sz w:val="13"/>
                <w:szCs w:val="13"/>
                <w:color w:val="auto"/>
              </w:rPr>
            </w:pPr>
          </w:p>
        </w:tc>
        <w:tc>
          <w:tcPr>
            <w:tcW w:w="980" w:type="dxa"/>
            <w:vAlign w:val="bottom"/>
          </w:tcPr>
          <w:p>
            <w:pPr>
              <w:jc w:val="center"/>
              <w:ind w:right="153"/>
              <w:spacing w:after="0" w:line="160" w:lineRule="exact"/>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3"/>
                <w:szCs w:val="13"/>
                <w:color w:val="auto"/>
              </w:rPr>
            </w:pPr>
          </w:p>
        </w:tc>
        <w:tc>
          <w:tcPr>
            <w:tcW w:w="980" w:type="dxa"/>
            <w:vAlign w:val="bottom"/>
          </w:tcPr>
          <w:p>
            <w:pPr>
              <w:jc w:val="center"/>
              <w:ind w:right="135"/>
              <w:spacing w:after="0" w:line="160" w:lineRule="exact"/>
              <w:rPr>
                <w:sz w:val="20"/>
                <w:szCs w:val="20"/>
                <w:color w:val="auto"/>
              </w:rPr>
            </w:pPr>
            <w:r>
              <w:rPr>
                <w:rFonts w:ascii="Arial" w:cs="Arial" w:eastAsia="Arial" w:hAnsi="Arial"/>
                <w:sz w:val="14"/>
                <w:szCs w:val="14"/>
                <w:b w:val="1"/>
                <w:bCs w:val="1"/>
                <w:color w:val="auto"/>
                <w:w w:val="94"/>
              </w:rPr>
              <w:t>Retail Real</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Real Estate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Retail Other</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17,586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23,047</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9,293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53,305</w:t>
            </w:r>
          </w:p>
        </w:tc>
      </w:tr>
      <w:tr>
        <w:trPr>
          <w:trHeight w:val="230"/>
        </w:trPr>
        <w:tc>
          <w:tcPr>
            <w:tcW w:w="1840" w:type="dxa"/>
            <w:vAlign w:val="bottom"/>
            <w:gridSpan w:val="2"/>
          </w:tcPr>
          <w:p>
            <w:pPr>
              <w:spacing w:after="0"/>
              <w:rPr>
                <w:sz w:val="20"/>
                <w:szCs w:val="20"/>
                <w:color w:val="auto"/>
              </w:rPr>
            </w:pPr>
            <w:r>
              <w:rPr>
                <w:rFonts w:ascii="Arial" w:cs="Arial" w:eastAsia="Arial" w:hAnsi="Arial"/>
                <w:sz w:val="16"/>
                <w:szCs w:val="16"/>
                <w:color w:val="auto"/>
              </w:rPr>
              <w:t>Provision for loan losses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2,388</w:t>
            </w:r>
          </w:p>
        </w:tc>
        <w:tc>
          <w:tcPr>
            <w:tcW w:w="2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(1,291)</w:t>
            </w: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30"/>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Charged-off</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r>
      <w:tr>
        <w:trPr>
          <w:trHeight w:val="230"/>
        </w:trPr>
        <w:tc>
          <w:tcPr>
            <w:tcW w:w="1840" w:type="dxa"/>
            <w:vAlign w:val="bottom"/>
            <w:gridSpan w:val="2"/>
          </w:tcPr>
          <w:p>
            <w:pPr>
              <w:spacing w:after="0"/>
              <w:rPr>
                <w:sz w:val="20"/>
                <w:szCs w:val="20"/>
                <w:color w:val="auto"/>
              </w:rPr>
            </w:pPr>
            <w:r>
              <w:rPr>
                <w:rFonts w:ascii="Arial" w:cs="Arial" w:eastAsia="Arial" w:hAnsi="Arial"/>
                <w:sz w:val="16"/>
                <w:szCs w:val="16"/>
                <w:color w:val="auto"/>
              </w:rPr>
              <w:t>Recoveries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23"/>
        </w:trPr>
        <w:tc>
          <w:tcPr>
            <w:tcW w:w="20" w:type="dxa"/>
            <w:vAlign w:val="bottom"/>
          </w:tcPr>
          <w:p>
            <w:pPr>
              <w:spacing w:after="0"/>
              <w:rPr>
                <w:sz w:val="19"/>
                <w:szCs w:val="19"/>
                <w:color w:val="auto"/>
              </w:rPr>
            </w:pPr>
          </w:p>
        </w:tc>
        <w:tc>
          <w:tcPr>
            <w:tcW w:w="1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18,966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21,752</w:t>
            </w:r>
          </w:p>
        </w:tc>
        <w:tc>
          <w:tcPr>
            <w:tcW w:w="2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2,932</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8,622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471</w:t>
            </w:r>
          </w:p>
        </w:tc>
        <w:tc>
          <w:tcPr>
            <w:tcW w:w="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52,743</w:t>
            </w: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gridSpan w:val="7"/>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600" w:type="dxa"/>
            <w:vAlign w:val="bottom"/>
            <w:tcBorders>
              <w:bottom w:val="single" w:sz="8" w:color="auto"/>
            </w:tcBorders>
            <w:gridSpan w:val="7"/>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93"/>
              </w:rPr>
              <w:t>As of and for the Nine Months Ended September 30, 2018</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Commercial</w:t>
            </w:r>
          </w:p>
        </w:tc>
        <w:tc>
          <w:tcPr>
            <w:tcW w:w="240" w:type="dxa"/>
            <w:vAlign w:val="bottom"/>
          </w:tcPr>
          <w:p>
            <w:pPr>
              <w:spacing w:after="0"/>
              <w:rPr>
                <w:sz w:val="15"/>
                <w:szCs w:val="15"/>
                <w:color w:val="auto"/>
              </w:rPr>
            </w:pPr>
          </w:p>
        </w:tc>
        <w:tc>
          <w:tcPr>
            <w:tcW w:w="98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5"/>
                <w:szCs w:val="15"/>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Retail Real</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w w:val="92"/>
              </w:rPr>
              <w:t>Real Estate</w:t>
            </w:r>
          </w:p>
        </w:tc>
        <w:tc>
          <w:tcPr>
            <w:tcW w:w="12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ind w:right="155"/>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w w:val="95"/>
              </w:rPr>
              <w:t>Retail Other</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23"/>
        </w:trPr>
        <w:tc>
          <w:tcPr>
            <w:tcW w:w="1840" w:type="dxa"/>
            <w:vAlign w:val="bottom"/>
            <w:gridSpan w:val="2"/>
          </w:tcPr>
          <w:p>
            <w:pPr>
              <w:spacing w:after="0"/>
              <w:rPr>
                <w:sz w:val="20"/>
                <w:szCs w:val="20"/>
                <w:color w:val="auto"/>
              </w:rPr>
            </w:pPr>
            <w:r>
              <w:rPr>
                <w:rFonts w:ascii="Arial" w:cs="Arial" w:eastAsia="Arial" w:hAnsi="Arial"/>
                <w:sz w:val="16"/>
                <w:szCs w:val="16"/>
                <w:color w:val="auto"/>
              </w:rPr>
              <w:t>Beginning balance</w:t>
            </w:r>
          </w:p>
        </w:tc>
        <w:tc>
          <w:tcPr>
            <w:tcW w:w="240" w:type="dxa"/>
            <w:vAlign w:val="bottom"/>
          </w:tcPr>
          <w:p>
            <w:pPr>
              <w:spacing w:after="0"/>
              <w:rPr>
                <w:sz w:val="19"/>
                <w:szCs w:val="19"/>
                <w:color w:val="auto"/>
              </w:rPr>
            </w:pPr>
          </w:p>
        </w:tc>
        <w:tc>
          <w:tcPr>
            <w:tcW w:w="260" w:type="dxa"/>
            <w:vAlign w:val="bottom"/>
            <w:gridSpan w:val="2"/>
          </w:tcPr>
          <w:p>
            <w:pPr>
              <w:jc w:val="right"/>
              <w:ind w:right="9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14,779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21,813</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2,861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13,783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346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53,582</w:t>
            </w:r>
          </w:p>
        </w:tc>
      </w:tr>
      <w:tr>
        <w:trPr>
          <w:trHeight w:val="230"/>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loan losses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7,111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(4,609)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346</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r>
      <w:tr>
        <w:trPr>
          <w:trHeight w:val="230"/>
        </w:trPr>
        <w:tc>
          <w:tcPr>
            <w:tcW w:w="1840" w:type="dxa"/>
            <w:vAlign w:val="bottom"/>
            <w:gridSpan w:val="2"/>
          </w:tcPr>
          <w:p>
            <w:pPr>
              <w:spacing w:after="0"/>
              <w:rPr>
                <w:sz w:val="20"/>
                <w:szCs w:val="20"/>
                <w:color w:val="auto"/>
              </w:rPr>
            </w:pPr>
            <w:r>
              <w:rPr>
                <w:rFonts w:ascii="Arial" w:cs="Arial" w:eastAsia="Arial" w:hAnsi="Arial"/>
                <w:sz w:val="16"/>
                <w:szCs w:val="16"/>
                <w:color w:val="auto"/>
              </w:rPr>
              <w:t>Charged-off</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(3,841)</w:t>
            </w:r>
          </w:p>
        </w:tc>
        <w:tc>
          <w:tcPr>
            <w:tcW w:w="2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(1,487)</w:t>
            </w: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(7,670)</w:t>
            </w:r>
          </w:p>
        </w:tc>
      </w:tr>
      <w:tr>
        <w:trPr>
          <w:trHeight w:val="230"/>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Recoveries</w:t>
            </w:r>
          </w:p>
        </w:tc>
        <w:tc>
          <w:tcPr>
            <w:tcW w:w="2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917</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1,085</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387</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r>
      <w:tr>
        <w:trPr>
          <w:trHeight w:val="223"/>
        </w:trPr>
        <w:tc>
          <w:tcPr>
            <w:tcW w:w="184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2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18,966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21,752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2,932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8,622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471</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52,743</w:t>
            </w: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0"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The following table presents the allowance for loan losses and recorded investments in portfolio loans by category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ectPr>
          <w:pgSz w:w="11900" w:h="16838" w:orient="portrait"/>
          <w:cols w:equalWidth="0" w:num="1">
            <w:col w:w="9060"/>
          </w:cols>
          <w:pgMar w:left="1420" w:top="530" w:right="141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Allowance for loan losses Ending balance attributed to: Loans individually evaluated for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impairment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Loans collectively evaluated for</w:t>
      </w:r>
    </w:p>
    <w:p>
      <w:pPr>
        <w:spacing w:after="0" w:line="45" w:lineRule="exact"/>
        <w:rPr>
          <w:sz w:val="20"/>
          <w:szCs w:val="20"/>
          <w:color w:val="auto"/>
        </w:rPr>
      </w:pPr>
    </w:p>
    <w:p>
      <w:pPr>
        <w:jc w:val="center"/>
        <w:ind w:right="1260"/>
        <w:spacing w:after="0"/>
        <w:rPr>
          <w:sz w:val="20"/>
          <w:szCs w:val="20"/>
          <w:color w:val="auto"/>
        </w:rPr>
      </w:pPr>
      <w:r>
        <w:rPr>
          <w:rFonts w:ascii="Arial" w:cs="Arial" w:eastAsia="Arial" w:hAnsi="Arial"/>
          <w:sz w:val="18"/>
          <w:szCs w:val="18"/>
          <w:color w:val="auto"/>
        </w:rPr>
        <w:t>impairment</w:t>
      </w:r>
    </w:p>
    <w:p>
      <w:pPr>
        <w:spacing w:after="0" w:line="3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ind w:left="2360"/>
        <w:spacing w:after="0"/>
        <w:rPr>
          <w:sz w:val="20"/>
          <w:szCs w:val="20"/>
          <w:color w:val="auto"/>
        </w:rPr>
      </w:pPr>
      <w:r>
        <w:rPr>
          <w:rFonts w:ascii="Arial" w:cs="Arial" w:eastAsia="Arial" w:hAnsi="Arial"/>
          <w:sz w:val="14"/>
          <w:szCs w:val="14"/>
          <w:b w:val="1"/>
          <w:bCs w:val="1"/>
          <w:color w:val="auto"/>
        </w:rPr>
        <w:t>As of September 30, 2019</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2"/>
              </w:rPr>
              <w:t>Commercial</w:t>
            </w:r>
          </w:p>
        </w:tc>
        <w:tc>
          <w:tcPr>
            <w:tcW w:w="10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Real Estate</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7"/>
              </w:rPr>
              <w:t>Retail Real</w:t>
            </w:r>
          </w:p>
        </w:tc>
        <w:tc>
          <w:tcPr>
            <w:tcW w:w="4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Commercial</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5"/>
              </w:rPr>
              <w:t>Real Estate</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Estate</w:t>
            </w: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898"/>
        </w:trPr>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2,671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2,497</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474</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5,642</w:t>
            </w:r>
          </w:p>
        </w:tc>
      </w:tr>
      <w:tr>
        <w:trPr>
          <w:trHeight w:val="459"/>
        </w:trPr>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13,855</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19,723</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3,110</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10,048</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587</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47,323</w:t>
            </w:r>
          </w:p>
        </w:tc>
      </w:tr>
      <w:tr>
        <w:trPr>
          <w:trHeight w:val="223"/>
        </w:trPr>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16,526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22,220</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10,522</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587</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52,965</w:t>
            </w: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-908685</wp:posOffset>
            </wp:positionV>
            <wp:extent cx="574611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6115" cy="14605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-471170</wp:posOffset>
            </wp:positionV>
            <wp:extent cx="574611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6115" cy="291465"/>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-16510</wp:posOffset>
            </wp:positionV>
            <wp:extent cx="574611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611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400"/>
            <w:col w:w="6300"/>
          </w:cols>
          <w:pgMar w:left="1420" w:top="530" w:right="14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Loans individually evaluated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574611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6115" cy="29146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74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12,481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14,954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40,689</w:t>
            </w: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Loans collectively evaluated for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1,667,992</w:t>
            </w:r>
          </w:p>
        </w:tc>
        <w:tc>
          <w:tcPr>
            <w:tcW w:w="240" w:type="dxa"/>
            <w:vAlign w:val="bottom"/>
          </w:tcPr>
          <w:p>
            <w:pPr>
              <w:spacing w:after="0"/>
              <w:rPr>
                <w:sz w:val="20"/>
                <w:szCs w:val="2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2,775,991</w:t>
            </w:r>
          </w:p>
        </w:tc>
        <w:tc>
          <w:tcPr>
            <w:tcW w:w="260" w:type="dxa"/>
            <w:vAlign w:val="bottom"/>
          </w:tcPr>
          <w:p>
            <w:pPr>
              <w:spacing w:after="0"/>
              <w:rPr>
                <w:sz w:val="20"/>
                <w:szCs w:val="20"/>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w w:val="95"/>
              </w:rPr>
              <w:t>425,630</w:t>
            </w:r>
          </w:p>
        </w:tc>
        <w:tc>
          <w:tcPr>
            <w:tcW w:w="220" w:type="dxa"/>
            <w:vAlign w:val="bottom"/>
          </w:tcPr>
          <w:p>
            <w:pPr>
              <w:spacing w:after="0"/>
              <w:rPr>
                <w:sz w:val="20"/>
                <w:szCs w:val="20"/>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w w:val="94"/>
              </w:rPr>
              <w:t>1,703,940</w:t>
            </w:r>
          </w:p>
        </w:tc>
        <w:tc>
          <w:tcPr>
            <w:tcW w:w="30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51,363</w:t>
            </w: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6,624,916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2,435</w:t>
            </w:r>
          </w:p>
        </w:tc>
        <w:tc>
          <w:tcPr>
            <w:tcW w:w="26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30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1,680,491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2,793,380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426,559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1,717,555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51,430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6,669,415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30" w:right="141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Allowance for loan losses Ending balance attributed to: Loans individually evaluated for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impairment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Loans collectively evaluated for</w:t>
      </w:r>
    </w:p>
    <w:p>
      <w:pPr>
        <w:spacing w:after="0" w:line="45" w:lineRule="exact"/>
        <w:rPr>
          <w:sz w:val="20"/>
          <w:szCs w:val="20"/>
          <w:color w:val="auto"/>
        </w:rPr>
      </w:pPr>
    </w:p>
    <w:p>
      <w:pPr>
        <w:jc w:val="center"/>
        <w:ind w:right="1260"/>
        <w:spacing w:after="0"/>
        <w:rPr>
          <w:sz w:val="20"/>
          <w:szCs w:val="20"/>
          <w:color w:val="auto"/>
        </w:rPr>
      </w:pPr>
      <w:r>
        <w:rPr>
          <w:rFonts w:ascii="Arial" w:cs="Arial" w:eastAsia="Arial" w:hAnsi="Arial"/>
          <w:sz w:val="18"/>
          <w:szCs w:val="18"/>
          <w:color w:val="auto"/>
        </w:rPr>
        <w:t>impairment</w:t>
      </w:r>
    </w:p>
    <w:p>
      <w:pPr>
        <w:spacing w:after="0" w:line="3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As of December 31, 2018</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77"/>
              <w:spacing w:after="0" w:line="160" w:lineRule="exact"/>
              <w:rPr>
                <w:sz w:val="20"/>
                <w:szCs w:val="20"/>
                <w:color w:val="auto"/>
              </w:rPr>
            </w:pPr>
            <w:r>
              <w:rPr>
                <w:rFonts w:ascii="Arial" w:cs="Arial" w:eastAsia="Arial" w:hAnsi="Arial"/>
                <w:sz w:val="14"/>
                <w:szCs w:val="14"/>
                <w:b w:val="1"/>
                <w:bCs w:val="1"/>
                <w:color w:val="auto"/>
                <w:w w:val="92"/>
              </w:rPr>
              <w:t>Commercial</w:t>
            </w:r>
          </w:p>
        </w:tc>
        <w:tc>
          <w:tcPr>
            <w:tcW w:w="1020" w:type="dxa"/>
            <w:vAlign w:val="bottom"/>
            <w:tcBorders>
              <w:top w:val="single" w:sz="8" w:color="auto"/>
            </w:tcBorders>
            <w:gridSpan w:val="2"/>
          </w:tcPr>
          <w:p>
            <w:pPr>
              <w:ind w:left="180"/>
              <w:spacing w:after="0" w:line="160" w:lineRule="exact"/>
              <w:rPr>
                <w:sz w:val="20"/>
                <w:szCs w:val="20"/>
                <w:color w:val="auto"/>
              </w:rPr>
            </w:pPr>
            <w:r>
              <w:rPr>
                <w:rFonts w:ascii="Arial" w:cs="Arial" w:eastAsia="Arial" w:hAnsi="Arial"/>
                <w:sz w:val="14"/>
                <w:szCs w:val="14"/>
                <w:b w:val="1"/>
                <w:bCs w:val="1"/>
                <w:color w:val="auto"/>
              </w:rPr>
              <w:t>Real Estate</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97"/>
              <w:spacing w:after="0" w:line="160" w:lineRule="exact"/>
              <w:rPr>
                <w:sz w:val="20"/>
                <w:szCs w:val="20"/>
                <w:color w:val="auto"/>
              </w:rPr>
            </w:pPr>
            <w:r>
              <w:rPr>
                <w:rFonts w:ascii="Arial" w:cs="Arial" w:eastAsia="Arial" w:hAnsi="Arial"/>
                <w:sz w:val="14"/>
                <w:szCs w:val="14"/>
                <w:b w:val="1"/>
                <w:bCs w:val="1"/>
                <w:color w:val="auto"/>
                <w:w w:val="97"/>
              </w:rPr>
              <w:t>Retail Real</w:t>
            </w:r>
          </w:p>
        </w:tc>
        <w:tc>
          <w:tcPr>
            <w:tcW w:w="4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5"/>
        </w:trPr>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Commercial</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5"/>
              </w:rPr>
              <w:t>Real Estate</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Estate</w:t>
            </w: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898"/>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4,319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1,181</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61</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5,561</w:t>
            </w:r>
          </w:p>
        </w:tc>
      </w:tr>
      <w:tr>
        <w:trPr>
          <w:trHeight w:val="459"/>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13,510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19,956</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2,723</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8,410</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45,087</w:t>
            </w:r>
          </w:p>
        </w:tc>
      </w:tr>
      <w:tr>
        <w:trPr>
          <w:trHeight w:val="223"/>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17,829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21,137</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8,471</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-908685</wp:posOffset>
            </wp:positionV>
            <wp:extent cx="574611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6115" cy="14605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-471170</wp:posOffset>
            </wp:positionV>
            <wp:extent cx="574611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6115" cy="29146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-16510</wp:posOffset>
            </wp:positionV>
            <wp:extent cx="574611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611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380"/>
            <w:col w:w="6320"/>
          </w:cols>
          <w:pgMar w:left="1420" w:top="530" w:right="14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Loans individually evaluated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46115"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6115" cy="29146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jc w:val="center"/>
              <w:ind w:right="1530"/>
              <w:spacing w:after="0"/>
              <w:rPr>
                <w:sz w:val="20"/>
                <w:szCs w:val="20"/>
                <w:color w:val="auto"/>
              </w:rPr>
            </w:pPr>
            <w:r>
              <w:rPr>
                <w:rFonts w:ascii="Arial" w:cs="Arial" w:eastAsia="Arial" w:hAnsi="Arial"/>
                <w:sz w:val="18"/>
                <w:szCs w:val="18"/>
                <w:color w:val="auto"/>
                <w:w w:val="94"/>
              </w:rPr>
              <w:t>impairment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18,441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15,318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13,159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47,404</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20"/>
                <w:szCs w:val="2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1,386,247</w:t>
            </w:r>
          </w:p>
        </w:tc>
        <w:tc>
          <w:tcPr>
            <w:tcW w:w="240" w:type="dxa"/>
            <w:vAlign w:val="bottom"/>
          </w:tcPr>
          <w:p>
            <w:pPr>
              <w:spacing w:after="0"/>
              <w:rPr>
                <w:sz w:val="20"/>
                <w:szCs w:val="2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2,349,243</w:t>
            </w:r>
          </w:p>
        </w:tc>
        <w:tc>
          <w:tcPr>
            <w:tcW w:w="260" w:type="dxa"/>
            <w:vAlign w:val="bottom"/>
          </w:tcPr>
          <w:p>
            <w:pPr>
              <w:spacing w:after="0"/>
              <w:rPr>
                <w:sz w:val="20"/>
                <w:szCs w:val="20"/>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w w:val="95"/>
              </w:rPr>
              <w:t>287,744</w:t>
            </w:r>
          </w:p>
        </w:tc>
        <w:tc>
          <w:tcPr>
            <w:tcW w:w="220" w:type="dxa"/>
            <w:vAlign w:val="bottom"/>
          </w:tcPr>
          <w:p>
            <w:pPr>
              <w:spacing w:after="0"/>
              <w:rPr>
                <w:sz w:val="20"/>
                <w:szCs w:val="2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1,466,876</w:t>
            </w:r>
          </w:p>
        </w:tc>
        <w:tc>
          <w:tcPr>
            <w:tcW w:w="300" w:type="dxa"/>
            <w:vAlign w:val="bottom"/>
          </w:tcPr>
          <w:p>
            <w:pPr>
              <w:spacing w:after="0"/>
              <w:rPr>
                <w:sz w:val="20"/>
                <w:szCs w:val="20"/>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28,136</w:t>
            </w:r>
          </w:p>
        </w:tc>
        <w:tc>
          <w:tcPr>
            <w:tcW w:w="2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5,518,246</w:t>
            </w:r>
          </w:p>
        </w:tc>
        <w:tc>
          <w:tcPr>
            <w:tcW w:w="0" w:type="dxa"/>
            <w:vAlign w:val="bottom"/>
          </w:tcPr>
          <w:p>
            <w:pPr>
              <w:spacing w:after="0"/>
              <w:rPr>
                <w:sz w:val="1"/>
                <w:szCs w:val="1"/>
                <w:color w:val="auto"/>
              </w:rPr>
            </w:pPr>
          </w:p>
        </w:tc>
      </w:tr>
      <w:tr>
        <w:trPr>
          <w:trHeight w:val="230"/>
        </w:trPr>
        <w:tc>
          <w:tcPr>
            <w:tcW w:w="2740" w:type="dxa"/>
            <w:vAlign w:val="bottom"/>
          </w:tcPr>
          <w:p>
            <w:pPr>
              <w:jc w:val="center"/>
              <w:ind w:right="1530"/>
              <w:spacing w:after="0"/>
              <w:rPr>
                <w:sz w:val="20"/>
                <w:szCs w:val="20"/>
                <w:color w:val="auto"/>
              </w:rPr>
            </w:pPr>
            <w:r>
              <w:rPr>
                <w:rFonts w:ascii="Arial" w:cs="Arial" w:eastAsia="Arial" w:hAnsi="Arial"/>
                <w:sz w:val="18"/>
                <w:szCs w:val="18"/>
                <w:color w:val="auto"/>
                <w:w w:val="94"/>
              </w:rPr>
              <w:t>impairment</w:t>
            </w: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w:t>
            </w:r>
          </w:p>
        </w:tc>
        <w:tc>
          <w:tcPr>
            <w:tcW w:w="14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2,262</w:t>
            </w:r>
          </w:p>
        </w:tc>
        <w:tc>
          <w:tcPr>
            <w:tcW w:w="26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20"/>
                <w:szCs w:val="20"/>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jc w:val="center"/>
              <w:ind w:right="1530"/>
              <w:spacing w:after="0"/>
              <w:rPr>
                <w:sz w:val="20"/>
                <w:szCs w:val="20"/>
                <w:color w:val="auto"/>
              </w:rPr>
            </w:pPr>
            <w:r>
              <w:rPr>
                <w:rFonts w:ascii="Arial" w:cs="Arial" w:eastAsia="Arial" w:hAnsi="Arial"/>
                <w:sz w:val="18"/>
                <w:szCs w:val="18"/>
                <w:color w:val="auto"/>
                <w:w w:val="94"/>
              </w:rPr>
              <w:t>impairment</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jc w:val="center"/>
              <w:ind w:right="1530"/>
              <w:spacing w:after="0"/>
              <w:rPr>
                <w:sz w:val="20"/>
                <w:szCs w:val="20"/>
                <w:color w:val="auto"/>
              </w:rPr>
            </w:pPr>
            <w:r>
              <w:rPr>
                <w:rFonts w:ascii="Arial" w:cs="Arial" w:eastAsia="Arial" w:hAnsi="Arial"/>
                <w:sz w:val="18"/>
                <w:szCs w:val="18"/>
                <w:color w:val="auto"/>
                <w:w w:val="90"/>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1,405,106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2,366,823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288,197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1,480,133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5,568,428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35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4"/>
              </w:rPr>
              <w:t>September 30, 2019</w:t>
            </w: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3"/>
              </w:rPr>
              <w:t>December 31, 2018</w:t>
            </w:r>
          </w:p>
        </w:tc>
      </w:tr>
      <w:tr>
        <w:trPr>
          <w:trHeight w:val="22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1,779,490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1,464,700</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Interest-bearing transaction deposits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2,039,095</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1,435,574</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8"/>
              </w:rPr>
              <w:t>Saving deposits and money market deposits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2,458,910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1,852,044</w:t>
            </w:r>
          </w:p>
        </w:tc>
      </w:tr>
      <w:tr>
        <w:trPr>
          <w:trHeight w:val="230"/>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deposits</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1,652,971</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1,497,003</w:t>
            </w:r>
          </w:p>
        </w:tc>
      </w:tr>
      <w:tr>
        <w:trPr>
          <w:trHeight w:val="22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7,930,466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6,249,321</w:t>
            </w:r>
          </w:p>
        </w:tc>
      </w:tr>
      <w:tr>
        <w:trPr>
          <w:trHeight w:val="20"/>
        </w:trPr>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held brokered saving deposits and money market deposits of $14.7 million and $17.5 million at September 30, 2019 and December 31,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time deposits with a minimum denomination of $100,000 was approximately $899.3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$673.7 million at September 30, 2019 and December 31, 2018, respectively. The aggregate amount of time deposits with 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minimum denomination that meets or exceeds the Federal Deposit Insurance Corporation (“FDIC”) insurance limit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$250,000 was approximately $309.2 million and $264.1 million at September 30, 2019 and December 31, 2018,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brokered time deposits of $57.3 million and $262.5 million at September 30, 2019 and December 31,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2018,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September 30, 2019,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October 1, 2019 – September 30, 2020</w:t>
            </w:r>
          </w:p>
        </w:tc>
        <w:tc>
          <w:tcPr>
            <w:tcW w:w="188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468,221</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October 1, 2020 – September 30, 2021</w:t>
            </w: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167,271</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October 1, 2021 – September 30, 2022</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October 1, 2022 – September 30, 2023</w:t>
            </w: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55,019</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October 1, 2023 – September 30, 2024</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881,935</w:t>
            </w:r>
          </w:p>
        </w:tc>
      </w:tr>
      <w:tr>
        <w:trPr>
          <w:trHeight w:val="230"/>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1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39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1,652,971</w:t>
            </w:r>
          </w:p>
        </w:tc>
      </w:tr>
      <w:tr>
        <w:trPr>
          <w:trHeight w:val="20"/>
        </w:trPr>
        <w:tc>
          <w:tcPr>
            <w:tcW w:w="3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On January 29, 2019, the Company entered into an Amended and Restated Credit Agreement providing for a $60.0 million term loan (the “Term Loan”) with a maturity date of November 30, 2023. The Term Loan has an annual interest rate of one-month LIBOR plus a spread of 1.50%. The proceeds of the Term Loan were used to fund the cash consideration related to the acquisition of Banc Ed. The Company had $55.5 million outstanding indebtedness on September 30, 2019, comprised of $6.0 million of short-term debt and $49.5 million of long-term debt.</w:t>
      </w:r>
    </w:p>
    <w:p>
      <w:pPr>
        <w:spacing w:after="0" w:line="18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Amended and Restated Credit Agreement also retained the Company’s $20.0 million revolving facility with a maturity date of April 30, 2019. On April 19, 2019, the Company entered into an amendment to the Amended and Restated Credit Agreement to extend the maturity of its revolving loan facility to April 30, 2020. The revolving facility incurs a non-usage fee based on the undrawn amount. The Company had no outstanding balance under the revolving facility on September 30, 2019 or December 31, 2018.</w:t>
      </w:r>
    </w:p>
    <w:p>
      <w:pPr>
        <w:sectPr>
          <w:pgSz w:w="11900" w:h="16838" w:orient="portrait"/>
          <w:cols w:equalWidth="0" w:num="1">
            <w:col w:w="9040"/>
          </w:cols>
          <w:pgMar w:left="1420" w:top="53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FHLB, ranging in original maturity from</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seven to 10 years, collateralized by FHLB</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deposits, residential and commercial real estate loans and</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35,606</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FHLB stock.</w:t>
            </w:r>
          </w:p>
        </w:tc>
        <w:tc>
          <w:tcPr>
            <w:tcW w:w="3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Notes payable</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49,500</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85,106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As of September 30, 2019, long-term debt from the FHLB consisted of variable-rate notes maturing through September 2024, with interest rates ranging from 1.57% to 3.04%. The weighted average rate on the long-term advances was 1.80% as of September 30, 2019. As of December 31, 2018, funds borrowed from the FHLB, listed above, consisted of variable-rate notes maturing through September 2024, with interest rates ranging from 2.20% to 2.41%. The weighted average rate on the long-term advances was 2.28% as of December 31, 2018.</w:t>
      </w:r>
    </w:p>
    <w:p>
      <w:pPr>
        <w:spacing w:after="0" w:line="20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 commencing on November 25, 2017 during the five 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$0.4 million and $0.8 million, respectively, at September 30, 2019. Unamortized debt issuance costs related to the senior notes and subordinated notes totaled $0.5 million and $0.9 million, respectively, at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Junior Subordinated Debt Owed to Unconsolidated Trusts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acquisition of Pulaski Financial Corp. (“Pulaski”) in 2016, the Company acquired similar statutory trusts maintained by Pulaski and the fair value adjustment is being accreted over the weighted average remaining life. The Company had $71.3 million and $71.2 million of junior subordinated debt owed to unconsolidated trusts at September 30, 2019 and December 31, 2018, respectively.</w:t>
      </w:r>
    </w:p>
    <w:p>
      <w:pPr>
        <w:spacing w:after="0" w:line="16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w:t>
      </w:r>
    </w:p>
    <w:p>
      <w:pPr>
        <w:spacing w:after="0" w:line="14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September 30, 2019, 100% of the trust preferred securities qualified as Tier 1 capital under the final rule adopted in March 2005.</w:t>
      </w:r>
    </w:p>
    <w:p>
      <w:pPr>
        <w:spacing w:after="0" w:line="183"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are excluded from capital over a phase-out period. However, if such securities were issued prior to May 19, 2010 by bank holding companies with less than $15.0 billion of assets, they may be retained, subject to certain restrictions. Because the Company has assets of less than $15.0 billion, it is able to maintain its trust preferred proceeds as capital, but the Company has to comply with new capital mandates in other respects and will not be able to raise capital in the future through the issuance of trust preferred securities.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9"/>
        </w:trPr>
        <w:tc>
          <w:tcPr>
            <w:tcW w:w="49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24,828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26,859</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74,382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73,638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55,410</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48,892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54,783</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48,828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w w:val="97"/>
              </w:rPr>
              <w:t>Dilutive effect of outstanding options, warrants and restricted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00" w:type="dxa"/>
            <w:vAlign w:val="bottom"/>
          </w:tcPr>
          <w:p>
            <w:pPr>
              <w:ind w:left="180"/>
              <w:spacing w:after="0"/>
              <w:rPr>
                <w:sz w:val="20"/>
                <w:szCs w:val="20"/>
                <w:color w:val="auto"/>
              </w:rPr>
            </w:pPr>
            <w:r>
              <w:rPr>
                <w:rFonts w:ascii="Arial" w:cs="Arial" w:eastAsia="Arial" w:hAnsi="Arial"/>
                <w:sz w:val="18"/>
                <w:szCs w:val="18"/>
                <w:color w:val="auto"/>
              </w:rPr>
              <w:t>stock units as determined by the application of the treasury</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56"/>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method</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w w:val="93"/>
              </w:rPr>
              <w:t>Weighted average common shares outstanding, as adjusted for</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8"/>
                <w:szCs w:val="18"/>
                <w:color w:val="auto"/>
              </w:rPr>
              <w:t>55,646</w:t>
            </w:r>
          </w:p>
        </w:tc>
        <w:tc>
          <w:tcPr>
            <w:tcW w:w="28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49,247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56"/>
              <w:spacing w:after="0"/>
              <w:rPr>
                <w:sz w:val="20"/>
                <w:szCs w:val="20"/>
                <w:color w:val="auto"/>
              </w:rPr>
            </w:pPr>
            <w:r>
              <w:rPr>
                <w:rFonts w:ascii="Arial" w:cs="Arial" w:eastAsia="Arial" w:hAnsi="Arial"/>
                <w:sz w:val="18"/>
                <w:szCs w:val="18"/>
                <w:color w:val="auto"/>
              </w:rPr>
              <w:t>55,058</w:t>
            </w:r>
          </w:p>
        </w:tc>
        <w:tc>
          <w:tcPr>
            <w:tcW w:w="26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49,216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 earnings per share calculation</w:t>
            </w:r>
          </w:p>
        </w:tc>
        <w:tc>
          <w:tcPr>
            <w:tcW w:w="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0.55</w:t>
            </w:r>
          </w:p>
        </w:tc>
        <w:tc>
          <w:tcPr>
            <w:tcW w:w="180" w:type="dxa"/>
            <w:vAlign w:val="bottom"/>
          </w:tcPr>
          <w:p>
            <w:pPr>
              <w:spacing w:after="0"/>
              <w:rPr>
                <w:sz w:val="23"/>
                <w:szCs w:val="23"/>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1.36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0.55</w:t>
            </w:r>
          </w:p>
        </w:tc>
        <w:tc>
          <w:tcPr>
            <w:tcW w:w="18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1.35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Basic earnings per share is computed by dividing net income for the period by the weighted average number of common shares outstanding, which include deferred stock units that are vested but not delivered.</w:t>
      </w:r>
    </w:p>
    <w:p>
      <w:pPr>
        <w:spacing w:after="0" w:line="18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Diluted earnings per common share is computed using the treasury stock method and reflects the potential dilution that could occur if the Company’s outstanding stock options and warrants were exercised and restricted stock units were vested. At September 30, 2019, 385,322 outstanding restricted stock units and 191,278 warrants were anti-dilutive and excluded from the calculation of common stock equivalents. At September 30, 2018, 172,571 outstanding restricted stock equivalents and 191,278 warrants were anti-dilutive and excluded from the calculation of common stock equivalents.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Accumulated Other Comprehensive Income (Loss)</w:t>
      </w:r>
    </w:p>
    <w:p>
      <w:pPr>
        <w:spacing w:after="0" w:line="22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The following table represents changes in accumulated other comprehensive income (loss) by component, net of tax, for the periods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ind w:left="6060"/>
        <w:spacing w:after="0"/>
        <w:rPr>
          <w:sz w:val="20"/>
          <w:szCs w:val="20"/>
          <w:color w:val="auto"/>
        </w:rPr>
      </w:pPr>
      <w:r>
        <w:rPr>
          <w:rFonts w:ascii="Arial" w:cs="Arial" w:eastAsia="Arial" w:hAnsi="Arial"/>
          <w:sz w:val="14"/>
          <w:szCs w:val="14"/>
          <w:b w:val="1"/>
          <w:bCs w:val="1"/>
          <w:color w:val="auto"/>
        </w:rPr>
        <w:t>Three Months Ended</w:t>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September 30,</w:t>
      </w:r>
    </w:p>
    <w:p>
      <w:pPr>
        <w:spacing w:after="0" w:line="13" w:lineRule="exact"/>
        <w:rPr>
          <w:sz w:val="20"/>
          <w:szCs w:val="20"/>
          <w:color w:val="auto"/>
        </w:rPr>
      </w:pPr>
    </w:p>
    <w:tbl>
      <w:tblPr>
        <w:tblLayout w:type="fixed"/>
        <w:tblInd w:w="3940" w:type="dxa"/>
        <w:tblCellMar>
          <w:top w:w="0" w:type="dxa"/>
          <w:left w:w="0" w:type="dxa"/>
          <w:bottom w:w="0" w:type="dxa"/>
          <w:right w:w="0" w:type="dxa"/>
        </w:tblCellMar>
      </w:tblPr>
      <w:tr>
        <w:trPr>
          <w:trHeight w:val="169"/>
        </w:trPr>
        <w:tc>
          <w:tcPr>
            <w:tcW w:w="26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4"/>
                <w:szCs w:val="14"/>
                <w:color w:val="auto"/>
              </w:rPr>
            </w:pPr>
          </w:p>
        </w:tc>
        <w:tc>
          <w:tcPr>
            <w:tcW w:w="234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2018</w:t>
            </w:r>
          </w:p>
        </w:tc>
      </w:tr>
      <w:tr>
        <w:trPr>
          <w:trHeight w:val="173"/>
        </w:trPr>
        <w:tc>
          <w:tcPr>
            <w:tcW w:w="2660" w:type="dxa"/>
            <w:vAlign w:val="bottom"/>
          </w:tcPr>
          <w:p>
            <w:pPr>
              <w:jc w:val="center"/>
              <w:ind w:left="368"/>
              <w:spacing w:after="0"/>
              <w:rPr>
                <w:sz w:val="20"/>
                <w:szCs w:val="20"/>
                <w:color w:val="auto"/>
              </w:rPr>
            </w:pPr>
            <w:r>
              <w:rPr>
                <w:rFonts w:ascii="Arial" w:cs="Arial" w:eastAsia="Arial" w:hAnsi="Arial"/>
                <w:sz w:val="14"/>
                <w:szCs w:val="14"/>
                <w:b w:val="1"/>
                <w:bCs w:val="1"/>
                <w:color w:val="auto"/>
                <w:w w:val="97"/>
              </w:rPr>
              <w:t>Before Tax  Tax Effect  Net of Tax</w:t>
            </w:r>
          </w:p>
        </w:tc>
        <w:tc>
          <w:tcPr>
            <w:tcW w:w="120" w:type="dxa"/>
            <w:vAlign w:val="bottom"/>
          </w:tcPr>
          <w:p>
            <w:pPr>
              <w:spacing w:after="0"/>
              <w:rPr>
                <w:sz w:val="15"/>
                <w:szCs w:val="15"/>
                <w:color w:val="auto"/>
              </w:rPr>
            </w:pPr>
          </w:p>
        </w:tc>
        <w:tc>
          <w:tcPr>
            <w:tcW w:w="234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Before Tax  Tax Effect  Net of Tax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-1905</wp:posOffset>
            </wp:positionV>
            <wp:extent cx="32416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Unrealized gains (losses) on debt securities available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4611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pacing w:after="0" w:line="2" w:lineRule="exact"/>
        <w:rPr>
          <w:sz w:val="20"/>
          <w:szCs w:val="20"/>
          <w:color w:val="auto"/>
        </w:rPr>
      </w:pPr>
    </w:p>
    <w:p>
      <w:pPr>
        <w:ind w:left="140"/>
        <w:spacing w:after="0"/>
        <w:tabs>
          <w:tab w:leader="none" w:pos="3940" w:val="left"/>
          <w:tab w:leader="none" w:pos="4520" w:val="left"/>
          <w:tab w:leader="none" w:pos="5300" w:val="left"/>
          <w:tab w:leader="none" w:pos="6720" w:val="left"/>
          <w:tab w:leader="none" w:pos="7800" w:val="left"/>
        </w:tabs>
        <w:rPr>
          <w:sz w:val="20"/>
          <w:szCs w:val="20"/>
          <w:color w:val="auto"/>
        </w:rPr>
      </w:pPr>
      <w:r>
        <w:rPr>
          <w:rFonts w:ascii="Arial" w:cs="Arial" w:eastAsia="Arial" w:hAnsi="Arial"/>
          <w:sz w:val="16"/>
          <w:szCs w:val="16"/>
          <w:color w:val="auto"/>
        </w:rPr>
        <w:t>Balance at beginning of period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20,459 $</w:t>
        <w:tab/>
        <w:t>(5,832)$  14,627</w:t>
        <w:tab/>
        <w:t>$ (15,197)$</w:t>
      </w:r>
      <w:r>
        <w:rPr>
          <w:sz w:val="20"/>
          <w:szCs w:val="20"/>
          <w:color w:val="auto"/>
        </w:rPr>
        <w:tab/>
      </w:r>
      <w:r>
        <w:rPr>
          <w:rFonts w:ascii="Arial" w:cs="Arial" w:eastAsia="Arial" w:hAnsi="Arial"/>
          <w:sz w:val="16"/>
          <w:szCs w:val="16"/>
          <w:color w:val="auto"/>
        </w:rPr>
        <w:t>4,332 $ (10,865)</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Unrealized holding gains (losses) on debt securities</w:t>
      </w:r>
    </w:p>
    <w:p>
      <w:pPr>
        <w:sectPr>
          <w:pgSz w:w="11900" w:h="16838" w:orient="portrait"/>
          <w:cols w:equalWidth="0" w:num="1">
            <w:col w:w="9060"/>
          </w:cols>
          <w:pgMar w:left="1420" w:top="530" w:right="1419" w:bottom="1440" w:gutter="0" w:footer="0" w:header="0"/>
        </w:sectPr>
      </w:pPr>
    </w:p>
    <w:p>
      <w:pPr>
        <w:spacing w:after="0" w:line="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available for sale, net</w:t>
      </w:r>
    </w:p>
    <w:p>
      <w:pPr>
        <w:spacing w:after="0" w:line="19" w:lineRule="exact"/>
        <w:rPr>
          <w:sz w:val="20"/>
          <w:szCs w:val="20"/>
          <w:color w:val="auto"/>
        </w:rPr>
      </w:pPr>
    </w:p>
    <w:p>
      <w:pPr>
        <w:ind w:right="400" w:firstLine="121"/>
        <w:spacing w:after="0" w:line="263" w:lineRule="auto"/>
        <w:rPr>
          <w:sz w:val="20"/>
          <w:szCs w:val="20"/>
          <w:color w:val="auto"/>
        </w:rPr>
      </w:pPr>
      <w:r>
        <w:rPr>
          <w:rFonts w:ascii="Arial" w:cs="Arial" w:eastAsia="Arial" w:hAnsi="Arial"/>
          <w:sz w:val="16"/>
          <w:szCs w:val="16"/>
          <w:color w:val="auto"/>
        </w:rPr>
        <w:t>Unrealized gains on debt securities transferred from held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 maturity to available for sale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Amounts reclassified from accumulated other</w:t>
      </w:r>
    </w:p>
    <w:p>
      <w:pPr>
        <w:spacing w:after="0" w:line="20" w:lineRule="exact"/>
        <w:rPr>
          <w:sz w:val="20"/>
          <w:szCs w:val="20"/>
          <w:color w:val="auto"/>
        </w:rPr>
      </w:pPr>
      <w:r>
        <w:rPr>
          <w:sz w:val="20"/>
          <w:szCs w:val="20"/>
          <w:color w:val="auto"/>
        </w:rPr>
        <w:br w:type="column"/>
      </w:r>
    </w:p>
    <w:p>
      <w:pPr>
        <w:spacing w:after="0"/>
        <w:tabs>
          <w:tab w:leader="none" w:pos="680" w:val="left"/>
          <w:tab w:leader="none" w:pos="1500" w:val="left"/>
          <w:tab w:leader="none" w:pos="2360" w:val="left"/>
          <w:tab w:leader="none" w:pos="3320" w:val="left"/>
          <w:tab w:leader="none" w:pos="3900" w:val="left"/>
        </w:tabs>
        <w:rPr>
          <w:sz w:val="20"/>
          <w:szCs w:val="20"/>
          <w:color w:val="auto"/>
        </w:rPr>
      </w:pPr>
      <w:r>
        <w:rPr>
          <w:rFonts w:ascii="Arial" w:cs="Arial" w:eastAsia="Arial" w:hAnsi="Arial"/>
          <w:sz w:val="18"/>
          <w:szCs w:val="18"/>
          <w:color w:val="auto"/>
        </w:rPr>
        <w:t>4,991</w:t>
      </w:r>
      <w:r>
        <w:rPr>
          <w:sz w:val="20"/>
          <w:szCs w:val="20"/>
          <w:color w:val="auto"/>
        </w:rPr>
        <w:tab/>
      </w:r>
      <w:r>
        <w:rPr>
          <w:rFonts w:ascii="Arial" w:cs="Arial" w:eastAsia="Arial" w:hAnsi="Arial"/>
          <w:sz w:val="18"/>
          <w:szCs w:val="18"/>
          <w:color w:val="auto"/>
        </w:rPr>
        <w:t>(1,423)</w:t>
      </w:r>
      <w:r>
        <w:rPr>
          <w:sz w:val="20"/>
          <w:szCs w:val="20"/>
          <w:color w:val="auto"/>
        </w:rPr>
        <w:tab/>
      </w:r>
      <w:r>
        <w:rPr>
          <w:rFonts w:ascii="Arial" w:cs="Arial" w:eastAsia="Arial" w:hAnsi="Arial"/>
          <w:sz w:val="18"/>
          <w:szCs w:val="18"/>
          <w:color w:val="auto"/>
        </w:rPr>
        <w:t>3,568</w:t>
      </w:r>
      <w:r>
        <w:rPr>
          <w:sz w:val="20"/>
          <w:szCs w:val="20"/>
          <w:color w:val="auto"/>
        </w:rPr>
        <w:tab/>
      </w:r>
      <w:r>
        <w:rPr>
          <w:rFonts w:ascii="Arial" w:cs="Arial" w:eastAsia="Arial" w:hAnsi="Arial"/>
          <w:sz w:val="18"/>
          <w:szCs w:val="18"/>
          <w:color w:val="auto"/>
        </w:rPr>
        <w:t>(3,019)</w:t>
      </w:r>
      <w:r>
        <w:rPr>
          <w:sz w:val="20"/>
          <w:szCs w:val="20"/>
          <w:color w:val="auto"/>
        </w:rPr>
        <w:tab/>
      </w:r>
      <w:r>
        <w:rPr>
          <w:rFonts w:ascii="Arial" w:cs="Arial" w:eastAsia="Arial" w:hAnsi="Arial"/>
          <w:sz w:val="18"/>
          <w:szCs w:val="18"/>
          <w:color w:val="auto"/>
        </w:rPr>
        <w:t>860</w:t>
      </w:r>
      <w:r>
        <w:rPr>
          <w:sz w:val="20"/>
          <w:szCs w:val="20"/>
          <w:color w:val="auto"/>
        </w:rPr>
        <w:tab/>
      </w:r>
      <w:r>
        <w:rPr>
          <w:rFonts w:ascii="Arial" w:cs="Arial" w:eastAsia="Arial" w:hAnsi="Arial"/>
          <w:sz w:val="16"/>
          <w:szCs w:val="16"/>
          <w:color w:val="auto"/>
        </w:rPr>
        <w:t>(2,159)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4445</wp:posOffset>
            </wp:positionV>
            <wp:extent cx="5746115" cy="38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46115" cy="386080"/>
                    </a:xfrm>
                    <a:prstGeom prst="rect">
                      <a:avLst/>
                    </a:prstGeom>
                    <a:noFill/>
                  </pic:spPr>
                </pic:pic>
              </a:graphicData>
            </a:graphic>
          </wp:anchor>
        </w:drawing>
      </w:r>
    </w:p>
    <w:p>
      <w:pPr>
        <w:spacing w:after="0" w:line="365" w:lineRule="exact"/>
        <w:rPr>
          <w:sz w:val="20"/>
          <w:szCs w:val="20"/>
          <w:color w:val="auto"/>
        </w:rPr>
      </w:pPr>
    </w:p>
    <w:p>
      <w:pPr>
        <w:ind w:left="240"/>
        <w:spacing w:after="0"/>
        <w:tabs>
          <w:tab w:leader="none" w:pos="960" w:val="left"/>
          <w:tab w:leader="none" w:pos="1720" w:val="left"/>
          <w:tab w:leader="none" w:pos="2660" w:val="left"/>
          <w:tab w:leader="none" w:pos="3420" w:val="left"/>
          <w:tab w:leader="none" w:pos="4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3900" w:space="720"/>
            <w:col w:w="4440"/>
          </w:cols>
          <w:pgMar w:left="1420" w:top="530" w:right="141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3940" w:type="dxa"/>
            <w:vAlign w:val="bottom"/>
          </w:tcPr>
          <w:p>
            <w:pPr>
              <w:ind w:left="260"/>
              <w:spacing w:after="0"/>
              <w:rPr>
                <w:sz w:val="20"/>
                <w:szCs w:val="20"/>
                <w:color w:val="auto"/>
              </w:rPr>
            </w:pPr>
            <w:r>
              <w:rPr>
                <w:rFonts w:ascii="Arial" w:cs="Arial" w:eastAsia="Arial" w:hAnsi="Arial"/>
                <w:sz w:val="16"/>
                <w:szCs w:val="16"/>
                <w:color w:val="auto"/>
              </w:rPr>
              <w:t>comprehensive income, net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Cuts and Jobs Act of 2017 reclassification</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Balance at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(7,170)$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17,983</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8"/>
              </w:rPr>
              <w:t>(18,216)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6"/>
                <w:szCs w:val="16"/>
                <w:color w:val="auto"/>
              </w:rPr>
              <w:t>Unrealized gains (losses) on cash flow hedges: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beginning of period</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940" w:type="dxa"/>
            <w:vAlign w:val="bottom"/>
          </w:tcPr>
          <w:p>
            <w:pPr>
              <w:ind w:left="140"/>
              <w:spacing w:after="0"/>
              <w:rPr>
                <w:sz w:val="20"/>
                <w:szCs w:val="20"/>
                <w:color w:val="auto"/>
              </w:rPr>
            </w:pPr>
            <w:r>
              <w:rPr>
                <w:rFonts w:ascii="Arial" w:cs="Arial" w:eastAsia="Arial" w:hAnsi="Arial"/>
                <w:sz w:val="16"/>
                <w:szCs w:val="16"/>
                <w:color w:val="auto"/>
              </w:rPr>
              <w:t>Unrealized holding gains (losses) on cash flow</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40" w:type="dxa"/>
            <w:vAlign w:val="bottom"/>
          </w:tcPr>
          <w:p>
            <w:pPr>
              <w:spacing w:after="0"/>
              <w:rPr>
                <w:sz w:val="20"/>
                <w:szCs w:val="20"/>
                <w:color w:val="auto"/>
              </w:rPr>
            </w:pPr>
            <w:r>
              <w:rPr>
                <w:rFonts w:ascii="Arial" w:cs="Arial" w:eastAsia="Arial" w:hAnsi="Arial"/>
                <w:sz w:val="16"/>
                <w:szCs w:val="16"/>
                <w:color w:val="auto"/>
              </w:rPr>
              <w:t>hedges,</w:t>
            </w:r>
          </w:p>
        </w:tc>
        <w:tc>
          <w:tcPr>
            <w:tcW w:w="3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7"/>
                <w:szCs w:val="17"/>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7"/>
                <w:szCs w:val="17"/>
                <w:color w:val="auto"/>
              </w:rPr>
            </w:pPr>
          </w:p>
        </w:tc>
        <w:tc>
          <w:tcPr>
            <w:tcW w:w="680" w:type="dxa"/>
            <w:vAlign w:val="bottom"/>
            <w:vMerge w:val="restart"/>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40" w:type="dxa"/>
            <w:vAlign w:val="bottom"/>
          </w:tcPr>
          <w:p>
            <w:pPr>
              <w:ind w:left="260"/>
              <w:spacing w:after="0"/>
              <w:rPr>
                <w:sz w:val="20"/>
                <w:szCs w:val="20"/>
                <w:color w:val="auto"/>
              </w:rPr>
            </w:pPr>
            <w:r>
              <w:rPr>
                <w:rFonts w:ascii="Arial" w:cs="Arial" w:eastAsia="Arial" w:hAnsi="Arial"/>
                <w:sz w:val="16"/>
                <w:szCs w:val="16"/>
                <w:color w:val="auto"/>
              </w:rPr>
              <w:t>net</w:t>
            </w:r>
          </w:p>
        </w:tc>
        <w:tc>
          <w:tcPr>
            <w:tcW w:w="3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reclassified from accumulated other</w:t>
            </w:r>
          </w:p>
        </w:tc>
        <w:tc>
          <w:tcPr>
            <w:tcW w:w="3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comprehensive income, net</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Balance 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accumulated other comprehensive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17,391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(18,216)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September 30,</w:t>
      </w:r>
    </w:p>
    <w:p>
      <w:pPr>
        <w:spacing w:after="0" w:line="13" w:lineRule="exact"/>
        <w:rPr>
          <w:sz w:val="20"/>
          <w:szCs w:val="20"/>
          <w:color w:val="auto"/>
        </w:rPr>
      </w:pPr>
    </w:p>
    <w:tbl>
      <w:tblPr>
        <w:tblLayout w:type="fixed"/>
        <w:tblInd w:w="3980" w:type="dxa"/>
        <w:tblCellMar>
          <w:top w:w="0" w:type="dxa"/>
          <w:left w:w="0" w:type="dxa"/>
          <w:bottom w:w="0" w:type="dxa"/>
          <w:right w:w="0" w:type="dxa"/>
        </w:tblCellMar>
      </w:tblPr>
      <w:tr>
        <w:trPr>
          <w:trHeight w:val="169"/>
        </w:trPr>
        <w:tc>
          <w:tcPr>
            <w:tcW w:w="262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4"/>
                <w:szCs w:val="14"/>
                <w:color w:val="auto"/>
              </w:rPr>
            </w:pPr>
          </w:p>
        </w:tc>
        <w:tc>
          <w:tcPr>
            <w:tcW w:w="232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2018</w:t>
            </w:r>
          </w:p>
        </w:tc>
      </w:tr>
      <w:tr>
        <w:trPr>
          <w:trHeight w:val="173"/>
        </w:trPr>
        <w:tc>
          <w:tcPr>
            <w:tcW w:w="2620" w:type="dxa"/>
            <w:vAlign w:val="bottom"/>
          </w:tcPr>
          <w:p>
            <w:pPr>
              <w:jc w:val="center"/>
              <w:ind w:left="368"/>
              <w:spacing w:after="0"/>
              <w:rPr>
                <w:sz w:val="20"/>
                <w:szCs w:val="20"/>
                <w:color w:val="auto"/>
              </w:rPr>
            </w:pPr>
            <w:r>
              <w:rPr>
                <w:rFonts w:ascii="Arial" w:cs="Arial" w:eastAsia="Arial" w:hAnsi="Arial"/>
                <w:sz w:val="14"/>
                <w:szCs w:val="14"/>
                <w:b w:val="1"/>
                <w:bCs w:val="1"/>
                <w:color w:val="auto"/>
                <w:w w:val="96"/>
              </w:rPr>
              <w:t>Before Tax  Tax Effect  Net of Tax</w:t>
            </w:r>
          </w:p>
        </w:tc>
        <w:tc>
          <w:tcPr>
            <w:tcW w:w="140" w:type="dxa"/>
            <w:vAlign w:val="bottom"/>
          </w:tcPr>
          <w:p>
            <w:pPr>
              <w:spacing w:after="0"/>
              <w:rPr>
                <w:sz w:val="15"/>
                <w:szCs w:val="15"/>
                <w:color w:val="auto"/>
              </w:rPr>
            </w:pPr>
          </w:p>
        </w:tc>
        <w:tc>
          <w:tcPr>
            <w:tcW w:w="2320" w:type="dxa"/>
            <w:vAlign w:val="bottom"/>
          </w:tcPr>
          <w:p>
            <w:pPr>
              <w:jc w:val="center"/>
              <w:ind w:left="28"/>
              <w:spacing w:after="0"/>
              <w:rPr>
                <w:sz w:val="20"/>
                <w:szCs w:val="20"/>
                <w:color w:val="auto"/>
              </w:rPr>
            </w:pPr>
            <w:r>
              <w:rPr>
                <w:rFonts w:ascii="Arial" w:cs="Arial" w:eastAsia="Arial" w:hAnsi="Arial"/>
                <w:sz w:val="14"/>
                <w:szCs w:val="14"/>
                <w:b w:val="1"/>
                <w:bCs w:val="1"/>
                <w:color w:val="auto"/>
                <w:w w:val="97"/>
              </w:rPr>
              <w:t>Before Tax  Tax Effect  Net of Tax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-1905</wp:posOffset>
            </wp:positionV>
            <wp:extent cx="32156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Unrealized gains (losses) on debt securities available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4611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pacing w:after="0" w:line="2" w:lineRule="exact"/>
        <w:rPr>
          <w:sz w:val="20"/>
          <w:szCs w:val="20"/>
          <w:color w:val="auto"/>
        </w:rPr>
      </w:pPr>
    </w:p>
    <w:p>
      <w:pPr>
        <w:ind w:left="140"/>
        <w:spacing w:after="0"/>
        <w:tabs>
          <w:tab w:leader="none" w:pos="3980" w:val="left"/>
          <w:tab w:leader="none" w:pos="4580" w:val="left"/>
          <w:tab w:leader="none" w:pos="5380" w:val="left"/>
          <w:tab w:leader="none" w:pos="6060" w:val="left"/>
          <w:tab w:leader="none" w:pos="6720" w:val="left"/>
          <w:tab w:leader="none" w:pos="7000" w:val="left"/>
          <w:tab w:leader="none" w:pos="7800" w:val="left"/>
          <w:tab w:leader="none" w:pos="8520" w:val="left"/>
        </w:tabs>
        <w:rPr>
          <w:sz w:val="20"/>
          <w:szCs w:val="20"/>
          <w:color w:val="auto"/>
        </w:rPr>
      </w:pPr>
      <w:r>
        <w:rPr>
          <w:rFonts w:ascii="Arial" w:cs="Arial" w:eastAsia="Arial" w:hAnsi="Arial"/>
          <w:sz w:val="16"/>
          <w:szCs w:val="16"/>
          <w:color w:val="auto"/>
        </w:rPr>
        <w:t>Balance at beginning of period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(9,528)</w:t>
      </w:r>
      <w:r>
        <w:rPr>
          <w:sz w:val="20"/>
          <w:szCs w:val="20"/>
          <w:color w:val="auto"/>
        </w:rPr>
        <w:tab/>
      </w:r>
      <w:r>
        <w:rPr>
          <w:rFonts w:ascii="Arial" w:cs="Arial" w:eastAsia="Arial" w:hAnsi="Arial"/>
          <w:sz w:val="18"/>
          <w:szCs w:val="18"/>
          <w:color w:val="auto"/>
        </w:rPr>
        <w:t>2,716</w:t>
      </w:r>
      <w:r>
        <w:rPr>
          <w:sz w:val="20"/>
          <w:szCs w:val="20"/>
          <w:color w:val="auto"/>
        </w:rPr>
        <w:tab/>
      </w:r>
      <w:r>
        <w:rPr>
          <w:rFonts w:ascii="Arial" w:cs="Arial" w:eastAsia="Arial" w:hAnsi="Arial"/>
          <w:sz w:val="18"/>
          <w:szCs w:val="18"/>
          <w:color w:val="auto"/>
        </w:rPr>
        <w:t>(6,812)</w:t>
        <w:tab/>
        <w:t>$</w:t>
        <w:tab/>
        <w:t>(4,777)</w:t>
      </w:r>
      <w:r>
        <w:rPr>
          <w:sz w:val="20"/>
          <w:szCs w:val="20"/>
          <w:color w:val="auto"/>
        </w:rPr>
        <w:tab/>
      </w:r>
      <w:r>
        <w:rPr>
          <w:rFonts w:ascii="Arial" w:cs="Arial" w:eastAsia="Arial" w:hAnsi="Arial"/>
          <w:sz w:val="18"/>
          <w:szCs w:val="18"/>
          <w:color w:val="auto"/>
        </w:rPr>
        <w:t>1,967</w:t>
      </w:r>
      <w:r>
        <w:rPr>
          <w:sz w:val="20"/>
          <w:szCs w:val="20"/>
          <w:color w:val="auto"/>
        </w:rPr>
        <w:tab/>
      </w:r>
      <w:r>
        <w:rPr>
          <w:rFonts w:ascii="Arial" w:cs="Arial" w:eastAsia="Arial" w:hAnsi="Arial"/>
          <w:sz w:val="16"/>
          <w:szCs w:val="16"/>
          <w:color w:val="auto"/>
        </w:rPr>
        <w:t>(2,810)</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Unrealized holding gains (losses) on debt securities</w:t>
      </w:r>
    </w:p>
    <w:p>
      <w:pPr>
        <w:sectPr>
          <w:pgSz w:w="11900" w:h="16838" w:orient="portrait"/>
          <w:cols w:equalWidth="0" w:num="1">
            <w:col w:w="9060"/>
          </w:cols>
          <w:pgMar w:left="1420" w:top="530" w:right="1419" w:bottom="1440" w:gutter="0" w:footer="0" w:header="0"/>
        </w:sectPr>
      </w:pPr>
    </w:p>
    <w:p>
      <w:pPr>
        <w:spacing w:after="0" w:line="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available for sale, net</w:t>
      </w:r>
    </w:p>
    <w:p>
      <w:pPr>
        <w:spacing w:after="0" w:line="19" w:lineRule="exact"/>
        <w:rPr>
          <w:sz w:val="20"/>
          <w:szCs w:val="20"/>
          <w:color w:val="auto"/>
        </w:rPr>
      </w:pPr>
    </w:p>
    <w:p>
      <w:pPr>
        <w:ind w:right="360" w:firstLine="121"/>
        <w:spacing w:after="0" w:line="263" w:lineRule="auto"/>
        <w:rPr>
          <w:sz w:val="20"/>
          <w:szCs w:val="20"/>
          <w:color w:val="auto"/>
        </w:rPr>
      </w:pPr>
      <w:r>
        <w:rPr>
          <w:rFonts w:ascii="Arial" w:cs="Arial" w:eastAsia="Arial" w:hAnsi="Arial"/>
          <w:sz w:val="16"/>
          <w:szCs w:val="16"/>
          <w:color w:val="auto"/>
        </w:rPr>
        <w:t>Unrealized gains on debt securities transferred from held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 maturity to available for sale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Amounts reclassified from accumulated other</w:t>
      </w:r>
    </w:p>
    <w:p>
      <w:pPr>
        <w:spacing w:after="0" w:line="20" w:lineRule="exact"/>
        <w:rPr>
          <w:sz w:val="20"/>
          <w:szCs w:val="20"/>
          <w:color w:val="auto"/>
        </w:rPr>
      </w:pPr>
      <w:r>
        <w:rPr>
          <w:sz w:val="20"/>
          <w:szCs w:val="20"/>
          <w:color w:val="auto"/>
        </w:rPr>
        <w:br w:type="column"/>
      </w:r>
    </w:p>
    <w:p>
      <w:pPr>
        <w:spacing w:after="0"/>
        <w:tabs>
          <w:tab w:leader="none" w:pos="740" w:val="left"/>
          <w:tab w:leader="none" w:pos="1460" w:val="left"/>
          <w:tab w:leader="none" w:pos="2340" w:val="left"/>
          <w:tab w:leader="none" w:pos="3220" w:val="left"/>
          <w:tab w:leader="none" w:pos="3940" w:val="left"/>
        </w:tabs>
        <w:rPr>
          <w:sz w:val="20"/>
          <w:szCs w:val="20"/>
          <w:color w:val="auto"/>
        </w:rPr>
      </w:pPr>
      <w:r>
        <w:rPr>
          <w:rFonts w:ascii="Arial" w:cs="Arial" w:eastAsia="Arial" w:hAnsi="Arial"/>
          <w:sz w:val="18"/>
          <w:szCs w:val="18"/>
          <w:color w:val="auto"/>
        </w:rPr>
        <w:t>30,005</w:t>
        <w:tab/>
        <w:t>(8,552)</w:t>
        <w:tab/>
        <w:t>21,453</w:t>
      </w:r>
      <w:r>
        <w:rPr>
          <w:sz w:val="20"/>
          <w:szCs w:val="20"/>
          <w:color w:val="auto"/>
        </w:rPr>
        <w:tab/>
      </w:r>
      <w:r>
        <w:rPr>
          <w:rFonts w:ascii="Arial" w:cs="Arial" w:eastAsia="Arial" w:hAnsi="Arial"/>
          <w:sz w:val="18"/>
          <w:szCs w:val="18"/>
          <w:color w:val="auto"/>
        </w:rPr>
        <w:t>(13,439)</w:t>
      </w:r>
      <w:r>
        <w:rPr>
          <w:sz w:val="20"/>
          <w:szCs w:val="20"/>
          <w:color w:val="auto"/>
        </w:rPr>
        <w:tab/>
      </w:r>
      <w:r>
        <w:rPr>
          <w:rFonts w:ascii="Arial" w:cs="Arial" w:eastAsia="Arial" w:hAnsi="Arial"/>
          <w:sz w:val="18"/>
          <w:szCs w:val="18"/>
          <w:color w:val="auto"/>
        </w:rPr>
        <w:t>3,830</w:t>
      </w:r>
      <w:r>
        <w:rPr>
          <w:sz w:val="20"/>
          <w:szCs w:val="20"/>
          <w:color w:val="auto"/>
        </w:rPr>
        <w:tab/>
      </w:r>
      <w:r>
        <w:rPr>
          <w:rFonts w:ascii="Arial" w:cs="Arial" w:eastAsia="Arial" w:hAnsi="Arial"/>
          <w:sz w:val="16"/>
          <w:szCs w:val="16"/>
          <w:color w:val="auto"/>
        </w:rPr>
        <w:t>(9,609)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4445</wp:posOffset>
            </wp:positionV>
            <wp:extent cx="5746115" cy="38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46115" cy="386080"/>
                    </a:xfrm>
                    <a:prstGeom prst="rect">
                      <a:avLst/>
                    </a:prstGeom>
                    <a:noFill/>
                  </pic:spPr>
                </pic:pic>
              </a:graphicData>
            </a:graphic>
          </wp:anchor>
        </w:drawing>
      </w:r>
    </w:p>
    <w:p>
      <w:pPr>
        <w:spacing w:after="0" w:line="365" w:lineRule="exact"/>
        <w:rPr>
          <w:sz w:val="20"/>
          <w:szCs w:val="20"/>
          <w:color w:val="auto"/>
        </w:rPr>
      </w:pPr>
    </w:p>
    <w:p>
      <w:pPr>
        <w:ind w:left="80"/>
        <w:spacing w:after="0"/>
        <w:tabs>
          <w:tab w:leader="none" w:pos="740" w:val="left"/>
          <w:tab w:leader="none" w:pos="1540" w:val="left"/>
          <w:tab w:leader="none" w:pos="2720" w:val="left"/>
          <w:tab w:leader="none" w:pos="3460" w:val="left"/>
          <w:tab w:leader="none" w:pos="4220" w:val="left"/>
        </w:tabs>
        <w:rPr>
          <w:sz w:val="20"/>
          <w:szCs w:val="20"/>
          <w:color w:val="auto"/>
        </w:rPr>
      </w:pPr>
      <w:r>
        <w:rPr>
          <w:rFonts w:ascii="Arial" w:cs="Arial" w:eastAsia="Arial" w:hAnsi="Arial"/>
          <w:sz w:val="18"/>
          <w:szCs w:val="18"/>
          <w:color w:val="auto"/>
        </w:rPr>
        <w:t>4,780</w:t>
        <w:tab/>
        <w:t>(1,363)</w:t>
      </w:r>
      <w:r>
        <w:rPr>
          <w:sz w:val="20"/>
          <w:szCs w:val="20"/>
          <w:color w:val="auto"/>
        </w:rPr>
        <w:tab/>
      </w:r>
      <w:r>
        <w:rPr>
          <w:rFonts w:ascii="Arial" w:cs="Arial" w:eastAsia="Arial" w:hAnsi="Arial"/>
          <w:sz w:val="18"/>
          <w:szCs w:val="18"/>
          <w:color w:val="auto"/>
        </w:rPr>
        <w:t>3,417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3860" w:space="720"/>
            <w:col w:w="4480"/>
          </w:cols>
          <w:pgMar w:left="1420" w:top="530" w:right="141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3980" w:type="dxa"/>
            <w:vAlign w:val="bottom"/>
          </w:tcPr>
          <w:p>
            <w:pPr>
              <w:ind w:left="260"/>
              <w:spacing w:after="0"/>
              <w:rPr>
                <w:sz w:val="20"/>
                <w:szCs w:val="20"/>
                <w:color w:val="auto"/>
              </w:rPr>
            </w:pPr>
            <w:r>
              <w:rPr>
                <w:rFonts w:ascii="Arial" w:cs="Arial" w:eastAsia="Arial" w:hAnsi="Arial"/>
                <w:sz w:val="16"/>
                <w:szCs w:val="16"/>
                <w:color w:val="auto"/>
              </w:rPr>
              <w:t>comprehensive income, net</w:t>
            </w: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82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Cuts and Jobs Act of 2017 reclassification</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Balance at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25,153</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(7,170)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17,983</w:t>
            </w: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(18,216)</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20"/>
                <w:szCs w:val="20"/>
                <w:color w:val="auto"/>
              </w:rPr>
            </w:pPr>
            <w:r>
              <w:rPr>
                <w:rFonts w:ascii="Arial" w:cs="Arial" w:eastAsia="Arial" w:hAnsi="Arial"/>
                <w:sz w:val="16"/>
                <w:szCs w:val="16"/>
                <w:color w:val="auto"/>
              </w:rPr>
              <w:t>Unrealized gains (losses) on cash flow hedges: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beginning of period</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980" w:type="dxa"/>
            <w:vAlign w:val="bottom"/>
          </w:tcPr>
          <w:p>
            <w:pPr>
              <w:ind w:left="140"/>
              <w:spacing w:after="0"/>
              <w:rPr>
                <w:sz w:val="20"/>
                <w:szCs w:val="20"/>
                <w:color w:val="auto"/>
              </w:rPr>
            </w:pPr>
            <w:r>
              <w:rPr>
                <w:rFonts w:ascii="Arial" w:cs="Arial" w:eastAsia="Arial" w:hAnsi="Arial"/>
                <w:sz w:val="16"/>
                <w:szCs w:val="16"/>
                <w:color w:val="auto"/>
              </w:rPr>
              <w:t>Unrealized holding gains (losses) on cash flow</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6"/>
                <w:szCs w:val="16"/>
                <w:color w:val="auto"/>
              </w:rPr>
              <w:t>hedges,</w:t>
            </w:r>
          </w:p>
        </w:tc>
        <w:tc>
          <w:tcPr>
            <w:tcW w:w="360" w:type="dxa"/>
            <w:vAlign w:val="bottom"/>
          </w:tcPr>
          <w:p>
            <w:pPr>
              <w:spacing w:after="0"/>
              <w:rPr>
                <w:sz w:val="17"/>
                <w:szCs w:val="17"/>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(837)</w:t>
            </w: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color w:val="auto"/>
              </w:rPr>
              <w:t>239</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7"/>
                <w:szCs w:val="17"/>
                <w:color w:val="auto"/>
              </w:rPr>
            </w:pPr>
          </w:p>
        </w:tc>
        <w:tc>
          <w:tcPr>
            <w:tcW w:w="82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80" w:type="dxa"/>
            <w:vAlign w:val="bottom"/>
          </w:tcPr>
          <w:p>
            <w:pPr>
              <w:ind w:left="260"/>
              <w:spacing w:after="0"/>
              <w:rPr>
                <w:sz w:val="20"/>
                <w:szCs w:val="20"/>
                <w:color w:val="auto"/>
              </w:rPr>
            </w:pPr>
            <w:r>
              <w:rPr>
                <w:rFonts w:ascii="Arial" w:cs="Arial" w:eastAsia="Arial" w:hAnsi="Arial"/>
                <w:sz w:val="16"/>
                <w:szCs w:val="16"/>
                <w:color w:val="auto"/>
              </w:rPr>
              <w:t>net</w:t>
            </w:r>
          </w:p>
        </w:tc>
        <w:tc>
          <w:tcPr>
            <w:tcW w:w="3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reclassified from accumulated other</w:t>
            </w: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comprehensive income, net</w:t>
            </w: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Balance 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(828)</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accumulated other comprehensive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24,325</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(6,934)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(18,216)</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5,192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requisite service periods ranging from one to five years. The Company annually grants share-based awards in the form of DSUs, which are RSUs with a deferred settlement date, to its board of directors and advisory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Plan or the First Community 2016 Equity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 and stock options assumed from acquisitions.</w:t>
      </w:r>
    </w:p>
    <w:p>
      <w:pPr>
        <w:spacing w:after="0" w:line="19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A description of the First Community 2016 Equity Incentive Plan can be found in the Proxy Statement of First Community Financial Partners, Inc. for the 2016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A summary of the status of and changes in the Company's stock option awards for the nine months ended September 30, 2019 follows:</w:t>
      </w:r>
    </w:p>
    <w:tbl>
      <w:tblPr>
        <w:tblLayout w:type="fixed"/>
        <w:tblInd w:w="920" w:type="dxa"/>
        <w:tblCellMar>
          <w:top w:w="0" w:type="dxa"/>
          <w:left w:w="0" w:type="dxa"/>
          <w:bottom w:w="0" w:type="dxa"/>
          <w:right w:w="0" w:type="dxa"/>
        </w:tblCellMar>
      </w:tblPr>
      <w:tr>
        <w:trPr>
          <w:trHeight w:val="166"/>
        </w:trPr>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172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Average</w:t>
            </w:r>
          </w:p>
        </w:tc>
        <w:tc>
          <w:tcPr>
            <w:tcW w:w="1720" w:type="dxa"/>
            <w:vAlign w:val="bottom"/>
          </w:tcPr>
          <w:p>
            <w:pPr>
              <w:jc w:val="center"/>
              <w:ind w:left="62"/>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86"/>
              </w:rPr>
              <w:t>Exercise</w:t>
            </w:r>
          </w:p>
        </w:tc>
        <w:tc>
          <w:tcPr>
            <w:tcW w:w="1720" w:type="dxa"/>
            <w:vAlign w:val="bottom"/>
          </w:tcPr>
          <w:p>
            <w:pPr>
              <w:jc w:val="center"/>
              <w:ind w:left="62"/>
              <w:spacing w:after="0"/>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85"/>
        </w:trPr>
        <w:tc>
          <w:tcPr>
            <w:tcW w:w="27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7"/>
              </w:rPr>
              <w:t>Price</w:t>
            </w:r>
          </w:p>
        </w:tc>
        <w:tc>
          <w:tcPr>
            <w:tcW w:w="172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9"/>
              </w:rPr>
              <w:t>Outstanding at beginning of period</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87,600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(23,561)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55,269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8"/>
                <w:szCs w:val="18"/>
                <w:color w:val="auto"/>
              </w:rPr>
              <w:t>Exercisable at end of period</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60" w:type="dxa"/>
            <w:vAlign w:val="bottom"/>
            <w:vMerge w:val="continue"/>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39,825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21.39</w:t>
            </w:r>
          </w:p>
        </w:tc>
        <w:tc>
          <w:tcPr>
            <w:tcW w:w="172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 recorded an insignificant amount and $0.1 million in stock option compensation expense for the three and nine months ended September 30, 2019, related to the converted options from First Community. The Company recorded $0.1 million and $0.2 million in stock option compensation expense for the three and nine months ended September 30, 2018, respectively. As of September 30, 2019, the Company had an insignificant amount of unrecognized stock option expense. This cost is expected to be recognized the fourth quarter of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the Company’s stock unit awards for the nine months ended September 30, 2019, is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237"/>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24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r>
      <w:tr>
        <w:trPr>
          <w:trHeight w:val="176"/>
        </w:trPr>
        <w:tc>
          <w:tcPr>
            <w:tcW w:w="2820" w:type="dxa"/>
            <w:vAlign w:val="bottom"/>
          </w:tcPr>
          <w:p>
            <w:pPr>
              <w:spacing w:after="0"/>
              <w:rPr>
                <w:sz w:val="15"/>
                <w:szCs w:val="15"/>
                <w:color w:val="auto"/>
              </w:rPr>
            </w:pPr>
          </w:p>
        </w:tc>
        <w:tc>
          <w:tcPr>
            <w:tcW w:w="90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Restricted</w:t>
            </w:r>
          </w:p>
        </w:tc>
        <w:tc>
          <w:tcPr>
            <w:tcW w:w="180" w:type="dxa"/>
            <w:vAlign w:val="bottom"/>
          </w:tcPr>
          <w:p>
            <w:pPr>
              <w:spacing w:after="0"/>
              <w:rPr>
                <w:sz w:val="15"/>
                <w:szCs w:val="15"/>
                <w:color w:val="auto"/>
              </w:rPr>
            </w:pPr>
          </w:p>
        </w:tc>
        <w:tc>
          <w:tcPr>
            <w:tcW w:w="1100" w:type="dxa"/>
            <w:vAlign w:val="bottom"/>
          </w:tcPr>
          <w:p>
            <w:pPr>
              <w:jc w:val="center"/>
              <w:ind w:right="237"/>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Average</w:t>
            </w:r>
          </w:p>
        </w:tc>
      </w:tr>
      <w:tr>
        <w:trPr>
          <w:trHeight w:val="176"/>
        </w:trPr>
        <w:tc>
          <w:tcPr>
            <w:tcW w:w="28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5"/>
                <w:szCs w:val="15"/>
                <w:color w:val="auto"/>
              </w:rPr>
            </w:pPr>
          </w:p>
        </w:tc>
        <w:tc>
          <w:tcPr>
            <w:tcW w:w="1100" w:type="dxa"/>
            <w:vAlign w:val="bottom"/>
          </w:tcPr>
          <w:p>
            <w:pPr>
              <w:jc w:val="center"/>
              <w:ind w:right="237"/>
              <w:spacing w:after="0"/>
              <w:rPr>
                <w:sz w:val="20"/>
                <w:szCs w:val="20"/>
                <w:color w:val="auto"/>
              </w:rPr>
            </w:pPr>
            <w:r>
              <w:rPr>
                <w:rFonts w:ascii="Arial" w:cs="Arial" w:eastAsia="Arial" w:hAnsi="Arial"/>
                <w:sz w:val="14"/>
                <w:szCs w:val="14"/>
                <w:b w:val="1"/>
                <w:bCs w:val="1"/>
                <w:color w:val="auto"/>
                <w:w w:val="97"/>
              </w:rPr>
              <w:t>Grant 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28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Units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period</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690,495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26.14</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20,449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r>
      <w:tr>
        <w:trPr>
          <w:trHeight w:val="230"/>
        </w:trPr>
        <w:tc>
          <w:tcPr>
            <w:tcW w:w="2820" w:type="dxa"/>
            <w:vAlign w:val="bottom"/>
          </w:tcPr>
          <w:p>
            <w:pPr>
              <w:ind w:left="2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216,411</w:t>
            </w:r>
          </w:p>
        </w:tc>
        <w:tc>
          <w:tcPr>
            <w:tcW w:w="180" w:type="dxa"/>
            <w:vAlign w:val="bottom"/>
          </w:tcPr>
          <w:p>
            <w:pPr>
              <w:spacing w:after="0"/>
              <w:rPr>
                <w:sz w:val="19"/>
                <w:szCs w:val="19"/>
                <w:color w:val="auto"/>
              </w:rPr>
            </w:pP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26.73</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20,984</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26.78</w:t>
            </w: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equivalents earned</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17,559</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26.07</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1,961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r>
      <w:tr>
        <w:trPr>
          <w:trHeight w:val="230"/>
        </w:trPr>
        <w:tc>
          <w:tcPr>
            <w:tcW w:w="2820" w:type="dxa"/>
            <w:vAlign w:val="bottom"/>
          </w:tcPr>
          <w:p>
            <w:pPr>
              <w:ind w:left="220"/>
              <w:spacing w:after="0"/>
              <w:rPr>
                <w:sz w:val="20"/>
                <w:szCs w:val="20"/>
                <w:color w:val="auto"/>
              </w:rPr>
            </w:pPr>
            <w:r>
              <w:rPr>
                <w:rFonts w:ascii="Arial" w:cs="Arial" w:eastAsia="Arial" w:hAnsi="Arial"/>
                <w:sz w:val="18"/>
                <w:szCs w:val="18"/>
                <w:color w:val="auto"/>
              </w:rPr>
              <w:t>Vested</w:t>
            </w:r>
          </w:p>
        </w:tc>
        <w:tc>
          <w:tcPr>
            <w:tcW w:w="900" w:type="dxa"/>
            <w:vAlign w:val="bottom"/>
          </w:tcPr>
          <w:p>
            <w:pPr>
              <w:jc w:val="right"/>
              <w:spacing w:after="0"/>
              <w:rPr>
                <w:sz w:val="20"/>
                <w:szCs w:val="20"/>
                <w:color w:val="auto"/>
              </w:rPr>
            </w:pPr>
            <w:r>
              <w:rPr>
                <w:rFonts w:ascii="Arial" w:cs="Arial" w:eastAsia="Arial" w:hAnsi="Arial"/>
                <w:sz w:val="18"/>
                <w:szCs w:val="18"/>
                <w:color w:val="auto"/>
              </w:rPr>
              <w:t>(104,760)</w:t>
            </w:r>
          </w:p>
        </w:tc>
        <w:tc>
          <w:tcPr>
            <w:tcW w:w="180" w:type="dxa"/>
            <w:vAlign w:val="bottom"/>
          </w:tcPr>
          <w:p>
            <w:pPr>
              <w:spacing w:after="0"/>
              <w:rPr>
                <w:sz w:val="19"/>
                <w:szCs w:val="19"/>
                <w:color w:val="auto"/>
              </w:rPr>
            </w:pP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18.40</w:t>
            </w:r>
          </w:p>
        </w:tc>
        <w:tc>
          <w:tcPr>
            <w:tcW w:w="1020" w:type="dxa"/>
            <w:vAlign w:val="bottom"/>
          </w:tcPr>
          <w:p>
            <w:pPr>
              <w:jc w:val="right"/>
              <w:spacing w:after="0"/>
              <w:rPr>
                <w:sz w:val="20"/>
                <w:szCs w:val="20"/>
                <w:color w:val="auto"/>
              </w:rPr>
            </w:pPr>
            <w:r>
              <w:rPr>
                <w:rFonts w:ascii="Arial" w:cs="Arial" w:eastAsia="Arial" w:hAnsi="Arial"/>
                <w:sz w:val="18"/>
                <w:szCs w:val="18"/>
                <w:color w:val="auto"/>
              </w:rPr>
              <w:t>(20,723)</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31.18</w:t>
            </w: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30.47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r>
      <w:tr>
        <w:trPr>
          <w:trHeight w:val="263"/>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814,993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27.26</w:t>
            </w: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21,148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814,993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27.26</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89,831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r>
    </w:tbl>
    <w:p>
      <w:pPr>
        <w:spacing w:after="0" w:line="21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Recipients earn quarterly dividend equivalents on their respective units which entitle the recipients to additional units. Therefore, dividends earned each quarter compound based upon the updated unit balances. Upon vesting/delivery, shares are expected (though not required) to be issued from treasury.</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On July 5, 2019, under the terms of the 2010 Equity Incentive Plan, the Company granted 185,400 RSUs to members of management, and under the terms of the First Community 2016 Equity Incentive Plan, granted 10,644 RSUs to members of management who were legacy First Community employees. As the stock price on the grant date of July 5, 2019 was $26.78, total compensation cost to be recognized is $5.3 million. This cost will be recognized over a period of five years. Subsequent to the requisite service period, the awards will become 100% vested. Further, the Company granted 8,775 RSUs, under the terms of the 2010 Equity Incentive Plan, to the Chairman of the Board. As the stock price on the grant date of July 5, 2019 was $26.78, total compensation cost to be recognized is $0.2 million. This cost will be recognized over a period of five years. Subsequent to the requisite service period, the awards will become 100% vested. Finally, on September 25, 2019, under the terms of the 2010 Equity Incentive Plan, the Company granted 11,592 RSUs to a member of management. As the stock price on the grant date of September 25, 2019 was $25.88, total compensation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cost to be recognized is $0.3 million. This cost will be recognized over a period of three years. Subsequent to the requisite service period, the awards will become 100% vested.</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July 5, 2019, under the terms of the 2010 Equity Incentive Plan, the Company granted 17,549 DSUs to directors, and under the terms of the First Community 2016 Equity Incentive Plan, granted 1,867 DSUs to a director who was a legacy First Community director. In addition, under the terms of the 2010 Equity Incentive Plan, the Company granted 1,568 advisory DSUs to advisory directors. As the stock price on the grant date of July 5, 2019 was $26.78, total compensation cost to be recognized is $0.6 million. These costs will be recognized over the requisite service period of one year from the date of grant or the next Annual Meeting of Stockholders, whichever is earlier.</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Company recognized $1.2 million and $0.9 million of compensation expense related to both non-vested RSUs and DSUs for the three months ended September 30, 2019 and 2018, respectively. The Company recognized $3.1 million and $2.5 million of compensation expense related to both non-vested RSUs and DSUs for the nine months ended September 30, 2019 and 2018, respectively. As of September 30, 2019, there was $14.0 million of total unrecognized compensation cost related to these non-vested stock awards. This cost is expected to be recognized over a period of 3.6 years.</w:t>
      </w:r>
    </w:p>
    <w:p>
      <w:pPr>
        <w:spacing w:after="0" w:line="173"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As of September 30, 2019, 535,377 shares remain available for issuance pursuant to the Company’s 2010 Equity Incentive Plan, 50,463 shares remain available for issuance pursuant to the Company’s Employee Stock Purchase Plan and 297,216 shares remain available for issuance pursuant to the First Community 2016 Equity Incentive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2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1"/>
              </w:rPr>
              <w:t>September 30, 2019</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December 31, 2018</w:t>
            </w:r>
          </w:p>
        </w:tc>
      </w:tr>
      <w:tr>
        <w:trPr>
          <w:trHeight w:val="223"/>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6"/>
              </w:rPr>
              <w:t>Financial instruments whose contract amounts represent credit risk:</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Commitments to extend credit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1,664,799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1,398,483</w:t>
            </w: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Standby letters of credit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40,073</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Regulatory Capital</w:t>
      </w:r>
    </w:p>
    <w:p>
      <w:pPr>
        <w:spacing w:after="0" w:line="22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Company and the subsidiary banks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consolidated financial statements. The capital amounts and classification also are subject to qualitative judgments by the regulators about components, risk weightings and other factors.</w:t>
      </w:r>
    </w:p>
    <w:p>
      <w:pPr>
        <w:spacing w:after="0" w:line="203" w:lineRule="exact"/>
        <w:rPr>
          <w:sz w:val="20"/>
          <w:szCs w:val="20"/>
          <w:color w:val="auto"/>
        </w:rPr>
      </w:pPr>
    </w:p>
    <w:p>
      <w:pPr>
        <w:ind w:right="780"/>
        <w:spacing w:after="0" w:line="274" w:lineRule="auto"/>
        <w:rPr>
          <w:sz w:val="20"/>
          <w:szCs w:val="20"/>
          <w:color w:val="auto"/>
        </w:rPr>
      </w:pPr>
      <w:r>
        <w:rPr>
          <w:rFonts w:ascii="Arial" w:cs="Arial" w:eastAsia="Arial" w:hAnsi="Arial"/>
          <w:sz w:val="16"/>
          <w:szCs w:val="16"/>
          <w:color w:val="auto"/>
        </w:rPr>
        <w:t>Banking regulations identify five capital categories for insured depository institutions: well capitalized, adequately capitalized, undercapitalized, significantly undercapitalized and critically undercapitalized. As of September 30,</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2019 and December 31, 2018, all capital ratios of the Company and the subsidiary banks exceeded the well capitalized levels under the applicable regulatory capital adequacy guidelines. Management believes that no events or changes have occurred subsequent to September 30, 2019 that would change this designation.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80"/>
        <w:spacing w:after="0" w:line="251" w:lineRule="auto"/>
        <w:rPr>
          <w:sz w:val="20"/>
          <w:szCs w:val="20"/>
          <w:color w:val="auto"/>
        </w:rPr>
      </w:pPr>
      <w:r>
        <w:rPr>
          <w:rFonts w:ascii="Arial" w:cs="Arial" w:eastAsia="Arial" w:hAnsi="Arial"/>
          <w:sz w:val="18"/>
          <w:szCs w:val="18"/>
          <w:color w:val="auto"/>
        </w:rPr>
        <w:t xml:space="preserve">The following tables summarize the applicable holding company and bank regulatory capital requirements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left="215"/>
              <w:spacing w:after="0"/>
              <w:rPr>
                <w:sz w:val="20"/>
                <w:szCs w:val="20"/>
                <w:color w:val="auto"/>
              </w:rPr>
            </w:pPr>
            <w:r>
              <w:rPr>
                <w:rFonts w:ascii="Arial" w:cs="Arial" w:eastAsia="Arial" w:hAnsi="Arial"/>
                <w:sz w:val="14"/>
                <w:szCs w:val="14"/>
                <w:b w:val="1"/>
                <w:bCs w:val="1"/>
                <w:color w:val="auto"/>
              </w:rPr>
              <w:t>Minimum</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Minimum</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center"/>
              <w:ind w:left="215"/>
              <w:spacing w:after="0"/>
              <w:rPr>
                <w:sz w:val="20"/>
                <w:szCs w:val="20"/>
                <w:color w:val="auto"/>
              </w:rPr>
            </w:pPr>
            <w:r>
              <w:rPr>
                <w:rFonts w:ascii="Arial" w:cs="Arial" w:eastAsia="Arial" w:hAnsi="Arial"/>
                <w:sz w:val="14"/>
                <w:szCs w:val="14"/>
                <w:b w:val="1"/>
                <w:bCs w:val="1"/>
                <w:color w:val="auto"/>
                <w:w w:val="92"/>
              </w:rPr>
              <w:t>To Be Well</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Actual</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w w:val="96"/>
              </w:rPr>
              <w:t>Capital Requirement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215"/>
              <w:spacing w:after="0"/>
              <w:rPr>
                <w:sz w:val="20"/>
                <w:szCs w:val="20"/>
                <w:color w:val="auto"/>
              </w:rPr>
            </w:pPr>
            <w:r>
              <w:rPr>
                <w:rFonts w:ascii="Arial" w:cs="Arial" w:eastAsia="Arial" w:hAnsi="Arial"/>
                <w:sz w:val="14"/>
                <w:szCs w:val="14"/>
                <w:b w:val="1"/>
                <w:bCs w:val="1"/>
                <w:color w:val="auto"/>
                <w:w w:val="94"/>
              </w:rPr>
              <w:t>Capitalized</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1"/>
              </w:rPr>
              <w:t>Ratio</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1"/>
              </w:rPr>
              <w:t>Ratio</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September 30, 2019: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4"/>
          </w:tcPr>
          <w:p>
            <w:pPr>
              <w:spacing w:after="0" w:line="189" w:lineRule="exact"/>
              <w:rPr>
                <w:sz w:val="20"/>
                <w:szCs w:val="20"/>
                <w:color w:val="auto"/>
              </w:rPr>
            </w:pPr>
            <w:r>
              <w:rPr>
                <w:rFonts w:ascii="Arial" w:cs="Arial" w:eastAsia="Arial" w:hAnsi="Arial"/>
                <w:sz w:val="18"/>
                <w:szCs w:val="18"/>
                <w:color w:val="auto"/>
                <w:w w:val="95"/>
              </w:rPr>
              <w:t>Total Capital (to Risk Weighted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9"/>
              </w:rPr>
              <w:t>1,020,195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13.71 %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595,295</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744,118</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883,146</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13.93 %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507,070</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633,837</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TheBANK</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198,244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18.08 %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87,743</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109,678</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w w:val="93"/>
              </w:rPr>
              <w:t>Tier 1 Capital (to Risk Weighted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rPr>
              <w:t>Consolidated</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907,230</w:t>
            </w:r>
          </w:p>
        </w:tc>
        <w:tc>
          <w:tcPr>
            <w:tcW w:w="1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12.19 %</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ind w:right="274"/>
              <w:spacing w:after="0"/>
              <w:rPr>
                <w:sz w:val="20"/>
                <w:szCs w:val="20"/>
                <w:color w:val="auto"/>
              </w:rPr>
            </w:pPr>
            <w:r>
              <w:rPr>
                <w:rFonts w:ascii="Arial" w:cs="Arial" w:eastAsia="Arial" w:hAnsi="Arial"/>
                <w:sz w:val="18"/>
                <w:szCs w:val="18"/>
                <w:color w:val="auto"/>
                <w:w w:val="95"/>
              </w:rPr>
              <w:t>446,471</w:t>
            </w:r>
          </w:p>
        </w:tc>
        <w:tc>
          <w:tcPr>
            <w:tcW w:w="74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235"/>
              <w:spacing w:after="0"/>
              <w:rPr>
                <w:sz w:val="20"/>
                <w:szCs w:val="20"/>
                <w:color w:val="auto"/>
              </w:rPr>
            </w:pPr>
            <w:r>
              <w:rPr>
                <w:rFonts w:ascii="Arial" w:cs="Arial" w:eastAsia="Arial" w:hAnsi="Arial"/>
                <w:sz w:val="18"/>
                <w:szCs w:val="18"/>
                <w:color w:val="auto"/>
              </w:rPr>
              <w:t>595,295</w:t>
            </w:r>
          </w:p>
        </w:tc>
        <w:tc>
          <w:tcPr>
            <w:tcW w:w="72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830,995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13.11 %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380,303</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507,070</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TheBANK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197,430</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65,807</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87,743</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40" w:type="dxa"/>
            <w:vAlign w:val="bottom"/>
            <w:gridSpan w:val="8"/>
          </w:tcPr>
          <w:p>
            <w:pPr>
              <w:spacing w:after="0" w:line="189" w:lineRule="exact"/>
              <w:rPr>
                <w:sz w:val="20"/>
                <w:szCs w:val="20"/>
                <w:color w:val="auto"/>
              </w:rPr>
            </w:pPr>
            <w:r>
              <w:rPr>
                <w:rFonts w:ascii="Arial" w:cs="Arial" w:eastAsia="Arial" w:hAnsi="Arial"/>
                <w:sz w:val="18"/>
                <w:szCs w:val="18"/>
                <w:color w:val="auto"/>
                <w:w w:val="93"/>
              </w:rPr>
              <w:t>Common Equity Tier 1 Capital (to Risk Weighted Assets)</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833,230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11.20 %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334,854</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483,677</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830,995</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13.11 %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285,227</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411,994</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TheBANK</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197,430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18.00 %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49,356</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71,291</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Tier 1 Capital (to Average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Consolidated</w:t>
            </w:r>
          </w:p>
        </w:tc>
        <w:tc>
          <w:tcPr>
            <w:tcW w:w="560" w:type="dxa"/>
            <w:vAlign w:val="bottom"/>
            <w:tcBorders>
              <w:top w:val="single" w:sz="8" w:color="CCEEFF"/>
            </w:tcBorders>
            <w:gridSpan w:val="3"/>
          </w:tcPr>
          <w:p>
            <w:pPr>
              <w:spacing w:after="0"/>
              <w:rPr>
                <w:sz w:val="19"/>
                <w:szCs w:val="19"/>
                <w:color w:val="auto"/>
              </w:rPr>
            </w:pPr>
          </w:p>
        </w:tc>
        <w:tc>
          <w:tcPr>
            <w:tcW w:w="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907,230</w:t>
            </w:r>
          </w:p>
        </w:tc>
        <w:tc>
          <w:tcPr>
            <w:tcW w:w="1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9.78 %</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ind w:right="274"/>
              <w:spacing w:after="0"/>
              <w:rPr>
                <w:sz w:val="20"/>
                <w:szCs w:val="20"/>
                <w:color w:val="auto"/>
              </w:rPr>
            </w:pPr>
            <w:r>
              <w:rPr>
                <w:rFonts w:ascii="Arial" w:cs="Arial" w:eastAsia="Arial" w:hAnsi="Arial"/>
                <w:sz w:val="18"/>
                <w:szCs w:val="18"/>
                <w:color w:val="auto"/>
                <w:w w:val="95"/>
              </w:rPr>
              <w:t>371,129</w:t>
            </w:r>
          </w:p>
        </w:tc>
        <w:tc>
          <w:tcPr>
            <w:tcW w:w="74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ind w:right="235"/>
              <w:spacing w:after="0"/>
              <w:rPr>
                <w:sz w:val="20"/>
                <w:szCs w:val="20"/>
                <w:color w:val="auto"/>
              </w:rPr>
            </w:pPr>
            <w:r>
              <w:rPr>
                <w:rFonts w:ascii="Arial" w:cs="Arial" w:eastAsia="Arial" w:hAnsi="Arial"/>
                <w:sz w:val="18"/>
                <w:szCs w:val="18"/>
                <w:color w:val="auto"/>
              </w:rPr>
              <w:t>N/A</w:t>
            </w:r>
          </w:p>
        </w:tc>
        <w:tc>
          <w:tcPr>
            <w:tcW w:w="720" w:type="dxa"/>
            <w:vAlign w:val="bottom"/>
            <w:tcBorders>
              <w:top w:val="single" w:sz="8" w:color="CCEEFF"/>
            </w:tcBorders>
          </w:tcPr>
          <w:p>
            <w:pPr>
              <w:jc w:val="right"/>
              <w:ind w:right="2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830,995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11.12 %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298,943</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373,679</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TheBANK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197,430</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10.55 %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74,851</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93,563</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center"/>
              <w:ind w:left="215"/>
              <w:spacing w:after="0"/>
              <w:rPr>
                <w:sz w:val="20"/>
                <w:szCs w:val="20"/>
                <w:color w:val="auto"/>
              </w:rPr>
            </w:pPr>
            <w:r>
              <w:rPr>
                <w:rFonts w:ascii="Arial" w:cs="Arial" w:eastAsia="Arial" w:hAnsi="Arial"/>
                <w:sz w:val="14"/>
                <w:szCs w:val="14"/>
                <w:b w:val="1"/>
                <w:bCs w:val="1"/>
                <w:color w:val="auto"/>
              </w:rPr>
              <w:t>Minimum</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Minimum</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center"/>
              <w:ind w:left="215"/>
              <w:spacing w:after="0"/>
              <w:rPr>
                <w:sz w:val="20"/>
                <w:szCs w:val="20"/>
                <w:color w:val="auto"/>
              </w:rPr>
            </w:pPr>
            <w:r>
              <w:rPr>
                <w:rFonts w:ascii="Arial" w:cs="Arial" w:eastAsia="Arial" w:hAnsi="Arial"/>
                <w:sz w:val="14"/>
                <w:szCs w:val="14"/>
                <w:b w:val="1"/>
                <w:bCs w:val="1"/>
                <w:color w:val="auto"/>
                <w:w w:val="92"/>
              </w:rPr>
              <w:t>To Be Well</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Actual</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w w:val="96"/>
              </w:rPr>
              <w:t>Capital Requirement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215"/>
              <w:spacing w:after="0"/>
              <w:rPr>
                <w:sz w:val="20"/>
                <w:szCs w:val="20"/>
                <w:color w:val="auto"/>
              </w:rPr>
            </w:pPr>
            <w:r>
              <w:rPr>
                <w:rFonts w:ascii="Arial" w:cs="Arial" w:eastAsia="Arial" w:hAnsi="Arial"/>
                <w:sz w:val="14"/>
                <w:szCs w:val="14"/>
                <w:b w:val="1"/>
                <w:bCs w:val="1"/>
                <w:color w:val="auto"/>
                <w:w w:val="94"/>
              </w:rPr>
              <w:t>Capitalized</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1"/>
              </w:rPr>
              <w:t>Ratio</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1"/>
              </w:rPr>
              <w:t>Ratio</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4"/>
          </w:tcPr>
          <w:p>
            <w:pPr>
              <w:spacing w:after="0" w:line="189" w:lineRule="exact"/>
              <w:rPr>
                <w:sz w:val="20"/>
                <w:szCs w:val="20"/>
                <w:color w:val="auto"/>
              </w:rPr>
            </w:pPr>
            <w:r>
              <w:rPr>
                <w:rFonts w:ascii="Arial" w:cs="Arial" w:eastAsia="Arial" w:hAnsi="Arial"/>
                <w:sz w:val="18"/>
                <w:szCs w:val="18"/>
                <w:color w:val="auto"/>
                <w:w w:val="95"/>
              </w:rPr>
              <w:t>Total Capital (to Risk Weighted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894,572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14.83 %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482,638</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603,297</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854,351</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14.19 %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481,701</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602,126</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00" w:type="dxa"/>
            <w:vAlign w:val="bottom"/>
            <w:gridSpan w:val="4"/>
          </w:tcPr>
          <w:p>
            <w:pPr>
              <w:spacing w:after="0" w:line="189" w:lineRule="exact"/>
              <w:rPr>
                <w:sz w:val="20"/>
                <w:szCs w:val="20"/>
                <w:color w:val="auto"/>
              </w:rPr>
            </w:pPr>
            <w:r>
              <w:rPr>
                <w:rFonts w:ascii="Arial" w:cs="Arial" w:eastAsia="Arial" w:hAnsi="Arial"/>
                <w:sz w:val="18"/>
                <w:szCs w:val="18"/>
                <w:color w:val="auto"/>
                <w:w w:val="93"/>
              </w:rPr>
              <w:t>Tier 1 Capital (to Risk Weighted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783,924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12.99 %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361,978</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482,638</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803,703</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13.35 %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361,276</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481,701</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40" w:type="dxa"/>
            <w:vAlign w:val="bottom"/>
            <w:gridSpan w:val="8"/>
          </w:tcPr>
          <w:p>
            <w:pPr>
              <w:spacing w:after="0" w:line="189" w:lineRule="exact"/>
              <w:rPr>
                <w:sz w:val="20"/>
                <w:szCs w:val="20"/>
                <w:color w:val="auto"/>
              </w:rPr>
            </w:pPr>
            <w:r>
              <w:rPr>
                <w:rFonts w:ascii="Arial" w:cs="Arial" w:eastAsia="Arial" w:hAnsi="Arial"/>
                <w:sz w:val="18"/>
                <w:szCs w:val="18"/>
                <w:color w:val="auto"/>
                <w:w w:val="93"/>
              </w:rPr>
              <w:t>Common Equity Tier 1 Capital (to Risk Weighted Assets)</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709,924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11.77 %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271,484</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392,143</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803,703</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13.35 %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270,957</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4.50 %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391,382</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00" w:type="dxa"/>
            <w:vAlign w:val="bottom"/>
            <w:gridSpan w:val="4"/>
          </w:tcPr>
          <w:p>
            <w:pPr>
              <w:spacing w:after="0" w:line="189" w:lineRule="exact"/>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783,924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10.36 %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302,704</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803,703</w:t>
            </w:r>
          </w:p>
        </w:tc>
        <w:tc>
          <w:tcPr>
            <w:tcW w:w="1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10.64 %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w w:val="95"/>
              </w:rPr>
              <w:t>302,232</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377,789</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715"/>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192"/>
              <w:spacing w:after="0"/>
              <w:rPr>
                <w:sz w:val="20"/>
                <w:szCs w:val="20"/>
                <w:color w:val="auto"/>
              </w:rPr>
            </w:pPr>
            <w:r>
              <w:rPr>
                <w:rFonts w:ascii="Arial" w:cs="Arial" w:eastAsia="Arial" w:hAnsi="Arial"/>
                <w:sz w:val="18"/>
                <w:szCs w:val="18"/>
                <w:color w:val="auto"/>
                <w:w w:val="89"/>
              </w:rPr>
              <w:t>31</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30"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In July 2013, the U.S. federal banking authorities approved the Basel III Rule for strengthening international capital standards. The Basel III Rule introduced a capital conservation buffer, composed entirely of Common Equity Tier 1 Capital (“CET1”), which is added to the minimum risk-weighted asset ratios. The capital conservation buffer is not a minimum capital requirement; however, banking institutions with a ratio of CET1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CET1 to risk-weighted assets of at least 7.00%, (ii) Tier 1 capital to risk-weighted assets of at least 8.50%, and (iii) Total capital to risk-weighted assets of at least 10.50%.</w:t>
      </w:r>
    </w:p>
    <w:p>
      <w:pPr>
        <w:spacing w:after="0" w:line="182" w:lineRule="exact"/>
        <w:rPr>
          <w:sz w:val="20"/>
          <w:szCs w:val="20"/>
          <w:color w:val="auto"/>
        </w:rPr>
      </w:pPr>
    </w:p>
    <w:p>
      <w:pPr>
        <w:ind w:right="300"/>
        <w:spacing w:after="0" w:line="254" w:lineRule="auto"/>
        <w:rPr>
          <w:sz w:val="20"/>
          <w:szCs w:val="20"/>
          <w:color w:val="auto"/>
        </w:rPr>
      </w:pPr>
      <w:r>
        <w:rPr>
          <w:rFonts w:ascii="Arial" w:cs="Arial" w:eastAsia="Arial" w:hAnsi="Arial"/>
          <w:sz w:val="17"/>
          <w:szCs w:val="17"/>
          <w:color w:val="auto"/>
        </w:rPr>
        <w:t>The ability of the Company to pay cash dividends to its stockholders and to service its debt is dependent on the receipt of cash dividends from its subsidiaries. Under applicable regulatory requirements, an Illinois state-chartered bank such as Busey Bank may not pay dividends in excess of its net profits. Because Busey Bank had been in an accumulated deficit position from 2009 thru 2018, it was not able to pay dividends in prior years. With prior approval from its regulators, 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 the Company, most recently in the amount of $40.0 million on October 12, 2018. Busey Bank returned to a positive retained earnings position in the second quarter of 2018 and, in 2019, returned to paying dividends.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Operating Segments and Related Information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St. Louis, Missouri metropolitan area, southwest Florida and through its banking center in Indianapolis, Indiana. Banking services for Busey Bank and TheBANK are aggregated into the banking operating segment as they have similar operations and activities.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96"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the “Note 1. Significant Accounting Policies” to Form 10-K. The Company accounts for intersegment revenue and transfers at current market value.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Following is a summary of selected financial information for the Company’s operating segments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ectPr>
          <w:pgSz w:w="11900" w:h="16838" w:orient="portrait"/>
          <w:cols w:equalWidth="0" w:num="1">
            <w:col w:w="9060"/>
          </w:cols>
          <w:pgMar w:left="1420" w:top="530" w:right="1419" w:bottom="1440" w:gutter="0" w:footer="0" w:header="0"/>
        </w:sectPr>
      </w:pPr>
    </w:p>
    <w:p>
      <w:pPr>
        <w:spacing w:after="0" w:line="255" w:lineRule="exact"/>
        <w:rPr>
          <w:sz w:val="20"/>
          <w:szCs w:val="20"/>
          <w:color w:val="auto"/>
        </w:rPr>
      </w:pPr>
    </w:p>
    <w:p>
      <w:pPr>
        <w:jc w:val="center"/>
        <w:ind w:left="3060"/>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15240</wp:posOffset>
            </wp:positionV>
            <wp:extent cx="18522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8" w:lineRule="exact"/>
        <w:rPr>
          <w:sz w:val="20"/>
          <w:szCs w:val="20"/>
          <w:color w:val="auto"/>
        </w:rPr>
      </w:pPr>
    </w:p>
    <w:p>
      <w:pPr>
        <w:ind w:left="3060"/>
        <w:spacing w:after="0"/>
        <w:tabs>
          <w:tab w:leader="none" w:pos="4620" w:val="left"/>
        </w:tabs>
        <w:rPr>
          <w:sz w:val="20"/>
          <w:szCs w:val="20"/>
          <w:color w:val="auto"/>
        </w:rPr>
      </w:pPr>
      <w:r>
        <w:rPr>
          <w:rFonts w:ascii="Arial" w:cs="Arial" w:eastAsia="Arial" w:hAnsi="Arial"/>
          <w:sz w:val="14"/>
          <w:szCs w:val="14"/>
          <w:b w:val="1"/>
          <w:bCs w:val="1"/>
          <w:color w:val="auto"/>
        </w:rPr>
        <w:t>September 30, 2019</w:t>
      </w:r>
      <w:r>
        <w:rPr>
          <w:sz w:val="20"/>
          <w:szCs w:val="20"/>
          <w:color w:val="auto"/>
        </w:rPr>
        <w:tab/>
      </w:r>
      <w:r>
        <w:rPr>
          <w:rFonts w:ascii="Arial" w:cs="Arial" w:eastAsia="Arial" w:hAnsi="Arial"/>
          <w:sz w:val="13"/>
          <w:szCs w:val="13"/>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15240</wp:posOffset>
            </wp:positionV>
            <wp:extent cx="18522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15240</wp:posOffset>
            </wp:positionV>
            <wp:extent cx="18611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8"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September 30, 2019</w:t>
      </w:r>
      <w:r>
        <w:rPr>
          <w:sz w:val="20"/>
          <w:szCs w:val="20"/>
          <w:color w:val="auto"/>
        </w:rPr>
        <w:tab/>
      </w: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15240</wp:posOffset>
            </wp:positionV>
            <wp:extent cx="18611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380"/>
            <w:col w:w="2860"/>
          </w:cols>
          <w:pgMar w:left="1420" w:top="530" w:right="1419" w:bottom="144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Banking</w:t>
            </w: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293,431</w:t>
            </w:r>
          </w:p>
        </w:tc>
        <w:tc>
          <w:tcPr>
            <w:tcW w:w="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246,999</w:t>
            </w:r>
          </w:p>
        </w:tc>
        <w:tc>
          <w:tcPr>
            <w:tcW w:w="5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9,704,121</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7,656,709</w:t>
            </w:r>
          </w:p>
        </w:tc>
      </w:tr>
      <w:tr>
        <w:trPr>
          <w:trHeight w:val="230"/>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Remittance Processing</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8,992</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43,138</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39,278</w:t>
            </w:r>
          </w:p>
        </w:tc>
      </w:tr>
      <w:tr>
        <w:trPr>
          <w:trHeight w:val="230"/>
        </w:trPr>
        <w:tc>
          <w:tcPr>
            <w:tcW w:w="20" w:type="dxa"/>
            <w:vAlign w:val="bottom"/>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20,276</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28,587</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20,992</w:t>
            </w:r>
          </w:p>
        </w:tc>
      </w:tr>
      <w:tr>
        <w:trPr>
          <w:trHeight w:val="230"/>
        </w:trPr>
        <w:tc>
          <w:tcPr>
            <w:tcW w:w="20" w:type="dxa"/>
            <w:vAlign w:val="bottom"/>
          </w:tcPr>
          <w:p>
            <w:pPr>
              <w:spacing w:after="0"/>
              <w:rPr>
                <w:sz w:val="19"/>
                <w:szCs w:val="19"/>
                <w:color w:val="auto"/>
              </w:rPr>
            </w:pPr>
          </w:p>
        </w:tc>
        <w:tc>
          <w:tcPr>
            <w:tcW w:w="2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(22,086)</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(14,622)</w:t>
            </w:r>
          </w:p>
        </w:tc>
      </w:tr>
      <w:tr>
        <w:trPr>
          <w:trHeight w:val="223"/>
        </w:trPr>
        <w:tc>
          <w:tcPr>
            <w:tcW w:w="20" w:type="dxa"/>
            <w:vAlign w:val="bottom"/>
          </w:tcPr>
          <w:p>
            <w:pPr>
              <w:spacing w:after="0"/>
              <w:rPr>
                <w:sz w:val="19"/>
                <w:szCs w:val="19"/>
                <w:color w:val="auto"/>
              </w:rPr>
            </w:pPr>
          </w:p>
        </w:tc>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6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322,699</w:t>
            </w:r>
          </w:p>
        </w:tc>
        <w:tc>
          <w:tcPr>
            <w:tcW w:w="6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267,685</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9,753,760</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7,702,357</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0" w:right="141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9060"/>
          </w:cols>
          <w:pgMar w:left="1420" w:top="53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22225</wp:posOffset>
            </wp:positionV>
            <wp:extent cx="16725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 w:lineRule="exact"/>
        <w:rPr>
          <w:sz w:val="20"/>
          <w:szCs w:val="20"/>
          <w:color w:val="auto"/>
        </w:rPr>
      </w:pPr>
    </w:p>
    <w:p>
      <w:pPr>
        <w:ind w:left="3700"/>
        <w:spacing w:after="0"/>
        <w:tabs>
          <w:tab w:leader="none" w:pos="51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22225</wp:posOffset>
            </wp:positionV>
            <wp:extent cx="16979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4" w:lineRule="exact"/>
        <w:rPr>
          <w:sz w:val="20"/>
          <w:szCs w:val="20"/>
          <w:color w:val="auto"/>
        </w:rPr>
      </w:pPr>
    </w:p>
    <w:p>
      <w:pPr>
        <w:sectPr>
          <w:pgSz w:w="11900" w:h="16838" w:orient="portrait"/>
          <w:cols w:equalWidth="0" w:num="2">
            <w:col w:w="5660" w:space="720"/>
            <w:col w:w="2680"/>
          </w:cols>
          <w:pgMar w:left="1420" w:top="530" w:right="141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980" w:type="dxa"/>
            <w:vAlign w:val="bottom"/>
            <w:tcBorders>
              <w:top w:val="single" w:sz="8" w:color="CCEEFF"/>
            </w:tcBorders>
            <w:gridSpan w:val="6"/>
            <w:shd w:val="clear" w:color="auto" w:fill="CCEEFF"/>
          </w:tcPr>
          <w:p>
            <w:pPr>
              <w:spacing w:after="0" w:line="182" w:lineRule="exact"/>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Banking</w:t>
            </w:r>
          </w:p>
        </w:tc>
        <w:tc>
          <w:tcPr>
            <w:tcW w:w="1540" w:type="dxa"/>
            <w:vAlign w:val="bottom"/>
            <w:tcBorders>
              <w:top w:val="single" w:sz="8" w:color="CCEEFF"/>
            </w:tcBorders>
            <w:gridSpan w:val="4"/>
          </w:tcPr>
          <w:p>
            <w:pPr>
              <w:spacing w:after="0"/>
              <w:rPr>
                <w:sz w:val="19"/>
                <w:szCs w:val="19"/>
                <w:color w:val="auto"/>
              </w:rPr>
            </w:pPr>
          </w:p>
        </w:tc>
        <w:tc>
          <w:tcPr>
            <w:tcW w:w="600" w:type="dxa"/>
            <w:vAlign w:val="bottom"/>
            <w:tcBorders>
              <w:top w:val="single" w:sz="8" w:color="CCEEFF"/>
            </w:tcBorders>
            <w:gridSpan w:val="2"/>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75,955</w:t>
            </w:r>
          </w:p>
        </w:tc>
        <w:tc>
          <w:tcPr>
            <w:tcW w:w="5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62,578</w:t>
            </w:r>
          </w:p>
        </w:tc>
        <w:tc>
          <w:tcPr>
            <w:tcW w:w="2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222,537</w:t>
            </w:r>
          </w:p>
        </w:tc>
        <w:tc>
          <w:tcPr>
            <w:tcW w:w="4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186,103</w:t>
            </w: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(2,499)</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(7,306)</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80" w:type="dxa"/>
            <w:vAlign w:val="bottom"/>
            <w:tcBorders>
              <w:bottom w:val="single" w:sz="8" w:color="CCEEFF"/>
            </w:tcBorders>
            <w:gridSpan w:val="6"/>
          </w:tcPr>
          <w:p>
            <w:pPr>
              <w:ind w:left="300"/>
              <w:spacing w:after="0"/>
              <w:rPr>
                <w:sz w:val="20"/>
                <w:szCs w:val="20"/>
                <w:color w:val="auto"/>
              </w:rPr>
            </w:pPr>
            <w:r>
              <w:rPr>
                <w:rFonts w:ascii="Arial" w:cs="Arial" w:eastAsia="Arial" w:hAnsi="Arial"/>
                <w:sz w:val="18"/>
                <w:szCs w:val="18"/>
                <w:color w:val="auto"/>
              </w:rPr>
              <w:t>Total net interest income</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73,476</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60,774</w:t>
            </w: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215,287</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180,903</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80" w:type="dxa"/>
            <w:vAlign w:val="bottom"/>
            <w:gridSpan w:val="6"/>
          </w:tcPr>
          <w:p>
            <w:pPr>
              <w:spacing w:after="0" w:line="189" w:lineRule="exact"/>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6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18,301</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2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46,743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33,827</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tcPr>
          <w:p>
            <w:pPr>
              <w:ind w:left="100"/>
              <w:spacing w:after="0"/>
              <w:rPr>
                <w:sz w:val="20"/>
                <w:szCs w:val="20"/>
                <w:color w:val="auto"/>
              </w:rPr>
            </w:pPr>
            <w:r>
              <w:rPr>
                <w:rFonts w:ascii="Arial" w:cs="Arial" w:eastAsia="Arial" w:hAnsi="Arial"/>
                <w:sz w:val="18"/>
                <w:szCs w:val="18"/>
                <w:color w:val="auto"/>
              </w:rPr>
              <w:t>Remittance Processing</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4,088</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12,386</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8,994</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27,721</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CCEEFF"/>
            </w:tcBorders>
            <w:gridSpan w:val="6"/>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(447)</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(2,073)</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CCEEFF"/>
            </w:tcBorders>
            <w:gridSpan w:val="6"/>
            <w:shd w:val="clear" w:color="auto" w:fill="CCEEFF"/>
          </w:tcPr>
          <w:p>
            <w:pPr>
              <w:ind w:left="30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30,936</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84,777</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67,141</w:t>
            </w: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w w:val="87"/>
              </w:rPr>
              <w:t>Non-interest expense:</w:t>
            </w:r>
          </w:p>
        </w:tc>
        <w:tc>
          <w:tcPr>
            <w:tcW w:w="14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tcPr>
          <w:p>
            <w:pPr>
              <w:ind w:left="100"/>
              <w:spacing w:after="0"/>
              <w:rPr>
                <w:sz w:val="20"/>
                <w:szCs w:val="20"/>
                <w:color w:val="auto"/>
              </w:rPr>
            </w:pPr>
            <w:r>
              <w:rPr>
                <w:rFonts w:ascii="Arial" w:cs="Arial" w:eastAsia="Arial" w:hAnsi="Arial"/>
                <w:sz w:val="18"/>
                <w:szCs w:val="18"/>
                <w:color w:val="auto"/>
              </w:rPr>
              <w:t>Banking</w:t>
            </w:r>
          </w:p>
        </w:tc>
        <w:tc>
          <w:tcPr>
            <w:tcW w:w="6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56,593</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37,034</w:t>
            </w:r>
          </w:p>
        </w:tc>
        <w:tc>
          <w:tcPr>
            <w:tcW w:w="240" w:type="dxa"/>
            <w:vAlign w:val="bottom"/>
          </w:tcPr>
          <w:p>
            <w:pPr>
              <w:spacing w:after="0"/>
              <w:rPr>
                <w:sz w:val="19"/>
                <w:szCs w:val="19"/>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158,659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116,275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2,746</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8,099</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6,043</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17,356</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13,921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2,739</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9,190</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80" w:type="dxa"/>
            <w:vAlign w:val="bottom"/>
            <w:tcBorders>
              <w:bottom w:val="single" w:sz="8" w:color="CCEEFF"/>
            </w:tcBorders>
            <w:gridSpan w:val="6"/>
          </w:tcPr>
          <w:p>
            <w:pPr>
              <w:ind w:left="30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68,121</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45,929</w:t>
            </w: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193,304</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144,274</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80" w:type="dxa"/>
            <w:vAlign w:val="bottom"/>
            <w:gridSpan w:val="6"/>
          </w:tcPr>
          <w:p>
            <w:pPr>
              <w:spacing w:after="0" w:line="189" w:lineRule="exact"/>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6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34,252</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35,982</w:t>
            </w:r>
          </w:p>
        </w:tc>
        <w:tc>
          <w:tcPr>
            <w:tcW w:w="2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102,582</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99,631</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tcPr>
          <w:p>
            <w:pPr>
              <w:ind w:left="100"/>
              <w:spacing w:after="0"/>
              <w:rPr>
                <w:sz w:val="20"/>
                <w:szCs w:val="20"/>
                <w:color w:val="auto"/>
              </w:rPr>
            </w:pPr>
            <w:r>
              <w:rPr>
                <w:rFonts w:ascii="Arial" w:cs="Arial" w:eastAsia="Arial" w:hAnsi="Arial"/>
                <w:sz w:val="18"/>
                <w:szCs w:val="18"/>
                <w:color w:val="auto"/>
              </w:rPr>
              <w:t>Remittance Processing</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1,362</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4,343</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2,951</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10,365</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CCEEFF"/>
            </w:tcBorders>
            <w:gridSpan w:val="6"/>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(5,685)</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(18,569)</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(14,161)</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CCEEFF"/>
            </w:tcBorders>
            <w:gridSpan w:val="6"/>
            <w:shd w:val="clear" w:color="auto" w:fill="CCEEFF"/>
          </w:tcPr>
          <w:p>
            <w:pPr>
              <w:ind w:left="300"/>
              <w:spacing w:after="0"/>
              <w:rPr>
                <w:sz w:val="20"/>
                <w:szCs w:val="20"/>
                <w:color w:val="auto"/>
              </w:rPr>
            </w:pPr>
            <w:r>
              <w:rPr>
                <w:rFonts w:ascii="Arial" w:cs="Arial" w:eastAsia="Arial" w:hAnsi="Arial"/>
                <w:sz w:val="18"/>
                <w:szCs w:val="18"/>
                <w:color w:val="auto"/>
                <w:w w:val="98"/>
              </w:rPr>
              <w:t>Total income before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32,880</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35,940</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98,721</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99,746</w:t>
            </w: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Banking</w:t>
            </w:r>
          </w:p>
        </w:tc>
        <w:tc>
          <w:tcPr>
            <w:tcW w:w="2120" w:type="dxa"/>
            <w:vAlign w:val="bottom"/>
            <w:tcBorders>
              <w:top w:val="single" w:sz="8" w:color="CCEEFF"/>
            </w:tcBorders>
            <w:gridSpan w:val="5"/>
          </w:tcPr>
          <w:p>
            <w:pPr>
              <w:spacing w:after="0"/>
              <w:rPr>
                <w:sz w:val="19"/>
                <w:szCs w:val="19"/>
                <w:color w:val="auto"/>
              </w:rPr>
            </w:pPr>
          </w:p>
        </w:tc>
        <w:tc>
          <w:tcPr>
            <w:tcW w:w="600" w:type="dxa"/>
            <w:vAlign w:val="bottom"/>
            <w:tcBorders>
              <w:top w:val="single" w:sz="8" w:color="CCEEFF"/>
            </w:tcBorders>
            <w:gridSpan w:val="2"/>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25,731</w:t>
            </w:r>
          </w:p>
        </w:tc>
        <w:tc>
          <w:tcPr>
            <w:tcW w:w="5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26,486</w:t>
            </w:r>
          </w:p>
        </w:tc>
        <w:tc>
          <w:tcPr>
            <w:tcW w:w="2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76,837</w:t>
            </w:r>
          </w:p>
        </w:tc>
        <w:tc>
          <w:tcPr>
            <w:tcW w:w="4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73,235</w:t>
            </w: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972</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3,102</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2,184</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7,670</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7,332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(4,059)</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(13,227)</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6"/>
          </w:tcPr>
          <w:p>
            <w:pPr>
              <w:ind w:left="300"/>
              <w:spacing w:after="0"/>
              <w:rPr>
                <w:sz w:val="20"/>
                <w:szCs w:val="20"/>
                <w:color w:val="auto"/>
              </w:rPr>
            </w:pPr>
            <w:r>
              <w:rPr>
                <w:rFonts w:ascii="Arial" w:cs="Arial" w:eastAsia="Arial" w:hAnsi="Arial"/>
                <w:sz w:val="18"/>
                <w:szCs w:val="18"/>
                <w:color w:val="auto"/>
              </w:rPr>
              <w:t>Total net income</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24,828</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74,382</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73,638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“Note 15: Fair Value Measurements” for further discussion of the fair value measurement of such derivatives.</w:t>
      </w:r>
    </w:p>
    <w:p>
      <w:pPr>
        <w:spacing w:after="0" w:line="173"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i w:val="1"/>
          <w:iCs w:val="1"/>
          <w:color w:val="auto"/>
        </w:rPr>
        <w:t xml:space="preserve">Interest Rate Swaps Designated as Cash Flow Hedges: </w:t>
      </w:r>
      <w:r>
        <w:rPr>
          <w:rFonts w:ascii="Arial" w:cs="Arial" w:eastAsia="Arial" w:hAnsi="Arial"/>
          <w:sz w:val="16"/>
          <w:szCs w:val="16"/>
          <w:color w:val="auto"/>
        </w:rPr>
        <w:t>Starting in the third quarter of 2019, the Company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designated as a cash flow hedges. For derivative instruments that are designated and qualify as a</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cash flow hedge, the effective portion of the gain or loss on the derivative instrument is reported as a component of other comprehensive income and reclassified into earnings in the same period or periods during which the hedged transaction affects earnings. Gains and losses on the derivative instrument representing either hedge ineffectiveness or hedge components excluded from the assessment of effectiveness are recognized in current earnings.</w:t>
      </w:r>
    </w:p>
    <w:p>
      <w:pPr>
        <w:spacing w:after="0" w:line="169"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Interest rate swaps with notional amounts totaling $70.0 million as of September 30, 2019 were designated as cash flow hedges to hedge the risk of variability in cash flows (future interest payments) attributable to changes in the contractually specified 3 month LIBOR benchmark interest rate on the Company’s junior subordinated debt owed to unconsolidated trusts and were determined to be fully effective during the period. As such, no amount of ineffectiveness has been included in net income. The aggregate fair value of the swaps of $0.8 million is recorded in other liabilities in the unaudited consolidated financial statements at September 30, 2019, with changes in fair value recorded in other comprehensive income. The Company expects the hedges to remain fully effective during the remaining terms of the swaps.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interest-rate swaps designated as cash flow hedges is presented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jc w:val="right"/>
              <w:ind w:right="400"/>
              <w:spacing w:after="0"/>
              <w:rPr>
                <w:sz w:val="20"/>
                <w:szCs w:val="20"/>
                <w:color w:val="auto"/>
              </w:rPr>
            </w:pPr>
            <w:r>
              <w:rPr>
                <w:rFonts w:ascii="Arial" w:cs="Arial" w:eastAsia="Arial" w:hAnsi="Arial"/>
                <w:sz w:val="14"/>
                <w:szCs w:val="14"/>
                <w:b w:val="1"/>
                <w:bCs w:val="1"/>
                <w:color w:val="auto"/>
              </w:rPr>
              <w:t>September 30, 2019</w:t>
            </w:r>
          </w:p>
        </w:tc>
        <w:tc>
          <w:tcPr>
            <w:tcW w:w="800" w:type="dxa"/>
            <w:vAlign w:val="bottom"/>
          </w:tcPr>
          <w:p>
            <w:pPr>
              <w:spacing w:after="0"/>
              <w:rPr>
                <w:sz w:val="16"/>
                <w:szCs w:val="16"/>
                <w:color w:val="auto"/>
              </w:rPr>
            </w:pPr>
          </w:p>
        </w:tc>
        <w:tc>
          <w:tcPr>
            <w:tcW w:w="23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2018</w:t>
            </w:r>
          </w:p>
        </w:tc>
      </w:tr>
      <w:tr>
        <w:trPr>
          <w:trHeight w:val="196"/>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Notional amount</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8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Weighted average fixed pay rates</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1.80</w:t>
            </w:r>
          </w:p>
        </w:tc>
        <w:tc>
          <w:tcPr>
            <w:tcW w:w="8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2360" w:type="dxa"/>
            <w:vAlign w:val="bottom"/>
            <w:gridSpan w:val="2"/>
          </w:tcPr>
          <w:p>
            <w:pPr>
              <w:ind w:left="1640"/>
              <w:spacing w:after="0"/>
              <w:rPr>
                <w:sz w:val="20"/>
                <w:szCs w:val="20"/>
                <w:color w:val="auto"/>
              </w:rPr>
            </w:pPr>
            <w:r>
              <w:rPr>
                <w:rFonts w:ascii="Arial" w:cs="Arial" w:eastAsia="Arial" w:hAnsi="Arial"/>
                <w:sz w:val="16"/>
                <w:szCs w:val="16"/>
                <w:color w:val="auto"/>
              </w:rPr>
              <w:t>— %</w:t>
            </w:r>
          </w:p>
        </w:tc>
      </w:tr>
      <w:tr>
        <w:trPr>
          <w:trHeight w:val="203"/>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receive rates</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8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2360" w:type="dxa"/>
            <w:vAlign w:val="bottom"/>
            <w:gridSpan w:val="2"/>
            <w:shd w:val="clear" w:color="auto" w:fill="CCEEFF"/>
          </w:tcPr>
          <w:p>
            <w:pPr>
              <w:ind w:left="1640"/>
              <w:spacing w:after="0"/>
              <w:rPr>
                <w:sz w:val="20"/>
                <w:szCs w:val="20"/>
                <w:color w:val="auto"/>
              </w:rPr>
            </w:pPr>
            <w:r>
              <w:rPr>
                <w:rFonts w:ascii="Arial" w:cs="Arial" w:eastAsia="Arial" w:hAnsi="Arial"/>
                <w:sz w:val="16"/>
                <w:szCs w:val="16"/>
                <w:color w:val="auto"/>
              </w:rPr>
              <w:t>—  %</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Weighted average maturity</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2"/>
          </w:tcPr>
          <w:p>
            <w:pPr>
              <w:jc w:val="right"/>
              <w:ind w:right="519"/>
              <w:spacing w:after="0"/>
              <w:rPr>
                <w:sz w:val="20"/>
                <w:szCs w:val="20"/>
                <w:color w:val="auto"/>
              </w:rPr>
            </w:pPr>
            <w:r>
              <w:rPr>
                <w:rFonts w:ascii="Arial" w:cs="Arial" w:eastAsia="Arial" w:hAnsi="Arial"/>
                <w:sz w:val="16"/>
                <w:szCs w:val="16"/>
                <w:color w:val="auto"/>
              </w:rPr>
              <w:t>4.11 yrs</w:t>
            </w:r>
          </w:p>
        </w:tc>
        <w:tc>
          <w:tcPr>
            <w:tcW w:w="2360" w:type="dxa"/>
            <w:vAlign w:val="bottom"/>
            <w:gridSpan w:val="2"/>
          </w:tcPr>
          <w:p>
            <w:pPr>
              <w:ind w:left="1640"/>
              <w:spacing w:after="0"/>
              <w:rPr>
                <w:sz w:val="20"/>
                <w:szCs w:val="20"/>
                <w:color w:val="auto"/>
              </w:rPr>
            </w:pPr>
            <w:r>
              <w:rPr>
                <w:rFonts w:ascii="Arial" w:cs="Arial" w:eastAsia="Arial" w:hAnsi="Arial"/>
                <w:sz w:val="16"/>
                <w:szCs w:val="16"/>
                <w:color w:val="auto"/>
              </w:rPr>
              <w:t>— yrs</w:t>
            </w:r>
          </w:p>
        </w:tc>
      </w:tr>
      <w:tr>
        <w:trPr>
          <w:trHeight w:val="203"/>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(losses)</w:t>
            </w:r>
          </w:p>
        </w:tc>
        <w:tc>
          <w:tcPr>
            <w:tcW w:w="62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360" w:type="dxa"/>
            <w:vAlign w:val="bottom"/>
            <w:gridSpan w:val="2"/>
            <w:shd w:val="clear" w:color="auto" w:fill="CCEEFF"/>
          </w:tcPr>
          <w:p>
            <w:pPr>
              <w:ind w:left="1640"/>
              <w:spacing w:after="0"/>
              <w:rPr>
                <w:sz w:val="20"/>
                <w:szCs w:val="20"/>
                <w:color w:val="auto"/>
              </w:rPr>
            </w:pPr>
            <w:r>
              <w:rPr>
                <w:rFonts w:ascii="Arial" w:cs="Arial" w:eastAsia="Arial" w:hAnsi="Arial"/>
                <w:sz w:val="16"/>
                <w:szCs w:val="16"/>
                <w:color w:val="auto"/>
              </w:rPr>
              <w:t>—</w:t>
            </w:r>
          </w:p>
        </w:tc>
      </w:tr>
    </w:tbl>
    <w:p>
      <w:pPr>
        <w:spacing w:after="0" w:line="21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Interest income (expense) recorded on these swap transactions were insignificant during the three and nine months ended September 30, 2019. The Company expects $0.1 million of the unrealized gain to be reclassified from Other Comprehensive Income (“OCI”) to interest expense during the next 12 months. </w:t>
      </w:r>
      <w:r>
        <w:rPr>
          <w:rFonts w:ascii="Arial" w:cs="Arial" w:eastAsia="Arial" w:hAnsi="Arial"/>
          <w:sz w:val="18"/>
          <w:szCs w:val="18"/>
          <w:color w:val="212529"/>
        </w:rPr>
        <w:t>This reclassified amount could differ from amounts actually</w:t>
      </w:r>
      <w:r>
        <w:rPr>
          <w:rFonts w:ascii="Arial" w:cs="Arial" w:eastAsia="Arial" w:hAnsi="Arial"/>
          <w:sz w:val="18"/>
          <w:szCs w:val="18"/>
          <w:color w:val="auto"/>
        </w:rPr>
        <w:t xml:space="preserve"> </w:t>
      </w:r>
      <w:r>
        <w:rPr>
          <w:rFonts w:ascii="Arial" w:cs="Arial" w:eastAsia="Arial" w:hAnsi="Arial"/>
          <w:sz w:val="18"/>
          <w:szCs w:val="18"/>
          <w:color w:val="212529"/>
        </w:rPr>
        <w:t>recognized due to changes in interest rates, hedge de-designations and the addition of other hedges subsequent to September 30, 2019.</w:t>
      </w:r>
    </w:p>
    <w:p>
      <w:pPr>
        <w:spacing w:after="0" w:line="20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 xml:space="preserve">The following table presents the net gains (losses) recorded in accumulated other comprehensive income and the unaudited Consolidated Statements of Income relating to cash flow derivative instruments for the periods presented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Amount of (gain) loss</w:t>
            </w:r>
          </w:p>
        </w:tc>
        <w:tc>
          <w:tcPr>
            <w:tcW w:w="2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Amount of (gain) loss</w:t>
            </w:r>
          </w:p>
        </w:tc>
        <w:tc>
          <w:tcPr>
            <w:tcW w:w="640" w:type="dxa"/>
            <w:vAlign w:val="bottom"/>
          </w:tcPr>
          <w:p>
            <w:pPr>
              <w:spacing w:after="0"/>
              <w:rPr>
                <w:sz w:val="17"/>
                <w:szCs w:val="17"/>
                <w:color w:val="auto"/>
              </w:rPr>
            </w:pPr>
          </w:p>
        </w:tc>
        <w:tc>
          <w:tcPr>
            <w:tcW w:w="1920" w:type="dxa"/>
            <w:vAlign w:val="bottom"/>
          </w:tcPr>
          <w:p>
            <w:pPr>
              <w:jc w:val="center"/>
              <w:ind w:right="99"/>
              <w:spacing w:after="0"/>
              <w:rPr>
                <w:sz w:val="20"/>
                <w:szCs w:val="20"/>
                <w:color w:val="auto"/>
              </w:rPr>
            </w:pPr>
            <w:r>
              <w:rPr>
                <w:rFonts w:ascii="Arial" w:cs="Arial" w:eastAsia="Arial" w:hAnsi="Arial"/>
                <w:sz w:val="16"/>
                <w:szCs w:val="16"/>
                <w:color w:val="auto"/>
                <w:w w:val="93"/>
              </w:rPr>
              <w:t>Amount of (gain) loss</w:t>
            </w:r>
          </w:p>
        </w:tc>
        <w:tc>
          <w:tcPr>
            <w:tcW w:w="180" w:type="dxa"/>
            <w:vAlign w:val="bottom"/>
          </w:tcPr>
          <w:p>
            <w:pPr>
              <w:spacing w:after="0"/>
              <w:rPr>
                <w:sz w:val="17"/>
                <w:szCs w:val="17"/>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recognized in other non-</w:t>
            </w: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recognized in OCI</w:t>
            </w:r>
          </w:p>
        </w:tc>
        <w:tc>
          <w:tcPr>
            <w:tcW w:w="640" w:type="dxa"/>
            <w:vAlign w:val="bottom"/>
          </w:tcPr>
          <w:p>
            <w:pPr>
              <w:spacing w:after="0"/>
              <w:rPr>
                <w:sz w:val="17"/>
                <w:szCs w:val="17"/>
                <w:color w:val="auto"/>
              </w:rPr>
            </w:pPr>
          </w:p>
        </w:tc>
        <w:tc>
          <w:tcPr>
            <w:tcW w:w="1920" w:type="dxa"/>
            <w:vAlign w:val="bottom"/>
          </w:tcPr>
          <w:p>
            <w:pPr>
              <w:jc w:val="center"/>
              <w:ind w:right="99"/>
              <w:spacing w:after="0"/>
              <w:rPr>
                <w:sz w:val="20"/>
                <w:szCs w:val="20"/>
                <w:color w:val="auto"/>
              </w:rPr>
            </w:pPr>
            <w:r>
              <w:rPr>
                <w:rFonts w:ascii="Arial" w:cs="Arial" w:eastAsia="Arial" w:hAnsi="Arial"/>
                <w:sz w:val="16"/>
                <w:szCs w:val="16"/>
                <w:color w:val="auto"/>
                <w:w w:val="94"/>
              </w:rPr>
              <w:t>reclassified from OCI to</w:t>
            </w:r>
          </w:p>
        </w:tc>
        <w:tc>
          <w:tcPr>
            <w:tcW w:w="180" w:type="dxa"/>
            <w:vAlign w:val="bottom"/>
          </w:tcPr>
          <w:p>
            <w:pPr>
              <w:spacing w:after="0"/>
              <w:rPr>
                <w:sz w:val="17"/>
                <w:szCs w:val="17"/>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interest income</w:t>
            </w:r>
          </w:p>
        </w:tc>
      </w:tr>
      <w:tr>
        <w:trPr>
          <w:trHeight w:val="209"/>
        </w:trPr>
        <w:tc>
          <w:tcPr>
            <w:tcW w:w="20" w:type="dxa"/>
            <w:vAlign w:val="bottom"/>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(effective portion)</w:t>
            </w:r>
          </w:p>
        </w:tc>
        <w:tc>
          <w:tcPr>
            <w:tcW w:w="6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0"/>
              </w:rPr>
              <w:t>interest income</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(ineffective portion)</w:t>
            </w:r>
          </w:p>
        </w:tc>
        <w:tc>
          <w:tcPr>
            <w:tcW w:w="220" w:type="dxa"/>
            <w:vAlign w:val="bottom"/>
            <w:tcBorders>
              <w:bottom w:val="single" w:sz="8" w:color="CCEEFF"/>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Interest rate contracts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ind w:left="1480"/>
              <w:spacing w:after="0"/>
              <w:rPr>
                <w:sz w:val="20"/>
                <w:szCs w:val="20"/>
                <w:color w:val="auto"/>
              </w:rPr>
            </w:pPr>
            <w:r>
              <w:rPr>
                <w:rFonts w:ascii="Arial" w:cs="Arial" w:eastAsia="Arial" w:hAnsi="Arial"/>
                <w:sz w:val="16"/>
                <w:szCs w:val="16"/>
                <w:color w:val="auto"/>
              </w:rPr>
              <w:t>—</w:t>
            </w:r>
          </w:p>
        </w:tc>
      </w:tr>
      <w:tr>
        <w:trPr>
          <w:trHeight w:val="473"/>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Nine Months Ended September 30, 2019</w:t>
            </w: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Amount of (gain) loss</w:t>
            </w:r>
          </w:p>
        </w:tc>
        <w:tc>
          <w:tcPr>
            <w:tcW w:w="2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Amount of (gain) loss</w:t>
            </w:r>
          </w:p>
        </w:tc>
        <w:tc>
          <w:tcPr>
            <w:tcW w:w="640" w:type="dxa"/>
            <w:vAlign w:val="bottom"/>
          </w:tcPr>
          <w:p>
            <w:pPr>
              <w:spacing w:after="0"/>
              <w:rPr>
                <w:sz w:val="17"/>
                <w:szCs w:val="17"/>
                <w:color w:val="auto"/>
              </w:rPr>
            </w:pPr>
          </w:p>
        </w:tc>
        <w:tc>
          <w:tcPr>
            <w:tcW w:w="1920" w:type="dxa"/>
            <w:vAlign w:val="bottom"/>
          </w:tcPr>
          <w:p>
            <w:pPr>
              <w:jc w:val="center"/>
              <w:ind w:right="99"/>
              <w:spacing w:after="0"/>
              <w:rPr>
                <w:sz w:val="20"/>
                <w:szCs w:val="20"/>
                <w:color w:val="auto"/>
              </w:rPr>
            </w:pPr>
            <w:r>
              <w:rPr>
                <w:rFonts w:ascii="Arial" w:cs="Arial" w:eastAsia="Arial" w:hAnsi="Arial"/>
                <w:sz w:val="16"/>
                <w:szCs w:val="16"/>
                <w:color w:val="auto"/>
                <w:w w:val="93"/>
              </w:rPr>
              <w:t>Amount of (gain) loss</w:t>
            </w:r>
          </w:p>
        </w:tc>
        <w:tc>
          <w:tcPr>
            <w:tcW w:w="180" w:type="dxa"/>
            <w:vAlign w:val="bottom"/>
          </w:tcPr>
          <w:p>
            <w:pPr>
              <w:spacing w:after="0"/>
              <w:rPr>
                <w:sz w:val="17"/>
                <w:szCs w:val="17"/>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recognized in other non-</w:t>
            </w: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recognized in OCI</w:t>
            </w:r>
          </w:p>
        </w:tc>
        <w:tc>
          <w:tcPr>
            <w:tcW w:w="640" w:type="dxa"/>
            <w:vAlign w:val="bottom"/>
          </w:tcPr>
          <w:p>
            <w:pPr>
              <w:spacing w:after="0"/>
              <w:rPr>
                <w:sz w:val="17"/>
                <w:szCs w:val="17"/>
                <w:color w:val="auto"/>
              </w:rPr>
            </w:pPr>
          </w:p>
        </w:tc>
        <w:tc>
          <w:tcPr>
            <w:tcW w:w="1920" w:type="dxa"/>
            <w:vAlign w:val="bottom"/>
          </w:tcPr>
          <w:p>
            <w:pPr>
              <w:jc w:val="center"/>
              <w:ind w:right="99"/>
              <w:spacing w:after="0"/>
              <w:rPr>
                <w:sz w:val="20"/>
                <w:szCs w:val="20"/>
                <w:color w:val="auto"/>
              </w:rPr>
            </w:pPr>
            <w:r>
              <w:rPr>
                <w:rFonts w:ascii="Arial" w:cs="Arial" w:eastAsia="Arial" w:hAnsi="Arial"/>
                <w:sz w:val="16"/>
                <w:szCs w:val="16"/>
                <w:color w:val="auto"/>
                <w:w w:val="94"/>
              </w:rPr>
              <w:t>reclassified from OCI to</w:t>
            </w:r>
          </w:p>
        </w:tc>
        <w:tc>
          <w:tcPr>
            <w:tcW w:w="180" w:type="dxa"/>
            <w:vAlign w:val="bottom"/>
          </w:tcPr>
          <w:p>
            <w:pPr>
              <w:spacing w:after="0"/>
              <w:rPr>
                <w:sz w:val="17"/>
                <w:szCs w:val="17"/>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interest income</w:t>
            </w:r>
          </w:p>
        </w:tc>
      </w:tr>
      <w:tr>
        <w:trPr>
          <w:trHeight w:val="209"/>
        </w:trPr>
        <w:tc>
          <w:tcPr>
            <w:tcW w:w="20" w:type="dxa"/>
            <w:vAlign w:val="bottom"/>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(effective portion)</w:t>
            </w:r>
          </w:p>
        </w:tc>
        <w:tc>
          <w:tcPr>
            <w:tcW w:w="6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0"/>
              </w:rPr>
              <w:t>interest income</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(ineffective portion)</w:t>
            </w:r>
          </w:p>
        </w:tc>
        <w:tc>
          <w:tcPr>
            <w:tcW w:w="220" w:type="dxa"/>
            <w:vAlign w:val="bottom"/>
            <w:tcBorders>
              <w:bottom w:val="single" w:sz="8" w:color="CCEEFF"/>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Interest rate contracts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ind w:left="1480"/>
              <w:spacing w:after="0"/>
              <w:rPr>
                <w:sz w:val="20"/>
                <w:szCs w:val="20"/>
                <w:color w:val="auto"/>
              </w:rPr>
            </w:pPr>
            <w:r>
              <w:rPr>
                <w:rFonts w:ascii="Arial" w:cs="Arial" w:eastAsia="Arial" w:hAnsi="Arial"/>
                <w:sz w:val="16"/>
                <w:szCs w:val="16"/>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 pledged $0.8 million in cash to secure its obligation under these contracts at September 30, 2019.</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i w:val="1"/>
          <w:iCs w:val="1"/>
          <w:color w:val="auto"/>
        </w:rPr>
        <w:t>Interest Rate Lock Commitments</w:t>
      </w:r>
      <w:r>
        <w:rPr>
          <w:rFonts w:ascii="Arial" w:cs="Arial" w:eastAsia="Arial" w:hAnsi="Arial"/>
          <w:sz w:val="17"/>
          <w:szCs w:val="17"/>
          <w:color w:val="auto"/>
        </w:rPr>
        <w:t>. At September 30, 2019 and December 31, 2018, the Company had issued $135.6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$27.2 million, respectively, of unexpired interest rate lock commitments to loan customers. Such interest rate lock commitments that meet the definition of derivative financial instruments under ASC Topic 815, Derivatives and Hedging, are carried at their fair values in other assets or other liabilities in the unaudited consolidated financial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statements, with changes in the fair values of the corresponding derivative financial assets or liabilities recorded as either a charge or credit to current earnings during the period in which the changes occurred.</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i w:val="1"/>
          <w:iCs w:val="1"/>
          <w:color w:val="auto"/>
        </w:rPr>
        <w:t>Forward Sales Commitments</w:t>
      </w:r>
      <w:r>
        <w:rPr>
          <w:rFonts w:ascii="Arial" w:cs="Arial" w:eastAsia="Arial" w:hAnsi="Arial"/>
          <w:sz w:val="17"/>
          <w:szCs w:val="17"/>
          <w:color w:val="auto"/>
        </w:rPr>
        <w:t>. At September 30, 2019 and December 31, 2018, the Company had issued $189.5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$48.6 million, respectively, of unexpired forward sales commitments to mortgage loan 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unaudited consolidated financial statements. While such forward sales commitments generally served as an economic hedge to the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91"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 xml:space="preserve">The fair values of derivative assets and liabilities related to interest rate lock commitments and forward sales commitments recorded in the unaudited Consolidated Balance Sheets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8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3"/>
              </w:rPr>
              <w:t>September 30, 2019</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December 31, 2018</w:t>
            </w:r>
          </w:p>
        </w:tc>
      </w:tr>
      <w:tr>
        <w:trPr>
          <w:trHeight w:val="223"/>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1,182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20" w:type="dxa"/>
            <w:vAlign w:val="bottom"/>
          </w:tcPr>
          <w:p>
            <w:pPr>
              <w:spacing w:after="0"/>
              <w:rPr>
                <w:sz w:val="20"/>
                <w:szCs w:val="20"/>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1,707</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1,205</w:t>
            </w:r>
          </w:p>
        </w:tc>
      </w:tr>
    </w:tbl>
    <w:p>
      <w:pPr>
        <w:spacing w:after="0" w:line="214"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 xml:space="preserve">The gross gains and losses on these derivative assets and liabilities related to interest rate lock commitments and forward sales commitments recorded in non-interest income and expense in the unaudited Consolidated Statements of Income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90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2"/>
              </w:rPr>
              <w:t>Three Months Ended 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16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r>
      <w:tr>
        <w:trPr>
          <w:trHeight w:val="223"/>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1,655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4,662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80" w:type="dxa"/>
            <w:vAlign w:val="bottom"/>
            <w:shd w:val="clear" w:color="auto" w:fill="CCEEFF"/>
          </w:tcPr>
          <w:p>
            <w:pPr>
              <w:spacing w:after="0"/>
              <w:rPr>
                <w:sz w:val="19"/>
                <w:szCs w:val="19"/>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Gross (losses)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(1,706)</w:t>
            </w:r>
          </w:p>
        </w:tc>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(4,773)</w:t>
            </w:r>
          </w:p>
        </w:tc>
        <w:tc>
          <w:tcPr>
            <w:tcW w:w="3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(2,669)</w:t>
            </w:r>
          </w:p>
        </w:tc>
      </w:tr>
      <w:tr>
        <w:trPr>
          <w:trHeight w:val="223"/>
        </w:trPr>
        <w:tc>
          <w:tcPr>
            <w:tcW w:w="16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gains (losses)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(111)</w:t>
            </w:r>
          </w:p>
        </w:tc>
        <w:tc>
          <w:tcPr>
            <w:tcW w:w="3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61"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i w:val="1"/>
          <w:iCs w:val="1"/>
          <w:color w:val="auto"/>
        </w:rPr>
        <w:t xml:space="preserve">Interest Rate Swaps Not Designated as Hedges. </w:t>
      </w:r>
      <w:r>
        <w:rPr>
          <w:rFonts w:ascii="Arial" w:cs="Arial" w:eastAsia="Arial" w:hAnsi="Arial"/>
          <w:sz w:val="17"/>
          <w:szCs w:val="17"/>
          <w:color w:val="auto"/>
        </w:rPr>
        <w:t>The Company may offer derivative contracts to its customers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their risk management needs. The Company manages the risk associated with these contracts by entering into an equal and offsetting derivative with a third-party dealer. With notional values of $511.4 million and $243.7 million at September 30, 2019 and December 31, 2018, respectively, these contracts support variable rate, commercial loan relationships totaling $255.7 million and $121.8 million,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9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The fair values of derivative assets and liabilities related to derivatives for customers for interest rate swaps recorded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176"/>
              <w:spacing w:after="0"/>
              <w:rPr>
                <w:sz w:val="20"/>
                <w:szCs w:val="20"/>
                <w:color w:val="auto"/>
              </w:rPr>
            </w:pPr>
            <w:r>
              <w:rPr>
                <w:rFonts w:ascii="Arial" w:cs="Arial" w:eastAsia="Arial" w:hAnsi="Arial"/>
                <w:sz w:val="14"/>
                <w:szCs w:val="14"/>
                <w:b w:val="1"/>
                <w:bCs w:val="1"/>
                <w:color w:val="auto"/>
                <w:w w:val="97"/>
              </w:rPr>
              <w:t>September 30, 2019</w:t>
            </w:r>
          </w:p>
        </w:tc>
        <w:tc>
          <w:tcPr>
            <w:tcW w:w="380" w:type="dxa"/>
            <w:vAlign w:val="bottom"/>
          </w:tcPr>
          <w:p>
            <w:pPr>
              <w:spacing w:after="0"/>
              <w:rPr>
                <w:sz w:val="16"/>
                <w:szCs w:val="16"/>
                <w:color w:val="auto"/>
              </w:rPr>
            </w:pPr>
          </w:p>
        </w:tc>
        <w:tc>
          <w:tcPr>
            <w:tcW w:w="24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920" w:type="dxa"/>
            <w:vAlign w:val="bottom"/>
          </w:tcPr>
          <w:p>
            <w:pPr>
              <w:spacing w:after="0"/>
              <w:rPr>
                <w:sz w:val="19"/>
                <w:szCs w:val="19"/>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4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16,643</w:t>
            </w:r>
          </w:p>
        </w:tc>
        <w:tc>
          <w:tcPr>
            <w:tcW w:w="3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90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56"/>
              <w:spacing w:after="0"/>
              <w:rPr>
                <w:sz w:val="20"/>
                <w:szCs w:val="20"/>
                <w:color w:val="auto"/>
              </w:rPr>
            </w:pPr>
            <w:r>
              <w:rPr>
                <w:rFonts w:ascii="Arial" w:cs="Arial" w:eastAsia="Arial" w:hAnsi="Arial"/>
                <w:sz w:val="18"/>
                <w:szCs w:val="18"/>
                <w:color w:val="auto"/>
              </w:rPr>
              <w:t>16,643</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1,438</w:t>
            </w:r>
          </w:p>
        </w:tc>
        <w:tc>
          <w:tcPr>
            <w:tcW w:w="900" w:type="dxa"/>
            <w:vAlign w:val="bottom"/>
          </w:tcPr>
          <w:p>
            <w:pPr>
              <w:spacing w:after="0"/>
              <w:rPr>
                <w:sz w:val="20"/>
                <w:szCs w:val="20"/>
                <w:color w:val="auto"/>
              </w:rPr>
            </w:pPr>
          </w:p>
        </w:tc>
      </w:tr>
      <w:tr>
        <w:trPr>
          <w:trHeight w:val="877"/>
        </w:trPr>
        <w:tc>
          <w:tcPr>
            <w:tcW w:w="9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rPr>
              <w:t>35</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0" w:right="1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 xml:space="preserve">The gross gains and losses on these derivative assets and liabilities recorded in non-interest income and non-interest expense in the unaudited Consolidated Statements of Income are summarized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160" w:type="dxa"/>
            <w:vAlign w:val="bottom"/>
          </w:tcPr>
          <w:p>
            <w:pPr>
              <w:spacing w:after="0"/>
              <w:rPr>
                <w:sz w:val="16"/>
                <w:szCs w:val="16"/>
                <w:color w:val="auto"/>
              </w:rPr>
            </w:pPr>
          </w:p>
        </w:tc>
        <w:tc>
          <w:tcPr>
            <w:tcW w:w="246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20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23"/>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4,695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15,205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Gross losses</w:t>
            </w:r>
          </w:p>
        </w:tc>
        <w:tc>
          <w:tcPr>
            <w:tcW w:w="14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(4,695)</w:t>
            </w:r>
          </w:p>
        </w:tc>
        <w:tc>
          <w:tcPr>
            <w:tcW w:w="3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(15,205)</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23"/>
        </w:trPr>
        <w:tc>
          <w:tcPr>
            <w:tcW w:w="2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(losses)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pledged $18.6 million and $1.0 million in cash to secure its obligation under these contracts at September 30, 2019 and December 31, 2018,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Fair Value Measurement,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access at the measurement date.</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 xml:space="preserve">Level 2 Inputs </w:t>
      </w:r>
      <w:r>
        <w:rPr>
          <w:rFonts w:ascii="Arial" w:cs="Arial" w:eastAsia="Arial" w:hAnsi="Arial"/>
          <w:sz w:val="17"/>
          <w:szCs w:val="17"/>
          <w:color w:val="auto"/>
        </w:rPr>
        <w:t>- Inputs other than quoted prices included in level 1 that are observable for the asset or liability, either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8"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i w:val="1"/>
          <w:iCs w:val="1"/>
          <w:color w:val="auto"/>
        </w:rPr>
        <w:t xml:space="preserve">Level 3 Inputs </w:t>
      </w:r>
      <w:r>
        <w:rPr>
          <w:rFonts w:ascii="Arial" w:cs="Arial" w:eastAsia="Arial" w:hAnsi="Arial"/>
          <w:sz w:val="17"/>
          <w:szCs w:val="17"/>
          <w:color w:val="auto"/>
        </w:rPr>
        <w:t>- Unobservable inputs for determining the fair values of assets or liabilities that reflect the Company’s own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about the assumptions that market participants would use in pricing the assets or liabilities.</w:t>
      </w:r>
    </w:p>
    <w:p>
      <w:pPr>
        <w:spacing w:after="0" w:line="16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9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82"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 xml:space="preserve">Debt securities available for sale. </w:t>
      </w:r>
      <w:r>
        <w:rPr>
          <w:rFonts w:ascii="Arial" w:cs="Arial" w:eastAsia="Arial" w:hAnsi="Arial"/>
          <w:sz w:val="18"/>
          <w:szCs w:val="18"/>
          <w:color w:val="auto"/>
        </w:rPr>
        <w:t>Debt securities available for sale are reported at fair value utilizing level 2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83"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77" w:lineRule="exact"/>
        <w:rPr>
          <w:sz w:val="20"/>
          <w:szCs w:val="20"/>
          <w:color w:val="auto"/>
        </w:rPr>
      </w:pPr>
    </w:p>
    <w:p>
      <w:pPr>
        <w:jc w:val="both"/>
        <w:ind w:right="240"/>
        <w:spacing w:after="0" w:line="243"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Equity securities are reported at fair value utilizing level 1 or level 2 measurements. For mutual funds,</w:t>
      </w:r>
      <w:r>
        <w:rPr>
          <w:rFonts w:ascii="Arial" w:cs="Arial" w:eastAsia="Arial" w:hAnsi="Arial"/>
          <w:sz w:val="18"/>
          <w:szCs w:val="18"/>
          <w:i w:val="1"/>
          <w:iCs w:val="1"/>
          <w:color w:val="auto"/>
        </w:rPr>
        <w:t xml:space="preserve"> </w:t>
      </w:r>
      <w:r>
        <w:rPr>
          <w:rFonts w:ascii="Arial" w:cs="Arial" w:eastAsia="Arial" w:hAnsi="Arial"/>
          <w:sz w:val="18"/>
          <w:szCs w:val="18"/>
          <w:color w:val="auto"/>
        </w:rPr>
        <w:t>unadjusted quoted prices in active markets for identical assets are utilized to determine fair value at the measurement date and have been classified as level 1. For stock, quoted prices for identical or similar assets in markets that are not active are utilized and classified as level 2.</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reported at fair value utilizing level 2 measurements.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held for sale are measured using observable quoted market or contract prices or market price equivalents and are classified as level 2.</w:t>
      </w:r>
    </w:p>
    <w:p>
      <w:pPr>
        <w:spacing w:after="0" w:line="19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Derivative Assets and Derivative Liabilities</w:t>
      </w:r>
      <w:r>
        <w:rPr>
          <w:rFonts w:ascii="Arial" w:cs="Arial" w:eastAsia="Arial" w:hAnsi="Arial"/>
          <w:sz w:val="17"/>
          <w:szCs w:val="17"/>
          <w:color w:val="auto"/>
        </w:rPr>
        <w:t>. Derivative assets and derivative liabilities are reported at fair value utilizing</w:t>
      </w:r>
      <w:r>
        <w:rPr>
          <w:rFonts w:ascii="Arial" w:cs="Arial" w:eastAsia="Arial" w:hAnsi="Arial"/>
          <w:sz w:val="17"/>
          <w:szCs w:val="17"/>
          <w:i w:val="1"/>
          <w:iCs w:val="1"/>
          <w:color w:val="auto"/>
        </w:rPr>
        <w:t xml:space="preserve"> </w:t>
      </w:r>
      <w:r>
        <w:rPr>
          <w:rFonts w:ascii="Arial" w:cs="Arial" w:eastAsia="Arial" w:hAnsi="Arial"/>
          <w:sz w:val="17"/>
          <w:szCs w:val="17"/>
          <w:color w:val="auto"/>
        </w:rPr>
        <w:t>level 2 measurements. The fair value of derivative assets and liabilities is determined based on prices that are obtained from a third-party which uses observable market inputs. Derivative assets and liabilities are classified as level 2.</w:t>
      </w:r>
    </w:p>
    <w:p>
      <w:pPr>
        <w:spacing w:after="0" w:line="178"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color w:val="auto"/>
        </w:rPr>
        <w:t xml:space="preserve">The following table summarizes financial assets and financial liabilities measured at fair value on a recurring basis, segregated by the level of the valuation inputs within the fair value hierarchy utilized to measure fair value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60" w:type="dxa"/>
            <w:vAlign w:val="bottom"/>
          </w:tcPr>
          <w:p>
            <w:pPr>
              <w:jc w:val="center"/>
              <w:ind w:left="399"/>
              <w:spacing w:after="0"/>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8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960" w:type="dxa"/>
            <w:vAlign w:val="bottom"/>
          </w:tcPr>
          <w:p>
            <w:pPr>
              <w:jc w:val="center"/>
              <w:ind w:left="399"/>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20" w:type="dxa"/>
            <w:vAlign w:val="bottom"/>
          </w:tcPr>
          <w:p>
            <w:pPr>
              <w:spacing w:after="0"/>
              <w:rPr>
                <w:sz w:val="19"/>
                <w:szCs w:val="19"/>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9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96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51,651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51,651</w:t>
            </w: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2"/>
              </w:rPr>
              <w:t>Obligations of U.S. government corporations and agencies</w:t>
            </w: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205,613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205,613</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9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269,062</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269,062</w:t>
            </w: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123,568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123,568</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9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926,387</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926,387</w:t>
            </w: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124,724</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124,724</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9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5,690</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5,690</w:t>
            </w: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70,345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70,345</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9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17,825</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17,825</w:t>
            </w: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19,177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19,177</w:t>
            </w:r>
          </w:p>
        </w:tc>
      </w:tr>
      <w:tr>
        <w:trPr>
          <w:trHeight w:val="87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960" w:type="dxa"/>
            <w:vAlign w:val="bottom"/>
          </w:tcPr>
          <w:p>
            <w:pPr>
              <w:jc w:val="right"/>
              <w:ind w:right="599"/>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30"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85"/>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25,411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25,411</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 agencies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52,342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52,342</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170,044</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170,044</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1,942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315,748</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315,748</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132,198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132,198</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6,169</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6,169</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25,895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25,895</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3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2,062</w:t>
            </w: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2,062</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2,643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r>
    </w:tbl>
    <w:p>
      <w:pPr>
        <w:spacing w:after="0" w:line="21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96"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i w:val="1"/>
          <w:iCs w:val="1"/>
          <w:color w:val="auto"/>
        </w:rPr>
        <w:t>Impaired Loans</w:t>
      </w:r>
      <w:r>
        <w:rPr>
          <w:rFonts w:ascii="Arial" w:cs="Arial" w:eastAsia="Arial" w:hAnsi="Arial"/>
          <w:sz w:val="16"/>
          <w:szCs w:val="16"/>
          <w:color w:val="auto"/>
        </w:rPr>
        <w:t>. The Company does not record portfolio loans at fair value on a recurring basis. However, periodically, a</w:t>
      </w:r>
      <w:r>
        <w:rPr>
          <w:rFonts w:ascii="Arial" w:cs="Arial" w:eastAsia="Arial" w:hAnsi="Arial"/>
          <w:sz w:val="16"/>
          <w:szCs w:val="16"/>
          <w:i w:val="1"/>
          <w:iCs w:val="1"/>
          <w:color w:val="auto"/>
        </w:rPr>
        <w:t xml:space="preserve"> </w:t>
      </w:r>
      <w:r>
        <w:rPr>
          <w:rFonts w:ascii="Arial" w:cs="Arial" w:eastAsia="Arial" w:hAnsi="Arial"/>
          <w:sz w:val="16"/>
          <w:szCs w:val="16"/>
          <w:color w:val="auto"/>
        </w:rPr>
        <w:t>loan is identified as impaired and is reported at 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w:t>
      </w:r>
    </w:p>
    <w:p>
      <w:pPr>
        <w:spacing w:after="0" w:line="176"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Non-financial assets and non-financial liabilities measured at fair value include OREO (upon initial recognition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impairment). OREO properties are measured using a combination of observable inputs, including recent appraisals, and unobservable inputs. Due to the significance of the unobservable inputs, all OREO fair values have been classified as level 3.</w:t>
      </w:r>
    </w:p>
    <w:p>
      <w:pPr>
        <w:spacing w:after="0" w:line="202"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i w:val="1"/>
          <w:iCs w:val="1"/>
          <w:color w:val="auto"/>
        </w:rPr>
        <w:t xml:space="preserve">Bank Property Held for Sale. </w:t>
      </w:r>
      <w:r>
        <w:rPr>
          <w:rFonts w:ascii="Arial" w:cs="Arial" w:eastAsia="Arial" w:hAnsi="Arial"/>
          <w:sz w:val="18"/>
          <w:szCs w:val="18"/>
          <w:color w:val="auto"/>
        </w:rPr>
        <w:t>Bank property held for sale represents certain banking center office buildings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closed and consolidated with other existing banking centers. Bank property held for sale is measured at the lower of amortized cost or fair value less estimated costs to sell. The fair values were based upon discounted appraisals or real estate listing price. Due to the significance of the unobservable inputs, all bank property held for sale fair values have been classified as level 3.</w:t>
      </w:r>
    </w:p>
    <w:p>
      <w:pPr>
        <w:spacing w:after="0" w:line="203"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 xml:space="preserve">The following table summarizes assets and liabilities measured at fair value on a non-recurring basis,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5"/>
                <w:szCs w:val="15"/>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Inputs</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Inputs</w:t>
            </w: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Inputs</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2019</w:t>
            </w: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Impaired loans</w:t>
            </w:r>
          </w:p>
        </w:tc>
        <w:tc>
          <w:tcPr>
            <w:tcW w:w="164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6,917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1,832</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Impaired loans</w:t>
            </w: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10,999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1,832</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38</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30"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54"/>
              <w:spacing w:after="0" w:line="160" w:lineRule="exact"/>
              <w:rPr>
                <w:sz w:val="20"/>
                <w:szCs w:val="20"/>
                <w:color w:val="auto"/>
              </w:rPr>
            </w:pPr>
            <w:r>
              <w:rPr>
                <w:rFonts w:ascii="Arial" w:cs="Arial" w:eastAsia="Arial" w:hAnsi="Arial"/>
                <w:sz w:val="14"/>
                <w:szCs w:val="14"/>
                <w:b w:val="1"/>
                <w:bCs w:val="1"/>
                <w:color w:val="auto"/>
                <w:w w:val="92"/>
              </w:rPr>
              <w:t>Fair Value</w:t>
            </w:r>
          </w:p>
        </w:tc>
        <w:tc>
          <w:tcPr>
            <w:tcW w:w="19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Valuation</w:t>
            </w:r>
          </w:p>
        </w:tc>
        <w:tc>
          <w:tcPr>
            <w:tcW w:w="20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Unobservable</w:t>
            </w:r>
          </w:p>
        </w:tc>
        <w:tc>
          <w:tcPr>
            <w:tcW w:w="1300" w:type="dxa"/>
            <w:vAlign w:val="bottom"/>
          </w:tcPr>
          <w:p>
            <w:pPr>
              <w:jc w:val="center"/>
              <w:ind w:left="573"/>
              <w:spacing w:after="0" w:line="160" w:lineRule="exact"/>
              <w:rPr>
                <w:sz w:val="20"/>
                <w:szCs w:val="20"/>
                <w:color w:val="auto"/>
              </w:rPr>
            </w:pPr>
            <w:r>
              <w:rPr>
                <w:rFonts w:ascii="Arial" w:cs="Arial" w:eastAsia="Arial" w:hAnsi="Arial"/>
                <w:sz w:val="14"/>
                <w:szCs w:val="14"/>
                <w:b w:val="1"/>
                <w:bCs w:val="1"/>
                <w:color w:val="auto"/>
                <w:w w:val="93"/>
              </w:rPr>
              <w:t>Range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9"/>
              </w:rPr>
              <w:t>Estimate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Input</w:t>
            </w: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Impaired loans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6,917</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ind w:left="140"/>
              <w:spacing w:after="0"/>
              <w:rPr>
                <w:sz w:val="20"/>
                <w:szCs w:val="20"/>
                <w:color w:val="auto"/>
              </w:rPr>
            </w:pPr>
            <w:r>
              <w:rPr>
                <w:rFonts w:ascii="Arial" w:cs="Arial" w:eastAsia="Arial" w:hAnsi="Arial"/>
                <w:sz w:val="18"/>
                <w:szCs w:val="18"/>
                <w:color w:val="auto"/>
              </w:rPr>
              <w:t>Appraisal adjustments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- 5.6 % to - 100.0 %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(-39.2)%</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OREO</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55</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jc w:val="center"/>
              <w:ind w:right="34"/>
              <w:spacing w:after="0"/>
              <w:rPr>
                <w:sz w:val="20"/>
                <w:szCs w:val="20"/>
                <w:color w:val="auto"/>
              </w:rPr>
            </w:pPr>
            <w:r>
              <w:rPr>
                <w:rFonts w:ascii="Arial" w:cs="Arial" w:eastAsia="Arial" w:hAnsi="Arial"/>
                <w:sz w:val="18"/>
                <w:szCs w:val="18"/>
                <w:color w:val="auto"/>
                <w:w w:val="90"/>
              </w:rPr>
              <w:t>Appraisal adjustments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- 25.0 % to - 100.0 %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(-65.0)%</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2"/>
              </w:rPr>
              <w:t>Bank property held for sale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1,832</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or real estate listing</w:t>
            </w:r>
          </w:p>
        </w:tc>
        <w:tc>
          <w:tcPr>
            <w:tcW w:w="2080" w:type="dxa"/>
            <w:vAlign w:val="bottom"/>
          </w:tcPr>
          <w:p>
            <w:pPr>
              <w:ind w:left="140"/>
              <w:spacing w:after="0"/>
              <w:rPr>
                <w:sz w:val="20"/>
                <w:szCs w:val="20"/>
                <w:color w:val="auto"/>
              </w:rPr>
            </w:pPr>
            <w:r>
              <w:rPr>
                <w:rFonts w:ascii="Arial" w:cs="Arial" w:eastAsia="Arial" w:hAnsi="Arial"/>
                <w:sz w:val="18"/>
                <w:szCs w:val="18"/>
                <w:color w:val="auto"/>
              </w:rPr>
              <w:t>Appraisal adjustments</w:t>
            </w:r>
          </w:p>
        </w:tc>
        <w:tc>
          <w:tcPr>
            <w:tcW w:w="1300" w:type="dxa"/>
            <w:vAlign w:val="bottom"/>
          </w:tcPr>
          <w:p>
            <w:pPr>
              <w:ind w:left="380"/>
              <w:spacing w:after="0"/>
              <w:rPr>
                <w:sz w:val="20"/>
                <w:szCs w:val="20"/>
                <w:color w:val="auto"/>
              </w:rPr>
            </w:pPr>
            <w:r>
              <w:rPr>
                <w:rFonts w:ascii="Arial" w:cs="Arial" w:eastAsia="Arial" w:hAnsi="Arial"/>
                <w:sz w:val="18"/>
                <w:szCs w:val="18"/>
                <w:color w:val="auto"/>
              </w:rPr>
              <w:t>- 0.0 % to</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- 35.1 %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(-28.3)%</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Impaired loans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10,999</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ind w:left="140"/>
              <w:spacing w:after="0"/>
              <w:rPr>
                <w:sz w:val="20"/>
                <w:szCs w:val="20"/>
                <w:color w:val="auto"/>
              </w:rPr>
            </w:pPr>
            <w:r>
              <w:rPr>
                <w:rFonts w:ascii="Arial" w:cs="Arial" w:eastAsia="Arial" w:hAnsi="Arial"/>
                <w:sz w:val="18"/>
                <w:szCs w:val="18"/>
                <w:color w:val="auto"/>
              </w:rPr>
              <w:t>Appraisal adjustments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- 3.3 % to - 100.0 %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(-24.1)%</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OREO</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55</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jc w:val="center"/>
              <w:ind w:right="34"/>
              <w:spacing w:after="0"/>
              <w:rPr>
                <w:sz w:val="20"/>
                <w:szCs w:val="20"/>
                <w:color w:val="auto"/>
              </w:rPr>
            </w:pPr>
            <w:r>
              <w:rPr>
                <w:rFonts w:ascii="Arial" w:cs="Arial" w:eastAsia="Arial" w:hAnsi="Arial"/>
                <w:sz w:val="18"/>
                <w:szCs w:val="18"/>
                <w:color w:val="auto"/>
                <w:w w:val="90"/>
              </w:rPr>
              <w:t>Appraisal adjustments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- 25.0 % to - 100.0 %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(-65.0)%</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2"/>
              </w:rPr>
              <w:t>Bank property held for sale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1,832</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or real estate listing</w:t>
            </w:r>
          </w:p>
        </w:tc>
        <w:tc>
          <w:tcPr>
            <w:tcW w:w="2080" w:type="dxa"/>
            <w:vAlign w:val="bottom"/>
          </w:tcPr>
          <w:p>
            <w:pPr>
              <w:ind w:left="140"/>
              <w:spacing w:after="0"/>
              <w:rPr>
                <w:sz w:val="20"/>
                <w:szCs w:val="20"/>
                <w:color w:val="auto"/>
              </w:rPr>
            </w:pPr>
            <w:r>
              <w:rPr>
                <w:rFonts w:ascii="Arial" w:cs="Arial" w:eastAsia="Arial" w:hAnsi="Arial"/>
                <w:sz w:val="18"/>
                <w:szCs w:val="18"/>
                <w:color w:val="auto"/>
              </w:rPr>
              <w:t>Appraisal adjustments</w:t>
            </w:r>
          </w:p>
        </w:tc>
        <w:tc>
          <w:tcPr>
            <w:tcW w:w="1300" w:type="dxa"/>
            <w:vAlign w:val="bottom"/>
          </w:tcPr>
          <w:p>
            <w:pPr>
              <w:ind w:left="380"/>
              <w:spacing w:after="0"/>
              <w:rPr>
                <w:sz w:val="20"/>
                <w:szCs w:val="20"/>
                <w:color w:val="auto"/>
              </w:rPr>
            </w:pPr>
            <w:r>
              <w:rPr>
                <w:rFonts w:ascii="Arial" w:cs="Arial" w:eastAsia="Arial" w:hAnsi="Arial"/>
                <w:sz w:val="18"/>
                <w:szCs w:val="18"/>
                <w:color w:val="auto"/>
              </w:rPr>
              <w:t>- 0.0 % to</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- 35.1 %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3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2"/>
              </w:rPr>
              <w:t>(-28.3)%</w:t>
            </w: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00" w:type="dxa"/>
            <w:vAlign w:val="bottom"/>
          </w:tcPr>
          <w:p>
            <w:pPr>
              <w:jc w:val="right"/>
              <w:ind w:right="314"/>
              <w:spacing w:after="0"/>
              <w:rPr>
                <w:sz w:val="20"/>
                <w:szCs w:val="20"/>
                <w:color w:val="auto"/>
              </w:rPr>
            </w:pPr>
            <w:r>
              <w:rPr>
                <w:rFonts w:ascii="Arial" w:cs="Arial" w:eastAsia="Arial" w:hAnsi="Arial"/>
                <w:sz w:val="18"/>
                <w:szCs w:val="18"/>
                <w:color w:val="auto"/>
              </w:rPr>
              <w:t>39</w:t>
            </w:r>
          </w:p>
        </w:tc>
        <w:tc>
          <w:tcPr>
            <w:tcW w:w="2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30" w:right="1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color w:val="auto"/>
        </w:rPr>
        <w:t xml:space="preserve">The estimated fair values of financial instruments that are reported at amortized cost in the Company’s unaudited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September 30, 2019</w:t>
            </w:r>
          </w:p>
        </w:tc>
        <w:tc>
          <w:tcPr>
            <w:tcW w:w="3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233"/>
              <w:spacing w:after="0" w:line="160"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920" w:type="dxa"/>
            <w:vAlign w:val="bottom"/>
          </w:tcPr>
          <w:p>
            <w:pPr>
              <w:jc w:val="right"/>
              <w:ind w:right="372"/>
              <w:spacing w:after="0" w:line="160"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940" w:type="dxa"/>
            <w:vAlign w:val="bottom"/>
          </w:tcPr>
          <w:p>
            <w:pPr>
              <w:jc w:val="right"/>
              <w:ind w:right="233"/>
              <w:spacing w:after="0" w:line="160"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840" w:type="dxa"/>
            <w:vAlign w:val="bottom"/>
          </w:tcPr>
          <w:p>
            <w:pPr>
              <w:jc w:val="right"/>
              <w:ind w:right="272"/>
              <w:spacing w:after="0" w:line="16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Level 1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525,457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525,457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239,973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Level 2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 held to maturity</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15,170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15,399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608,660</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29,408</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29,408</w:t>
            </w:r>
          </w:p>
        </w:tc>
        <w:tc>
          <w:tcPr>
            <w:tcW w:w="30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22,314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Portfolio loans,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6,616,450</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6,630,255</w:t>
            </w:r>
          </w:p>
        </w:tc>
        <w:tc>
          <w:tcPr>
            <w:tcW w:w="30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4"/>
              </w:rPr>
              <w:t>5,517,780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5,473,063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servicing rights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9,276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11,410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3,315</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Other servicing rights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1,039</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1,676</w:t>
            </w:r>
          </w:p>
        </w:tc>
        <w:tc>
          <w:tcPr>
            <w:tcW w:w="30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781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1,652,971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1,654,955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4"/>
              </w:rPr>
              <w:t>1,497,003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1,482,301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sold under agreements to repurchase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202,500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202,500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185,796</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29,739</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29,835</w:t>
            </w:r>
          </w:p>
        </w:tc>
        <w:tc>
          <w:tcPr>
            <w:tcW w:w="30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85,106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85,238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w w:val="92"/>
              </w:rPr>
              <w:t>Junior subordinated debt owed to unconsolidated trusts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71,269</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73,292</w:t>
            </w:r>
          </w:p>
        </w:tc>
        <w:tc>
          <w:tcPr>
            <w:tcW w:w="30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71,155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7,487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7,487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6,568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Level 3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 net of unamortized issuance costs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39,640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40,144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39,539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w w:val="92"/>
              </w:rPr>
              <w:t>Subordinated notes, net of unamortized issuance costs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59,222</w:t>
            </w:r>
          </w:p>
        </w:tc>
        <w:tc>
          <w:tcPr>
            <w:tcW w:w="30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60,971</w:t>
            </w:r>
          </w:p>
        </w:tc>
        <w:tc>
          <w:tcPr>
            <w:tcW w:w="300" w:type="dxa"/>
            <w:vAlign w:val="bottom"/>
          </w:tcPr>
          <w:p>
            <w:pPr>
              <w:spacing w:after="0"/>
              <w:rPr>
                <w:sz w:val="20"/>
                <w:szCs w:val="20"/>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59,147</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58,186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 detailed description of the valuation methodologies used in estimating the fair value of financial instruments is set forth in the Company’s 2018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Leases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operating leases consisting primarily of equipment leases and real estate leases. The Company leases real estate property for bank branches, ATM locations, and office space with terms extending through 2032. As of September 30, 2019, the Company reported $10.0 million of right-of-use asset and $10.1 million lease liability in its unaudited Consolidated Balance Sheets.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tables represents lease costs and other lease information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5"/>
                <w:szCs w:val="15"/>
                <w:color w:val="auto"/>
              </w:rPr>
            </w:pPr>
          </w:p>
        </w:tc>
        <w:tc>
          <w:tcPr>
            <w:tcW w:w="1820" w:type="dxa"/>
            <w:vAlign w:val="bottom"/>
          </w:tcPr>
          <w:p>
            <w:pPr>
              <w:jc w:val="right"/>
              <w:ind w:right="3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46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Lease Costs</w:t>
            </w:r>
          </w:p>
        </w:tc>
        <w:tc>
          <w:tcPr>
            <w:tcW w:w="240" w:type="dxa"/>
            <w:vAlign w:val="bottom"/>
          </w:tcPr>
          <w:p>
            <w:pPr>
              <w:spacing w:after="0"/>
              <w:rPr>
                <w:sz w:val="13"/>
                <w:szCs w:val="13"/>
                <w:color w:val="auto"/>
              </w:rPr>
            </w:pPr>
          </w:p>
        </w:tc>
        <w:tc>
          <w:tcPr>
            <w:tcW w:w="20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1"/>
              </w:rPr>
              <w:t>September 30, 2019</w:t>
            </w:r>
          </w:p>
        </w:tc>
        <w:tc>
          <w:tcPr>
            <w:tcW w:w="260" w:type="dxa"/>
            <w:vAlign w:val="bottom"/>
          </w:tcPr>
          <w:p>
            <w:pPr>
              <w:spacing w:after="0"/>
              <w:rPr>
                <w:sz w:val="13"/>
                <w:szCs w:val="13"/>
                <w:color w:val="auto"/>
              </w:rPr>
            </w:pPr>
          </w:p>
        </w:tc>
        <w:tc>
          <w:tcPr>
            <w:tcW w:w="1820" w:type="dxa"/>
            <w:vAlign w:val="bottom"/>
          </w:tcPr>
          <w:p>
            <w:pPr>
              <w:jc w:val="right"/>
              <w:ind w:right="353"/>
              <w:spacing w:after="0" w:line="158" w:lineRule="exact"/>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Variable lease costs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Other information</w:t>
            </w: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w w:val="96"/>
              </w:rPr>
              <w:t>Cash paid for amounts included in the measurement of lease</w:t>
            </w: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gridSpan w:val="3"/>
          </w:tcPr>
          <w:p>
            <w:pPr>
              <w:ind w:left="1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cash flows – Fixed payments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Operating lease cash flows – Liability reduction</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3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Right of use assets obtained during the period in exchange for</w:t>
            </w:r>
          </w:p>
        </w:tc>
        <w:tc>
          <w:tcPr>
            <w:tcW w:w="240" w:type="dxa"/>
            <w:vAlign w:val="bottom"/>
            <w:shd w:val="clear" w:color="auto" w:fill="CCEEFF"/>
          </w:tcPr>
          <w:p>
            <w:pPr>
              <w:spacing w:after="0"/>
              <w:rPr>
                <w:sz w:val="20"/>
                <w:szCs w:val="20"/>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4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Weighted average lease term (in years)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0"/>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At September 30, 2019, the Company was obligated under noncancelable operating leases for office space and other commitments. Rent expense under operating leases, included in net occupancy and equipment expense, was $0.8 million and $0.6 million for the three months ended September 30, 2019 and 2018, respectively. Rent expense under operating leases, included in net occupancy and equipment expense, was $2.2 million and $1.9 million for the nine months ended September 30, 2019 and 2018,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Rent commitments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2,386</w:t>
            </w: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1,375</w:t>
            </w: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3,895</w:t>
            </w: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Amounts representing interest</w:t>
            </w:r>
          </w:p>
        </w:tc>
        <w:tc>
          <w:tcPr>
            <w:tcW w:w="520" w:type="dxa"/>
            <w:vAlign w:val="bottom"/>
            <w:tcBorders>
              <w:bottom w:val="single" w:sz="8" w:color="auto"/>
            </w:tcBorders>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Present value of net future minimum lease payments</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10,101</w:t>
            </w:r>
          </w:p>
        </w:tc>
      </w:tr>
      <w:tr>
        <w:trPr>
          <w:trHeight w:val="20"/>
        </w:trPr>
        <w:tc>
          <w:tcPr>
            <w:tcW w:w="6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following is management’s discussion and analysis of the financial condition as of September 30, 2019 (unaudited), as compared with December 31, 2018, and the results of operations for the three and nine months ended September 30, 2019 (unaudited), as compared to the three and nine months ended September 30, 2018 (unaudited). Management’s discussion and analysis should be read in conjunction with the Company’s unaudited consolidated financial statements and notes thereto appearing elsewhere in this Quarterly Report on Form 10-Q, as well as the Company’s 2018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Company reported net income for the third quarter of 2019 of $24.8 million, or $0.45 per diluted common share, as compared to $24.1 million, or $0.43 per diluted common share, for the second quarter of 2019 and $26.9 million, or $0.55 per diluted common share, for the third quarter of 2018. Adjusted net income</w:t>
      </w:r>
      <w:r>
        <w:rPr>
          <w:rFonts w:ascii="Arial" w:cs="Arial" w:eastAsia="Arial" w:hAnsi="Arial"/>
          <w:sz w:val="26"/>
          <w:szCs w:val="26"/>
          <w:color w:val="auto"/>
          <w:vertAlign w:val="superscript"/>
        </w:rPr>
        <w:t>(1)</w:t>
      </w:r>
      <w:r>
        <w:rPr>
          <w:rFonts w:ascii="Arial" w:cs="Arial" w:eastAsia="Arial" w:hAnsi="Arial"/>
          <w:sz w:val="17"/>
          <w:szCs w:val="17"/>
          <w:color w:val="auto"/>
        </w:rPr>
        <w:t xml:space="preserve"> for the third quarter of 2019 was $30.5 million, or $0.55 per diluted common share, as compared to $29.5 million, or $0.53 per diluted common share, for the second quarter of 2019 and $27.0 million, or $0.55 per diluted common share, for the third quarter of 2018.</w:t>
      </w:r>
    </w:p>
    <w:p>
      <w:pPr>
        <w:spacing w:after="0" w:line="202"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Year-to-date net income through September 30, 2019 was $74.4 million, or $1.35 per diluted common share, compared to net income of $73.6 million, or $1.50 per diluted common share, for the comparable period of 2018. Year-to-date adjusted net income</w:t>
      </w:r>
      <w:r>
        <w:rPr>
          <w:rFonts w:ascii="Arial" w:cs="Arial" w:eastAsia="Arial" w:hAnsi="Arial"/>
          <w:sz w:val="27"/>
          <w:szCs w:val="27"/>
          <w:color w:val="auto"/>
          <w:vertAlign w:val="superscript"/>
        </w:rPr>
        <w:t>(1)</w:t>
      </w:r>
      <w:r>
        <w:rPr>
          <w:rFonts w:ascii="Arial" w:cs="Arial" w:eastAsia="Arial" w:hAnsi="Arial"/>
          <w:sz w:val="18"/>
          <w:szCs w:val="18"/>
          <w:color w:val="auto"/>
        </w:rPr>
        <w:t xml:space="preserve"> for the first nine months of 2019 was $86.6 million, or $1.57 per diluted common share, compared to $77.5 million, or $1.58 per diluted common share for the first nine months of 2018.</w:t>
      </w:r>
    </w:p>
    <w:p>
      <w:pPr>
        <w:spacing w:after="0" w:line="205"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The Company views certain non-operating items, including acquisition-related and restructuring charges, as adjustments to net income reported under GAAP. Non-operating pretax adjustments for the third quarter of 2019 were $7.0 million of expenses related to acquisitions and $0.7 million of expenses related to other restructuring costs. The reconciliation of non-GAAP measures (including adjusted net income, adjusted return on average assets, adjusted net interest margin, adjusted efficiency ratio, tangible book value, tangible book value per share and return on average tangible common equity), which the Company believes facilitates the assessment of its financial results and peer comparability, is included in tabular form in this Quarterly Report on Form 10-Q in the “Non-GAAP Financial Information” section.</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January 31, 2019, the Company completed its acquisition of Banc Ed, the holding company for TheBANK. First Busey operated TheBANK as a separate subsidiary from the completion of the acquisition until October 4, 2019, when it was merged with and into Busey Bank. At that time, TheBANK’s banking centers became banking centers of Busey Bank. When we completed the Banc Ed acquisition, we reset the baseline for the future financial performance of First Busey in a multitude of positive ways. With TheBANK now merged and integrated, we expect to see the full contribution and synergies of TheBANK reflected in the Company’s financial performance in the quarters ahead.</w:t>
      </w:r>
    </w:p>
    <w:p>
      <w:pPr>
        <w:spacing w:after="0" w:line="18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On October 4, 2019, in addition to TheBANK being merged into Busey Bank, the Company partnered with a new core provider. The core conversion positions the combined organization for future growth. Strategic process improvements and investments in technology platforms will allow the Company to serve customers more efficiently and effectively for years to come.</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On August 31, 2019, the Company completed the previously announced acquisition by Busey Bank of IST, a Fort Myers, Florida wealth management firm, which had $471.1 million in assets under care. Through this transaction, Busey Bank and IST broaden the expertise and raise the level of service available to clients—from individuals and families to institutions and foundations—and remain committed to their founding principles of being active community stewards and providing the highest level of personal service to clients delivered by experienced, local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4408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54" w:lineRule="exact"/>
        <w:rPr>
          <w:sz w:val="20"/>
          <w:szCs w:val="20"/>
          <w:color w:val="auto"/>
        </w:rPr>
      </w:pPr>
    </w:p>
    <w:p>
      <w:pPr>
        <w:ind w:left="340" w:right="280" w:hanging="331"/>
        <w:spacing w:after="0" w:line="200" w:lineRule="auto"/>
        <w:tabs>
          <w:tab w:leader="none" w:pos="34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For a reconciliation of adjusted net income, a non-GAAP financial measure, see “Non-GAAP Financial Information”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 addition to the successful integration of these acquisitions, we are pleased to report net organic loan growth of $137.3 million in the third quarter, with total portfolio loans increasing to $6.67 billion at September 30, 2019 from $6.53 billion at June 30, 2019. This is the result of focused initiatives and effort on the part of our associates across our markets and was accomplished while maintaining our conservative credit principles.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 xml:space="preserve">The Company reported non-performing loans of $33.1 million at September 30, 2019 and June 30, 2019 as compared to $36.6 million at December 31, 2018. Non-performing loans were 0.50% of total portfolio loans as of September 30, 2019 compared to 0.51% as of June 30, 2019 and 0.66% as of December 31, 2018. With a continued commitment to asset quality and the strength of our balance sheet, near-term loan losses are expected to remain generally low. While these results are encouraging, asset quality metrics can be generally influenced by market-specific economic conditions, and specific measures may fluctuate from period to period. The key metrics are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jc w:val="right"/>
              <w:ind w:right="234"/>
              <w:spacing w:after="0" w:line="160" w:lineRule="exact"/>
              <w:rPr>
                <w:sz w:val="20"/>
                <w:szCs w:val="20"/>
                <w:color w:val="auto"/>
              </w:rPr>
            </w:pPr>
            <w:r>
              <w:rPr>
                <w:rFonts w:ascii="Arial" w:cs="Arial" w:eastAsia="Arial" w:hAnsi="Arial"/>
                <w:sz w:val="14"/>
                <w:szCs w:val="14"/>
                <w:b w:val="1"/>
                <w:bCs w:val="1"/>
                <w:color w:val="auto"/>
                <w:w w:val="96"/>
              </w:rPr>
              <w:t>September 30,</w:t>
            </w:r>
          </w:p>
        </w:tc>
        <w:tc>
          <w:tcPr>
            <w:tcW w:w="1180" w:type="dxa"/>
            <w:vAlign w:val="bottom"/>
          </w:tcPr>
          <w:p>
            <w:pPr>
              <w:jc w:val="right"/>
              <w:ind w:right="334"/>
              <w:spacing w:after="0" w:line="160"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180" w:type="dxa"/>
            <w:vAlign w:val="bottom"/>
          </w:tcPr>
          <w:p>
            <w:pPr>
              <w:jc w:val="right"/>
              <w:ind w:right="233"/>
              <w:spacing w:after="0" w:line="160" w:lineRule="exact"/>
              <w:rPr>
                <w:sz w:val="20"/>
                <w:szCs w:val="20"/>
                <w:color w:val="auto"/>
              </w:rPr>
            </w:pPr>
            <w:r>
              <w:rPr>
                <w:rFonts w:ascii="Arial" w:cs="Arial" w:eastAsia="Arial" w:hAnsi="Arial"/>
                <w:sz w:val="14"/>
                <w:szCs w:val="14"/>
                <w:b w:val="1"/>
                <w:bCs w:val="1"/>
                <w:color w:val="auto"/>
                <w:w w:val="92"/>
              </w:rPr>
              <w:t>December 31,</w:t>
            </w:r>
          </w:p>
        </w:tc>
        <w:tc>
          <w:tcPr>
            <w:tcW w:w="1300" w:type="dxa"/>
            <w:vAlign w:val="bottom"/>
          </w:tcPr>
          <w:p>
            <w:pPr>
              <w:jc w:val="right"/>
              <w:ind w:right="233"/>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20" w:type="dxa"/>
            <w:vAlign w:val="bottom"/>
            <w:gridSpan w:val="2"/>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3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w:t>
            </w:r>
          </w:p>
        </w:tc>
        <w:tc>
          <w:tcPr>
            <w:tcW w:w="3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7"/>
              </w:rPr>
              <w:t>$  6,669,415</w:t>
            </w:r>
          </w:p>
        </w:tc>
        <w:tc>
          <w:tcPr>
            <w:tcW w:w="11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8"/>
              </w:rPr>
              <w:t>$ 6,532,126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5,568,428</w:t>
            </w:r>
          </w:p>
        </w:tc>
        <w:tc>
          <w:tcPr>
            <w:tcW w:w="130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7"/>
              </w:rPr>
              <w:t>$  5,623,741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620" w:type="dxa"/>
            <w:vAlign w:val="bottom"/>
            <w:gridSpan w:val="2"/>
          </w:tcPr>
          <w:p>
            <w:pPr>
              <w:jc w:val="right"/>
              <w:ind w:right="174"/>
              <w:spacing w:after="0"/>
              <w:rPr>
                <w:sz w:val="20"/>
                <w:szCs w:val="20"/>
                <w:color w:val="auto"/>
              </w:rPr>
            </w:pPr>
            <w:r>
              <w:rPr>
                <w:rFonts w:ascii="Arial" w:cs="Arial" w:eastAsia="Arial" w:hAnsi="Arial"/>
                <w:sz w:val="18"/>
                <w:szCs w:val="18"/>
                <w:color w:val="auto"/>
              </w:rPr>
              <w:t>52,965</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51,375</w:t>
            </w:r>
          </w:p>
        </w:tc>
        <w:tc>
          <w:tcPr>
            <w:tcW w:w="12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50,648</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52,743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162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12,434</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18,040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7,121</w:t>
            </w:r>
          </w:p>
        </w:tc>
        <w:tc>
          <w:tcPr>
            <w:tcW w:w="13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Non-performing loans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Non-accrual loans</w:t>
            </w:r>
          </w:p>
        </w:tc>
        <w:tc>
          <w:tcPr>
            <w:tcW w:w="162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31,827</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32,816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34,997</w:t>
            </w:r>
          </w:p>
        </w:tc>
        <w:tc>
          <w:tcPr>
            <w:tcW w:w="13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40,395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Loans 90+ days past due</w:t>
            </w:r>
          </w:p>
        </w:tc>
        <w:tc>
          <w:tcPr>
            <w:tcW w:w="1620" w:type="dxa"/>
            <w:vAlign w:val="bottom"/>
            <w:gridSpan w:val="2"/>
          </w:tcPr>
          <w:p>
            <w:pPr>
              <w:jc w:val="right"/>
              <w:ind w:right="174"/>
              <w:spacing w:after="0"/>
              <w:rPr>
                <w:sz w:val="20"/>
                <w:szCs w:val="20"/>
                <w:color w:val="auto"/>
              </w:rPr>
            </w:pPr>
            <w:r>
              <w:rPr>
                <w:rFonts w:ascii="Arial" w:cs="Arial" w:eastAsia="Arial" w:hAnsi="Arial"/>
                <w:sz w:val="18"/>
                <w:szCs w:val="18"/>
                <w:color w:val="auto"/>
              </w:rPr>
              <w:t>1,276</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1,601</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33,103</w:t>
            </w:r>
          </w:p>
        </w:tc>
        <w:tc>
          <w:tcPr>
            <w:tcW w:w="11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33,074</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36,598</w:t>
            </w:r>
          </w:p>
        </w:tc>
        <w:tc>
          <w:tcPr>
            <w:tcW w:w="13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40,759</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Other non-performing assets</w:t>
            </w:r>
          </w:p>
        </w:tc>
        <w:tc>
          <w:tcPr>
            <w:tcW w:w="16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926</w:t>
            </w:r>
          </w:p>
        </w:tc>
        <w:tc>
          <w:tcPr>
            <w:tcW w:w="118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936</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376</w:t>
            </w:r>
          </w:p>
        </w:tc>
        <w:tc>
          <w:tcPr>
            <w:tcW w:w="130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34,029</w:t>
            </w:r>
          </w:p>
        </w:tc>
        <w:tc>
          <w:tcPr>
            <w:tcW w:w="11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34,010</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36,974</w:t>
            </w:r>
          </w:p>
        </w:tc>
        <w:tc>
          <w:tcPr>
            <w:tcW w:w="13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41,852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tcPr>
          <w:p>
            <w:pPr>
              <w:spacing w:after="0"/>
              <w:rPr>
                <w:sz w:val="20"/>
                <w:szCs w:val="20"/>
                <w:color w:val="auto"/>
              </w:rPr>
            </w:pPr>
            <w:r>
              <w:rPr>
                <w:rFonts w:ascii="Arial" w:cs="Arial" w:eastAsia="Arial" w:hAnsi="Arial"/>
                <w:sz w:val="18"/>
                <w:szCs w:val="18"/>
                <w:color w:val="auto"/>
                <w:w w:val="99"/>
              </w:rPr>
              <w:t>Allowance as a percentage of non-performing</w:t>
            </w: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rPr>
              <w:t>160.0 %</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155.3 %</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138.4 %</w:t>
            </w:r>
          </w:p>
        </w:tc>
        <w:tc>
          <w:tcPr>
            <w:tcW w:w="1300" w:type="dxa"/>
            <w:vAlign w:val="bottom"/>
            <w:vMerge w:val="restart"/>
          </w:tcPr>
          <w:p>
            <w:pPr>
              <w:jc w:val="right"/>
              <w:ind w:right="13"/>
              <w:spacing w:after="0"/>
              <w:rPr>
                <w:sz w:val="20"/>
                <w:szCs w:val="20"/>
                <w:color w:val="auto"/>
              </w:rPr>
            </w:pPr>
            <w:r>
              <w:rPr>
                <w:rFonts w:ascii="Arial" w:cs="Arial" w:eastAsia="Arial" w:hAnsi="Arial"/>
                <w:sz w:val="18"/>
                <w:szCs w:val="18"/>
                <w:color w:val="auto"/>
              </w:rPr>
              <w:t>129.4 %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loans</w:t>
            </w:r>
          </w:p>
        </w:tc>
        <w:tc>
          <w:tcPr>
            <w:tcW w:w="16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portfolio loans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0.91 %</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 at September 30, 2019</w:t>
      </w:r>
    </w:p>
    <w:p>
      <w:pPr>
        <w:spacing w:after="0" w:line="22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Busey Bank has 44 banking centers serving Illinois. Our Illinois markets of Champaign, Macon, McLean, and Peoria counties and Southwest Chicago feature several Fortune 1000 companies. Those organizations, coupled with large healthcare and higher education sectors, anchor the communities in which they are located and have provided a comparatively stable foundation for housing, employment and small business. TheBANK had 17 banking centers in Southern Illinois, which became banking centers of Busey Bank on October 4, 2019. The financial condition of the state of Illinois, in which the largest portion of the Company’s customer base resides, is characterized by low credit ratings and budget deficits.</w:t>
      </w:r>
    </w:p>
    <w:p>
      <w:pPr>
        <w:spacing w:after="0" w:line="20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Busey Bank has 13 banking centers serving the St. Louis metropolitan area, all of which are located in the city of St. Louis or the adjacent counties of St. Louis County and St. Charles County. The bi-state metropolitan area includes seven counties in Missouri and eight counties in Illinois; therefore, the Company’s geographic concentration in only three of these 15 counties gives the Company expansion opportunities into neighboring counties. St. Louis has a diverse economy with major employment sectors including health care, financial services, professional and business services, and retail.</w:t>
      </w:r>
    </w:p>
    <w:p>
      <w:pPr>
        <w:spacing w:after="0" w:line="14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Busey Bank has five banking centers in southwest Florida, which has experienced job growth and an expanded housing market over the last several years.</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Busey Bank has one banking center in the Indianapolis, Indiana area. Indianapolis is the most populous city of Indiana with a diverse economy and it is headquarters to many large corporations.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39"/>
        <w:spacing w:after="0" w:line="24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202" w:lineRule="exact"/>
        <w:rPr>
          <w:sz w:val="20"/>
          <w:szCs w:val="20"/>
          <w:color w:val="auto"/>
        </w:rPr>
      </w:pPr>
    </w:p>
    <w:p>
      <w:pPr>
        <w:ind w:right="79"/>
        <w:spacing w:after="0" w:line="25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an income tax rate of 21%.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61" w:lineRule="exact"/>
        <w:rPr>
          <w:sz w:val="20"/>
          <w:szCs w:val="20"/>
          <w:color w:val="auto"/>
        </w:rPr>
      </w:pPr>
    </w:p>
    <w:p>
      <w:pPr>
        <w:ind w:right="99"/>
        <w:spacing w:after="0" w:line="294" w:lineRule="auto"/>
        <w:rPr>
          <w:sz w:val="20"/>
          <w:szCs w:val="20"/>
          <w:color w:val="auto"/>
        </w:rPr>
      </w:pPr>
      <w:r>
        <w:rPr>
          <w:rFonts w:ascii="Arial" w:cs="Arial" w:eastAsia="Arial" w:hAnsi="Arial"/>
          <w:sz w:val="16"/>
          <w:szCs w:val="16"/>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All average information is provided on a daily average basis.</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120"/>
              <w:spacing w:after="0"/>
              <w:rPr>
                <w:sz w:val="20"/>
                <w:szCs w:val="20"/>
                <w:color w:val="auto"/>
              </w:rPr>
            </w:pPr>
            <w:r>
              <w:rPr>
                <w:rFonts w:ascii="Arial" w:cs="Arial" w:eastAsia="Arial" w:hAnsi="Arial"/>
                <w:sz w:val="13"/>
                <w:szCs w:val="13"/>
                <w:b w:val="1"/>
                <w:bCs w:val="1"/>
                <w:color w:val="auto"/>
                <w:w w:val="96"/>
              </w:rPr>
              <w:t>Three Months Ended September 30,</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7"/>
        </w:trPr>
        <w:tc>
          <w:tcPr>
            <w:tcW w:w="2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6"/>
        </w:trPr>
        <w:tc>
          <w:tcPr>
            <w:tcW w:w="2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3"/>
                <w:szCs w:val="13"/>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b w:val="1"/>
                <w:bCs w:val="1"/>
                <w:color w:val="auto"/>
                <w:w w:val="97"/>
              </w:rPr>
              <w:t>Income/</w:t>
            </w:r>
          </w:p>
        </w:tc>
        <w:tc>
          <w:tcPr>
            <w:tcW w:w="200" w:type="dxa"/>
            <w:vAlign w:val="bottom"/>
          </w:tcPr>
          <w:p>
            <w:pPr>
              <w:spacing w:after="0"/>
              <w:rPr>
                <w:sz w:val="13"/>
                <w:szCs w:val="13"/>
                <w:color w:val="auto"/>
              </w:rPr>
            </w:pPr>
          </w:p>
        </w:tc>
        <w:tc>
          <w:tcPr>
            <w:tcW w:w="880" w:type="dxa"/>
            <w:vAlign w:val="bottom"/>
          </w:tcPr>
          <w:p>
            <w:pPr>
              <w:jc w:val="right"/>
              <w:ind w:right="317"/>
              <w:spacing w:after="0"/>
              <w:rPr>
                <w:sz w:val="20"/>
                <w:szCs w:val="20"/>
                <w:color w:val="auto"/>
              </w:rPr>
            </w:pPr>
            <w:r>
              <w:rPr>
                <w:rFonts w:ascii="Arial" w:cs="Arial" w:eastAsia="Arial" w:hAnsi="Arial"/>
                <w:sz w:val="13"/>
                <w:szCs w:val="13"/>
                <w:b w:val="1"/>
                <w:bCs w:val="1"/>
                <w:color w:val="auto"/>
              </w:rPr>
              <w:t>Yield/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Income/</w:t>
            </w:r>
          </w:p>
        </w:tc>
        <w:tc>
          <w:tcPr>
            <w:tcW w:w="920" w:type="dxa"/>
            <w:vAlign w:val="bottom"/>
          </w:tcPr>
          <w:p>
            <w:pPr>
              <w:jc w:val="right"/>
              <w:ind w:right="357"/>
              <w:spacing w:after="0"/>
              <w:rPr>
                <w:sz w:val="20"/>
                <w:szCs w:val="20"/>
                <w:color w:val="auto"/>
              </w:rPr>
            </w:pPr>
            <w:r>
              <w:rPr>
                <w:rFonts w:ascii="Arial" w:cs="Arial" w:eastAsia="Arial" w:hAnsi="Arial"/>
                <w:sz w:val="13"/>
                <w:szCs w:val="13"/>
                <w:b w:val="1"/>
                <w:bCs w:val="1"/>
                <w:color w:val="auto"/>
              </w:rPr>
              <w:t>Yield/</w:t>
            </w:r>
          </w:p>
        </w:tc>
      </w:tr>
      <w:tr>
        <w:trPr>
          <w:trHeight w:val="175"/>
        </w:trPr>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9"/>
              </w:rPr>
              <w:t>Expense</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8"/>
                <w:szCs w:val="18"/>
                <w:b w:val="1"/>
                <w:bCs w:val="1"/>
                <w:color w:val="auto"/>
                <w:vertAlign w:val="superscript"/>
              </w:rPr>
              <w:t>(5)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Expense</w:t>
            </w:r>
          </w:p>
        </w:tc>
        <w:tc>
          <w:tcPr>
            <w:tcW w:w="920" w:type="dxa"/>
            <w:vAlign w:val="bottom"/>
            <w:tcBorders>
              <w:bottom w:val="single" w:sz="8" w:color="auto"/>
            </w:tcBorders>
          </w:tcPr>
          <w:p>
            <w:pPr>
              <w:jc w:val="right"/>
              <w:ind w:right="317"/>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8"/>
                <w:szCs w:val="18"/>
                <w:b w:val="1"/>
                <w:bCs w:val="1"/>
                <w:color w:val="auto"/>
                <w:vertAlign w:val="superscript"/>
              </w:rPr>
              <w:t>(5)</w:t>
            </w:r>
          </w:p>
        </w:tc>
      </w:tr>
      <w:tr>
        <w:trPr>
          <w:trHeight w:val="156"/>
        </w:trPr>
        <w:tc>
          <w:tcPr>
            <w:tcW w:w="30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Interest-bearing bank deposits and federal funds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gridSpan w:val="2"/>
          </w:tcPr>
          <w:p>
            <w:pPr>
              <w:ind w:left="120"/>
              <w:spacing w:after="0"/>
              <w:rPr>
                <w:sz w:val="20"/>
                <w:szCs w:val="20"/>
                <w:color w:val="auto"/>
              </w:rPr>
            </w:pPr>
            <w:r>
              <w:rPr>
                <w:rFonts w:ascii="Arial" w:cs="Arial" w:eastAsia="Arial" w:hAnsi="Arial"/>
                <w:sz w:val="14"/>
                <w:szCs w:val="14"/>
                <w:color w:val="auto"/>
              </w:rPr>
              <w:t>sold</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400,587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2,181</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2.16 %</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134,202</w:t>
            </w:r>
          </w:p>
        </w:tc>
        <w:tc>
          <w:tcPr>
            <w:tcW w:w="200" w:type="dxa"/>
            <w:vAlign w:val="bottom"/>
          </w:tcPr>
          <w:p>
            <w:pPr>
              <w:spacing w:after="0"/>
              <w:rPr>
                <w:sz w:val="15"/>
                <w:szCs w:val="15"/>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649</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1.92 %</w:t>
            </w: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securities: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060" w:type="dxa"/>
            <w:vAlign w:val="bottom"/>
            <w:gridSpan w:val="2"/>
          </w:tcPr>
          <w:p>
            <w:pPr>
              <w:ind w:left="120"/>
              <w:spacing w:after="0"/>
              <w:rPr>
                <w:sz w:val="20"/>
                <w:szCs w:val="20"/>
                <w:color w:val="auto"/>
              </w:rPr>
            </w:pPr>
            <w:r>
              <w:rPr>
                <w:rFonts w:ascii="Arial" w:cs="Arial" w:eastAsia="Arial" w:hAnsi="Arial"/>
                <w:sz w:val="14"/>
                <w:szCs w:val="14"/>
                <w:color w:val="auto"/>
              </w:rPr>
              <w:t>U.S. Government obligations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278,612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1,688</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2.40 %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152,865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632</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1.64 %</w:t>
            </w:r>
          </w:p>
        </w:tc>
      </w:tr>
      <w:tr>
        <w:trPr>
          <w:trHeight w:val="175"/>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Obligations of states and political</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6"/>
        </w:trPr>
        <w:tc>
          <w:tcPr>
            <w:tcW w:w="30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4"/>
                <w:szCs w:val="14"/>
                <w:color w:val="auto"/>
              </w:rPr>
              <w:t>subdivisions</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287,659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2,118</w:t>
            </w:r>
          </w:p>
        </w:tc>
        <w:tc>
          <w:tcPr>
            <w:tcW w:w="10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2.92 %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280,041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2.57 %</w:t>
            </w:r>
          </w:p>
        </w:tc>
      </w:tr>
      <w:tr>
        <w:trPr>
          <w:trHeight w:val="175"/>
        </w:trPr>
        <w:tc>
          <w:tcPr>
            <w:tcW w:w="3060" w:type="dxa"/>
            <w:vAlign w:val="bottom"/>
            <w:gridSpan w:val="2"/>
          </w:tcPr>
          <w:p>
            <w:pPr>
              <w:ind w:left="120"/>
              <w:spacing w:after="0"/>
              <w:rPr>
                <w:sz w:val="20"/>
                <w:szCs w:val="20"/>
                <w:color w:val="auto"/>
              </w:rPr>
            </w:pPr>
            <w:r>
              <w:rPr>
                <w:rFonts w:ascii="Arial" w:cs="Arial" w:eastAsia="Arial" w:hAnsi="Arial"/>
                <w:sz w:val="14"/>
                <w:szCs w:val="14"/>
                <w:color w:val="auto"/>
              </w:rPr>
              <w:t>Other securities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1,213,795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7,936</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2.59 %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984,802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6,384</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2.57 %</w:t>
            </w: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42,418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0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2.79 %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4.39 %</w:t>
            </w:r>
          </w:p>
        </w:tc>
      </w:tr>
      <w:tr>
        <w:trPr>
          <w:trHeight w:val="176"/>
        </w:trPr>
        <w:tc>
          <w:tcPr>
            <w:tcW w:w="306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4"/>
                <w:szCs w:val="14"/>
                <w:color w:val="auto"/>
              </w:rPr>
              <w:t>Portfolio loans</w:t>
            </w:r>
            <w:r>
              <w:rPr>
                <w:rFonts w:ascii="Arial" w:cs="Arial" w:eastAsia="Arial" w:hAnsi="Arial"/>
                <w:sz w:val="20"/>
                <w:szCs w:val="20"/>
                <w:color w:val="auto"/>
                <w:vertAlign w:val="superscript"/>
              </w:rPr>
              <w:t>(1), (2)</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6,558,519</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78,248</w:t>
            </w:r>
          </w:p>
        </w:tc>
        <w:tc>
          <w:tcPr>
            <w:tcW w:w="10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rPr>
              <w:t>4.73 %</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5,551,753</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63,537</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4.54 %</w:t>
            </w:r>
          </w:p>
        </w:tc>
      </w:tr>
      <w:tr>
        <w:trPr>
          <w:trHeight w:val="156"/>
        </w:trPr>
        <w:tc>
          <w:tcPr>
            <w:tcW w:w="306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8"/>
                <w:szCs w:val="18"/>
                <w:color w:val="auto"/>
                <w:vertAlign w:val="superscript"/>
              </w:rPr>
              <w:t>(1), (3)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8,781,590</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92,469</w:t>
            </w:r>
          </w:p>
        </w:tc>
        <w:tc>
          <w:tcPr>
            <w:tcW w:w="10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4.18 %</w:t>
            </w:r>
          </w:p>
        </w:tc>
        <w:tc>
          <w:tcPr>
            <w:tcW w:w="3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7,132,324</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73,335</w:t>
            </w: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4.08 %</w:t>
            </w:r>
          </w:p>
        </w:tc>
      </w:tr>
      <w:tr>
        <w:trPr>
          <w:trHeight w:val="20"/>
        </w:trPr>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3"/>
        </w:trPr>
        <w:tc>
          <w:tcPr>
            <w:tcW w:w="2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due from banks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115,378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103,798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Premises and equipment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150,714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119,773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Allowance for loan losses</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(52,014)</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(54,017)</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664,101</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500,430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r>
      <w:tr>
        <w:trPr>
          <w:trHeight w:val="156"/>
        </w:trPr>
        <w:tc>
          <w:tcPr>
            <w:tcW w:w="306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9,659,769</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7,802,308</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r>
      <w:tr>
        <w:trPr>
          <w:trHeight w:val="20"/>
        </w:trPr>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3"/>
        </w:trPr>
        <w:tc>
          <w:tcPr>
            <w:tcW w:w="2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Interest-bearing transaction deposits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1,953,201</w:t>
            </w:r>
          </w:p>
        </w:tc>
        <w:tc>
          <w:tcPr>
            <w:tcW w:w="200" w:type="dxa"/>
            <w:vAlign w:val="bottom"/>
          </w:tcPr>
          <w:p>
            <w:pPr>
              <w:spacing w:after="0"/>
              <w:rPr>
                <w:sz w:val="15"/>
                <w:szCs w:val="15"/>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2,924</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0.59 %</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1,294,628</w:t>
            </w:r>
          </w:p>
        </w:tc>
        <w:tc>
          <w:tcPr>
            <w:tcW w:w="200" w:type="dxa"/>
            <w:vAlign w:val="bottom"/>
          </w:tcPr>
          <w:p>
            <w:pPr>
              <w:spacing w:after="0"/>
              <w:rPr>
                <w:sz w:val="15"/>
                <w:szCs w:val="15"/>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1,305</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0.40 %</w:t>
            </w: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Savings and money market deposits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2,442,620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3,828</w:t>
            </w:r>
          </w:p>
        </w:tc>
        <w:tc>
          <w:tcPr>
            <w:tcW w:w="10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0.62 %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1,913,838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0.34 %</w:t>
            </w: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Time deposits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1,690,557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8,001</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1.88 %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1,576,191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5,991</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1.51 %</w:t>
            </w:r>
          </w:p>
        </w:tc>
      </w:tr>
      <w:tr>
        <w:trPr>
          <w:trHeight w:val="175"/>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Federal funds purchased and repurchase</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6"/>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agreements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184,637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10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1.24 %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234,729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0.72 %</w:t>
            </w:r>
          </w:p>
        </w:tc>
      </w:tr>
      <w:tr>
        <w:trPr>
          <w:trHeight w:val="176"/>
        </w:trPr>
        <w:tc>
          <w:tcPr>
            <w:tcW w:w="3060" w:type="dxa"/>
            <w:vAlign w:val="bottom"/>
            <w:gridSpan w:val="2"/>
          </w:tcPr>
          <w:p>
            <w:pPr>
              <w:spacing w:after="0" w:line="176"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20"/>
                <w:szCs w:val="20"/>
                <w:color w:val="auto"/>
                <w:vertAlign w:val="superscript"/>
              </w:rPr>
              <w:t>(4)</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215,271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2,031</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3.74 %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213,164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1,761</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3.28 %</w:t>
            </w:r>
          </w:p>
        </w:tc>
      </w:tr>
      <w:tr>
        <w:trPr>
          <w:trHeight w:val="175"/>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Junior subordinated debt issued to unconsolidated</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6"/>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trusts</w:t>
            </w: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71,232</w:t>
            </w:r>
          </w:p>
        </w:tc>
        <w:tc>
          <w:tcPr>
            <w:tcW w:w="2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1080" w:type="dxa"/>
            <w:vAlign w:val="bottom"/>
            <w:tcBorders>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4.75 %</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71,082</w:t>
            </w:r>
          </w:p>
        </w:tc>
        <w:tc>
          <w:tcPr>
            <w:tcW w:w="2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854</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4.77 %</w:t>
            </w:r>
          </w:p>
        </w:tc>
      </w:tr>
      <w:tr>
        <w:trPr>
          <w:trHeight w:val="196"/>
        </w:trPr>
        <w:tc>
          <w:tcPr>
            <w:tcW w:w="306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color w:val="auto"/>
              </w:rPr>
              <w:t>Total interest-bearing liabilities</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6,557,518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18,215</w:t>
            </w:r>
          </w:p>
        </w:tc>
        <w:tc>
          <w:tcPr>
            <w:tcW w:w="1080" w:type="dxa"/>
            <w:vAlign w:val="bottom"/>
            <w:tcBorders>
              <w:bottom w:val="single" w:sz="8" w:color="CCEEFF"/>
            </w:tcBorders>
            <w:gridSpan w:val="2"/>
          </w:tcPr>
          <w:p>
            <w:pPr>
              <w:jc w:val="right"/>
              <w:ind w:right="37"/>
              <w:spacing w:after="0"/>
              <w:rPr>
                <w:sz w:val="20"/>
                <w:szCs w:val="20"/>
                <w:color w:val="auto"/>
              </w:rPr>
            </w:pPr>
            <w:r>
              <w:rPr>
                <w:rFonts w:ascii="Arial" w:cs="Arial" w:eastAsia="Arial" w:hAnsi="Arial"/>
                <w:sz w:val="13"/>
                <w:szCs w:val="13"/>
                <w:color w:val="auto"/>
              </w:rPr>
              <w:t>1.10 %</w:t>
            </w:r>
          </w:p>
        </w:tc>
        <w:tc>
          <w:tcPr>
            <w:tcW w:w="320" w:type="dxa"/>
            <w:vAlign w:val="bottom"/>
            <w:tcBorders>
              <w:bottom w:val="single" w:sz="8" w:color="CCEEFF"/>
            </w:tcBorders>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5,303,632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11,987</w:t>
            </w: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0.90 %</w:t>
            </w:r>
          </w:p>
        </w:tc>
      </w:tr>
      <w:tr>
        <w:trPr>
          <w:trHeight w:val="143"/>
        </w:trPr>
        <w:tc>
          <w:tcPr>
            <w:tcW w:w="2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2"/>
        </w:trPr>
        <w:tc>
          <w:tcPr>
            <w:tcW w:w="3060" w:type="dxa"/>
            <w:vAlign w:val="bottom"/>
            <w:gridSpan w:val="2"/>
          </w:tcPr>
          <w:p>
            <w:pPr>
              <w:spacing w:after="0" w:line="162"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8"/>
                <w:szCs w:val="18"/>
                <w:color w:val="auto"/>
                <w:vertAlign w:val="superscript"/>
              </w:rPr>
              <w:t>(1)</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3.08 %</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3.18 %</w:t>
            </w:r>
          </w:p>
        </w:tc>
      </w:tr>
      <w:tr>
        <w:trPr>
          <w:trHeight w:val="143"/>
        </w:trPr>
        <w:tc>
          <w:tcPr>
            <w:tcW w:w="22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color w:val="auto"/>
              </w:rPr>
              <w:t>Noninterest-bearing deposits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1,780,645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1,492,709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108,773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44,143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1,212,833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961,824</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r>
      <w:tr>
        <w:trPr>
          <w:trHeight w:val="156"/>
        </w:trPr>
        <w:tc>
          <w:tcPr>
            <w:tcW w:w="306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9,659,769</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7,802,308</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r>
      <w:tr>
        <w:trPr>
          <w:trHeight w:val="20"/>
        </w:trPr>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3"/>
        </w:trPr>
        <w:tc>
          <w:tcPr>
            <w:tcW w:w="2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6"/>
        </w:trPr>
        <w:tc>
          <w:tcPr>
            <w:tcW w:w="2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6"/>
        </w:trPr>
        <w:tc>
          <w:tcPr>
            <w:tcW w:w="3060" w:type="dxa"/>
            <w:vAlign w:val="bottom"/>
            <w:gridSpan w:val="2"/>
          </w:tcPr>
          <w:p>
            <w:pPr>
              <w:spacing w:after="0" w:line="176" w:lineRule="exact"/>
              <w:rPr>
                <w:sz w:val="20"/>
                <w:szCs w:val="20"/>
                <w:color w:val="auto"/>
              </w:rPr>
            </w:pPr>
            <w:r>
              <w:rPr>
                <w:rFonts w:ascii="Arial" w:cs="Arial" w:eastAsia="Arial" w:hAnsi="Arial"/>
                <w:sz w:val="14"/>
                <w:szCs w:val="14"/>
                <w:color w:val="auto"/>
              </w:rPr>
              <w:t>Interest income / earning assets</w:t>
            </w:r>
            <w:r>
              <w:rPr>
                <w:rFonts w:ascii="Arial" w:cs="Arial" w:eastAsia="Arial" w:hAnsi="Arial"/>
                <w:sz w:val="20"/>
                <w:szCs w:val="20"/>
                <w:color w:val="auto"/>
                <w:vertAlign w:val="superscript"/>
              </w:rPr>
              <w:t>(1), (3)</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8,781,590</w:t>
            </w:r>
          </w:p>
        </w:tc>
        <w:tc>
          <w:tcPr>
            <w:tcW w:w="200" w:type="dxa"/>
            <w:vAlign w:val="bottom"/>
          </w:tcPr>
          <w:p>
            <w:pPr>
              <w:spacing w:after="0"/>
              <w:rPr>
                <w:sz w:val="15"/>
                <w:szCs w:val="15"/>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92,469</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4.18 %</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7,132,324</w:t>
            </w:r>
          </w:p>
        </w:tc>
        <w:tc>
          <w:tcPr>
            <w:tcW w:w="200" w:type="dxa"/>
            <w:vAlign w:val="bottom"/>
          </w:tcPr>
          <w:p>
            <w:pPr>
              <w:spacing w:after="0"/>
              <w:rPr>
                <w:sz w:val="15"/>
                <w:szCs w:val="15"/>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73,335</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4.08 %</w:t>
            </w:r>
          </w:p>
        </w:tc>
      </w:tr>
      <w:tr>
        <w:trPr>
          <w:trHeight w:val="176"/>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 earning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8,781,590</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18,215</w:t>
            </w:r>
          </w:p>
        </w:tc>
        <w:tc>
          <w:tcPr>
            <w:tcW w:w="1080" w:type="dxa"/>
            <w:vAlign w:val="bottom"/>
            <w:tcBorders>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0.83 %</w:t>
            </w: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7,132,324</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11,987</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0.67 %</w:t>
            </w:r>
          </w:p>
        </w:tc>
      </w:tr>
      <w:tr>
        <w:trPr>
          <w:trHeight w:val="156"/>
        </w:trPr>
        <w:tc>
          <w:tcPr>
            <w:tcW w:w="3060" w:type="dxa"/>
            <w:vAlign w:val="bottom"/>
            <w:gridSpan w:val="2"/>
          </w:tcPr>
          <w:p>
            <w:pPr>
              <w:spacing w:after="0" w:line="156"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8"/>
                <w:szCs w:val="18"/>
                <w:color w:val="auto"/>
                <w:vertAlign w:val="superscript"/>
              </w:rPr>
              <w:t>(1)</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74,254</w:t>
            </w:r>
          </w:p>
        </w:tc>
        <w:tc>
          <w:tcPr>
            <w:tcW w:w="10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rPr>
              <w:t>3.35 %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61,348</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3.41 %</w:t>
            </w:r>
          </w:p>
        </w:tc>
      </w:tr>
      <w:tr>
        <w:trPr>
          <w:trHeight w:val="20"/>
        </w:trPr>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r>
    </w:tbl>
    <w:p>
      <w:pPr>
        <w:ind w:left="340" w:hanging="331"/>
        <w:spacing w:after="0" w:line="220" w:lineRule="auto"/>
        <w:tabs>
          <w:tab w:leader="none" w:pos="34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On a tax-equivalent basis and assuming an income tax rate of 21%.</w:t>
      </w:r>
    </w:p>
    <w:p>
      <w:pPr>
        <w:ind w:left="340" w:hanging="331"/>
        <w:spacing w:after="0" w:line="183" w:lineRule="auto"/>
        <w:tabs>
          <w:tab w:leader="none" w:pos="340"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color w:val="auto"/>
        </w:rPr>
        <w:t>Non-accrual loans have been included in average portfolio loans.</w:t>
      </w:r>
    </w:p>
    <w:p>
      <w:pPr>
        <w:ind w:left="340" w:right="600" w:hanging="331"/>
        <w:spacing w:after="0" w:line="187" w:lineRule="auto"/>
        <w:tabs>
          <w:tab w:leader="none" w:pos="34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Interest income includes a tax-equivalent adjustment of $0.8 million and $0.6 million for the three months ended September 30, 2019 and 2018, respectively.</w:t>
      </w:r>
    </w:p>
    <w:p>
      <w:pPr>
        <w:spacing w:after="0" w:line="1" w:lineRule="exact"/>
        <w:rPr>
          <w:rFonts w:ascii="Arial" w:cs="Arial" w:eastAsia="Arial" w:hAnsi="Arial"/>
          <w:sz w:val="27"/>
          <w:szCs w:val="27"/>
          <w:color w:val="auto"/>
          <w:vertAlign w:val="superscript"/>
        </w:rPr>
      </w:pPr>
    </w:p>
    <w:p>
      <w:pPr>
        <w:ind w:left="340" w:hanging="331"/>
        <w:spacing w:after="0" w:line="183" w:lineRule="auto"/>
        <w:tabs>
          <w:tab w:leader="none" w:pos="340"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color w:val="auto"/>
        </w:rPr>
        <w:t>Includes short-term and long-term borrowings. Interest expense includes a non-usage fee on revolving loan.</w:t>
      </w:r>
    </w:p>
    <w:p>
      <w:pPr>
        <w:ind w:left="340" w:hanging="331"/>
        <w:spacing w:after="0" w:line="186" w:lineRule="auto"/>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Annualized.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160"/>
              <w:spacing w:after="0"/>
              <w:rPr>
                <w:sz w:val="20"/>
                <w:szCs w:val="20"/>
                <w:color w:val="auto"/>
              </w:rPr>
            </w:pPr>
            <w:r>
              <w:rPr>
                <w:rFonts w:ascii="Arial" w:cs="Arial" w:eastAsia="Arial" w:hAnsi="Arial"/>
                <w:sz w:val="13"/>
                <w:szCs w:val="13"/>
                <w:b w:val="1"/>
                <w:bCs w:val="1"/>
                <w:color w:val="auto"/>
                <w:w w:val="98"/>
              </w:rPr>
              <w:t>Nine Months Ended September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w w:val="89"/>
              </w:rPr>
              <w:t>Average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b w:val="1"/>
                <w:bCs w:val="1"/>
                <w:color w:val="auto"/>
                <w:w w:val="97"/>
              </w:rPr>
              <w:t>Income/</w:t>
            </w:r>
          </w:p>
        </w:tc>
        <w:tc>
          <w:tcPr>
            <w:tcW w:w="200" w:type="dxa"/>
            <w:vAlign w:val="bottom"/>
          </w:tcPr>
          <w:p>
            <w:pPr>
              <w:spacing w:after="0"/>
              <w:rPr>
                <w:sz w:val="13"/>
                <w:szCs w:val="13"/>
                <w:color w:val="auto"/>
              </w:rPr>
            </w:pPr>
          </w:p>
        </w:tc>
        <w:tc>
          <w:tcPr>
            <w:tcW w:w="880" w:type="dxa"/>
            <w:vAlign w:val="bottom"/>
          </w:tcPr>
          <w:p>
            <w:pPr>
              <w:jc w:val="right"/>
              <w:ind w:right="317"/>
              <w:spacing w:after="0"/>
              <w:rPr>
                <w:sz w:val="20"/>
                <w:szCs w:val="20"/>
                <w:color w:val="auto"/>
              </w:rPr>
            </w:pPr>
            <w:r>
              <w:rPr>
                <w:rFonts w:ascii="Arial" w:cs="Arial" w:eastAsia="Arial" w:hAnsi="Arial"/>
                <w:sz w:val="13"/>
                <w:szCs w:val="13"/>
                <w:b w:val="1"/>
                <w:bCs w:val="1"/>
                <w:color w:val="auto"/>
              </w:rPr>
              <w:t>Yield/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Income/</w:t>
            </w:r>
          </w:p>
        </w:tc>
        <w:tc>
          <w:tcPr>
            <w:tcW w:w="920" w:type="dxa"/>
            <w:vAlign w:val="bottom"/>
          </w:tcPr>
          <w:p>
            <w:pPr>
              <w:jc w:val="right"/>
              <w:ind w:right="357"/>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w w:val="92"/>
              </w:rPr>
              <w:t>Balance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b w:val="1"/>
                <w:bCs w:val="1"/>
                <w:color w:val="auto"/>
                <w:w w:val="89"/>
              </w:rPr>
              <w:t>Expense</w:t>
            </w:r>
          </w:p>
        </w:tc>
        <w:tc>
          <w:tcPr>
            <w:tcW w:w="200" w:type="dxa"/>
            <w:vAlign w:val="bottom"/>
          </w:tcPr>
          <w:p>
            <w:pPr>
              <w:spacing w:after="0"/>
              <w:rPr>
                <w:sz w:val="15"/>
                <w:szCs w:val="15"/>
                <w:color w:val="auto"/>
              </w:rPr>
            </w:pPr>
          </w:p>
        </w:tc>
        <w:tc>
          <w:tcPr>
            <w:tcW w:w="880" w:type="dxa"/>
            <w:vAlign w:val="bottom"/>
          </w:tcPr>
          <w:p>
            <w:pPr>
              <w:jc w:val="right"/>
              <w:ind w:right="297"/>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8"/>
                <w:szCs w:val="18"/>
                <w:b w:val="1"/>
                <w:bCs w:val="1"/>
                <w:color w:val="auto"/>
                <w:vertAlign w:val="superscript"/>
              </w:rPr>
              <w:t>(5)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Expense</w:t>
            </w:r>
          </w:p>
        </w:tc>
        <w:tc>
          <w:tcPr>
            <w:tcW w:w="920" w:type="dxa"/>
            <w:vAlign w:val="bottom"/>
          </w:tcPr>
          <w:p>
            <w:pPr>
              <w:jc w:val="right"/>
              <w:ind w:right="317"/>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w w:val="95"/>
              </w:rPr>
              <w:t>Interest-bearing bank deposits and federal funds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ind w:left="60"/>
              <w:spacing w:after="0"/>
              <w:rPr>
                <w:sz w:val="20"/>
                <w:szCs w:val="20"/>
                <w:color w:val="auto"/>
              </w:rPr>
            </w:pPr>
            <w:r>
              <w:rPr>
                <w:rFonts w:ascii="Arial" w:cs="Arial" w:eastAsia="Arial" w:hAnsi="Arial"/>
                <w:sz w:val="14"/>
                <w:szCs w:val="14"/>
                <w:color w:val="auto"/>
              </w:rPr>
              <w:t>sold</w:t>
            </w: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279,406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4,496</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2.15 %</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122,768</w:t>
            </w:r>
          </w:p>
        </w:tc>
        <w:tc>
          <w:tcPr>
            <w:tcW w:w="200" w:type="dxa"/>
            <w:vAlign w:val="bottom"/>
          </w:tcPr>
          <w:p>
            <w:pPr>
              <w:spacing w:after="0"/>
              <w:rPr>
                <w:sz w:val="15"/>
                <w:szCs w:val="15"/>
                <w:color w:val="auto"/>
              </w:rPr>
            </w:pPr>
          </w:p>
        </w:tc>
        <w:tc>
          <w:tcPr>
            <w:tcW w:w="120" w:type="dxa"/>
            <w:vAlign w:val="bottom"/>
            <w:gridSpan w:val="2"/>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1,580</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1.72 %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securities: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gridSpan w:val="2"/>
          </w:tcPr>
          <w:p>
            <w:pPr>
              <w:ind w:left="100"/>
              <w:spacing w:after="0"/>
              <w:rPr>
                <w:sz w:val="20"/>
                <w:szCs w:val="20"/>
                <w:color w:val="auto"/>
              </w:rPr>
            </w:pPr>
            <w:r>
              <w:rPr>
                <w:rFonts w:ascii="Arial" w:cs="Arial" w:eastAsia="Arial" w:hAnsi="Arial"/>
                <w:sz w:val="14"/>
                <w:szCs w:val="14"/>
                <w:color w:val="auto"/>
              </w:rPr>
              <w:t>U.S. Government obligations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321,814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5,905</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2.45 %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156,450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1,917</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1.64 %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Obligations of states and political</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4"/>
                <w:szCs w:val="14"/>
                <w:color w:val="auto"/>
              </w:rPr>
              <w:t>subdivisions</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282,850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6,236</w:t>
            </w:r>
          </w:p>
        </w:tc>
        <w:tc>
          <w:tcPr>
            <w:tcW w:w="10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2.95 %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293,258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5,677</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2.59 %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gridSpan w:val="2"/>
          </w:tcPr>
          <w:p>
            <w:pPr>
              <w:ind w:left="100"/>
              <w:spacing w:after="0"/>
              <w:rPr>
                <w:sz w:val="20"/>
                <w:szCs w:val="20"/>
                <w:color w:val="auto"/>
              </w:rPr>
            </w:pPr>
            <w:r>
              <w:rPr>
                <w:rFonts w:ascii="Arial" w:cs="Arial" w:eastAsia="Arial" w:hAnsi="Arial"/>
                <w:sz w:val="14"/>
                <w:szCs w:val="14"/>
                <w:color w:val="auto"/>
              </w:rPr>
              <w:t>Other securities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1,195,405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23,817</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2.66 %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896,288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16,670</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2.49 %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28,326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10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3.20 %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31,785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4.06 %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4"/>
                <w:szCs w:val="14"/>
                <w:color w:val="auto"/>
              </w:rPr>
              <w:t>Portfolio loans</w:t>
            </w:r>
            <w:r>
              <w:rPr>
                <w:rFonts w:ascii="Arial" w:cs="Arial" w:eastAsia="Arial" w:hAnsi="Arial"/>
                <w:sz w:val="20"/>
                <w:szCs w:val="20"/>
                <w:color w:val="auto"/>
                <w:vertAlign w:val="superscript"/>
              </w:rPr>
              <w:t>(1), (2)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6,406,779</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228,539</w:t>
            </w:r>
          </w:p>
        </w:tc>
        <w:tc>
          <w:tcPr>
            <w:tcW w:w="10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rPr>
              <w:t>4.77 %</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5,531,087</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186,622</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4.51 %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gridSpan w:val="2"/>
            <w:shd w:val="clear" w:color="auto" w:fill="CCEEFF"/>
          </w:tcPr>
          <w:p>
            <w:pPr>
              <w:spacing w:after="0" w:line="156"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8"/>
                <w:szCs w:val="18"/>
                <w:color w:val="auto"/>
                <w:vertAlign w:val="superscript"/>
              </w:rPr>
              <w:t>(1), (3)</w:t>
            </w:r>
          </w:p>
        </w:tc>
        <w:tc>
          <w:tcPr>
            <w:tcW w:w="3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8,514,580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269,670</w:t>
            </w:r>
          </w:p>
        </w:tc>
        <w:tc>
          <w:tcPr>
            <w:tcW w:w="10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4.23 %</w:t>
            </w: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7,031,636</w:t>
            </w:r>
          </w:p>
        </w:tc>
        <w:tc>
          <w:tcPr>
            <w:tcW w:w="2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213,432</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due from banks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111,623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105,038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Premises and equipment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146,115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119,580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Allowance for loan losses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(51,498)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(54,056)</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631,452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504,892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9,352,272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7,707,090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Interest-bearing transaction deposits</w:t>
            </w: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1,825,473</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7,891</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0.58 %</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1,224,545</w:t>
            </w:r>
          </w:p>
        </w:tc>
        <w:tc>
          <w:tcPr>
            <w:tcW w:w="200" w:type="dxa"/>
            <w:vAlign w:val="bottom"/>
          </w:tcPr>
          <w:p>
            <w:pPr>
              <w:spacing w:after="0"/>
              <w:rPr>
                <w:sz w:val="15"/>
                <w:szCs w:val="15"/>
                <w:color w:val="auto"/>
              </w:rPr>
            </w:pPr>
          </w:p>
        </w:tc>
        <w:tc>
          <w:tcPr>
            <w:tcW w:w="120" w:type="dxa"/>
            <w:vAlign w:val="bottom"/>
            <w:gridSpan w:val="2"/>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2,758</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0.30 %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Savings and money market deposits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2,350,289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10,113</w:t>
            </w:r>
          </w:p>
        </w:tc>
        <w:tc>
          <w:tcPr>
            <w:tcW w:w="10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0.58 %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1,981,281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4,811</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0.32 %</w:t>
            </w: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Time deposits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1,709,142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23,403</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1.83 %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1,452,477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14,268</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1.31 %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Federal funds purchased and repurchase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agreements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194,189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1,789</w:t>
            </w:r>
          </w:p>
        </w:tc>
        <w:tc>
          <w:tcPr>
            <w:tcW w:w="10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1.23 %</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242,733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0.63 %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line="176"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20"/>
                <w:szCs w:val="20"/>
                <w:color w:val="auto"/>
                <w:vertAlign w:val="superscript"/>
              </w:rPr>
              <w:t>(4)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223,352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6,297</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3.77 %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247,004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5,457</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2.95 %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rPr>
              <w:t>Junior subordinated debt issued to unconsolidated</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trusts</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71,194</w:t>
            </w:r>
          </w:p>
        </w:tc>
        <w:tc>
          <w:tcPr>
            <w:tcW w:w="2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2,658</w:t>
            </w:r>
          </w:p>
        </w:tc>
        <w:tc>
          <w:tcPr>
            <w:tcW w:w="1080" w:type="dxa"/>
            <w:vAlign w:val="bottom"/>
            <w:tcBorders>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4.99 %</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71,046</w:t>
            </w:r>
          </w:p>
        </w:tc>
        <w:tc>
          <w:tcPr>
            <w:tcW w:w="2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2,383</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4.48 %</w:t>
            </w:r>
          </w:p>
        </w:tc>
        <w:tc>
          <w:tcPr>
            <w:tcW w:w="0" w:type="dxa"/>
            <w:vAlign w:val="bottom"/>
          </w:tcPr>
          <w:p>
            <w:pPr>
              <w:spacing w:after="0"/>
              <w:rPr>
                <w:sz w:val="1"/>
                <w:szCs w:val="1"/>
                <w:color w:val="auto"/>
              </w:rPr>
            </w:pPr>
          </w:p>
        </w:tc>
      </w:tr>
      <w:tr>
        <w:trPr>
          <w:trHeight w:val="196"/>
        </w:trPr>
        <w:tc>
          <w:tcPr>
            <w:tcW w:w="2900" w:type="dxa"/>
            <w:vAlign w:val="bottom"/>
            <w:gridSpan w:val="3"/>
          </w:tcPr>
          <w:p>
            <w:pPr>
              <w:spacing w:after="0" w:line="155" w:lineRule="exact"/>
              <w:rPr>
                <w:sz w:val="20"/>
                <w:szCs w:val="20"/>
                <w:color w:val="auto"/>
              </w:rPr>
            </w:pPr>
            <w:r>
              <w:rPr>
                <w:rFonts w:ascii="Arial" w:cs="Arial" w:eastAsia="Arial" w:hAnsi="Arial"/>
                <w:sz w:val="14"/>
                <w:szCs w:val="14"/>
                <w:color w:val="auto"/>
              </w:rPr>
              <w:t>Total interest-bearing liabilities</w:t>
            </w: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6,373,639</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52,151</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1.09 %</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5,219,086</w:t>
            </w:r>
          </w:p>
        </w:tc>
        <w:tc>
          <w:tcPr>
            <w:tcW w:w="200" w:type="dxa"/>
            <w:vAlign w:val="bottom"/>
          </w:tcPr>
          <w:p>
            <w:pPr>
              <w:spacing w:after="0"/>
              <w:rPr>
                <w:sz w:val="17"/>
                <w:szCs w:val="17"/>
                <w:color w:val="auto"/>
              </w:rPr>
            </w:pPr>
          </w:p>
        </w:tc>
        <w:tc>
          <w:tcPr>
            <w:tcW w:w="120" w:type="dxa"/>
            <w:vAlign w:val="bottom"/>
            <w:gridSpan w:val="2"/>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30,816</w:t>
            </w:r>
          </w:p>
        </w:tc>
        <w:tc>
          <w:tcPr>
            <w:tcW w:w="200" w:type="dxa"/>
            <w:vAlign w:val="bottom"/>
          </w:tcPr>
          <w:p>
            <w:pPr>
              <w:spacing w:after="0"/>
              <w:rPr>
                <w:sz w:val="17"/>
                <w:szCs w:val="17"/>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0.79 %</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80" w:type="dxa"/>
            <w:vAlign w:val="bottom"/>
            <w:gridSpan w:val="2"/>
          </w:tcPr>
          <w:p>
            <w:pPr>
              <w:spacing w:after="0" w:line="162"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3.14 %</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3.27 %</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Noninterest-bearing deposits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1,715,701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1,494,016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89,719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47,313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3"/>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1,173,213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946,675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9,352,272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7,707,090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gridSpan w:val="2"/>
          </w:tcPr>
          <w:p>
            <w:pPr>
              <w:spacing w:after="0" w:line="176" w:lineRule="exact"/>
              <w:rPr>
                <w:sz w:val="20"/>
                <w:szCs w:val="20"/>
                <w:color w:val="auto"/>
              </w:rPr>
            </w:pPr>
            <w:r>
              <w:rPr>
                <w:rFonts w:ascii="Arial" w:cs="Arial" w:eastAsia="Arial" w:hAnsi="Arial"/>
                <w:sz w:val="14"/>
                <w:szCs w:val="14"/>
                <w:color w:val="auto"/>
              </w:rPr>
              <w:t>Interest income / earning assets</w:t>
            </w:r>
            <w:r>
              <w:rPr>
                <w:rFonts w:ascii="Arial" w:cs="Arial" w:eastAsia="Arial" w:hAnsi="Arial"/>
                <w:sz w:val="20"/>
                <w:szCs w:val="20"/>
                <w:color w:val="auto"/>
                <w:vertAlign w:val="superscript"/>
              </w:rPr>
              <w:t>(1), (3)</w:t>
            </w: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8,514,580</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269,670</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4.23 %</w:t>
            </w:r>
          </w:p>
        </w:tc>
        <w:tc>
          <w:tcPr>
            <w:tcW w:w="3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7,031,636</w:t>
            </w:r>
          </w:p>
        </w:tc>
        <w:tc>
          <w:tcPr>
            <w:tcW w:w="200" w:type="dxa"/>
            <w:vAlign w:val="bottom"/>
          </w:tcPr>
          <w:p>
            <w:pPr>
              <w:spacing w:after="0"/>
              <w:rPr>
                <w:sz w:val="15"/>
                <w:szCs w:val="15"/>
                <w:color w:val="auto"/>
              </w:rPr>
            </w:pPr>
          </w:p>
        </w:tc>
        <w:tc>
          <w:tcPr>
            <w:tcW w:w="120" w:type="dxa"/>
            <w:vAlign w:val="bottom"/>
            <w:gridSpan w:val="2"/>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213,432</w:t>
            </w:r>
          </w:p>
        </w:tc>
        <w:tc>
          <w:tcPr>
            <w:tcW w:w="20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4.06 %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 earning assets</w:t>
            </w:r>
          </w:p>
        </w:tc>
        <w:tc>
          <w:tcPr>
            <w:tcW w:w="3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8,514,580</w:t>
            </w: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52,151</w:t>
            </w:r>
          </w:p>
        </w:tc>
        <w:tc>
          <w:tcPr>
            <w:tcW w:w="10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0.81 %</w:t>
            </w:r>
          </w:p>
        </w:tc>
        <w:tc>
          <w:tcPr>
            <w:tcW w:w="3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7,031,636</w:t>
            </w:r>
          </w:p>
        </w:tc>
        <w:tc>
          <w:tcPr>
            <w:tcW w:w="2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30,816</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0.59 %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gridSpan w:val="2"/>
          </w:tcPr>
          <w:p>
            <w:pPr>
              <w:spacing w:after="0" w:line="156"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8"/>
                <w:szCs w:val="18"/>
                <w:color w:val="auto"/>
                <w:vertAlign w:val="superscript"/>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217,519</w:t>
            </w:r>
          </w:p>
        </w:tc>
        <w:tc>
          <w:tcPr>
            <w:tcW w:w="108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rPr>
              <w:t>3.42 %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182,616</w:t>
            </w: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3.47 %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31"/>
        <w:spacing w:after="0" w:line="220" w:lineRule="auto"/>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On a tax-equivalent basis and assuming an income tax rate of 21%.</w:t>
      </w:r>
    </w:p>
    <w:p>
      <w:pPr>
        <w:ind w:left="340" w:hanging="331"/>
        <w:spacing w:after="0" w:line="183"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Non-accrual loans have been included in average portfolio loans.</w:t>
      </w:r>
    </w:p>
    <w:p>
      <w:pPr>
        <w:ind w:left="340" w:right="660" w:hanging="331"/>
        <w:spacing w:after="0" w:line="187" w:lineRule="auto"/>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Interest income includes a tax-equivalent adjustment of $2.2 million and $1.7 million for the nine months ended September 30, 2019 and 2018, respectively.</w:t>
      </w:r>
    </w:p>
    <w:p>
      <w:pPr>
        <w:spacing w:after="0" w:line="1" w:lineRule="exact"/>
        <w:rPr>
          <w:rFonts w:ascii="Arial" w:cs="Arial" w:eastAsia="Arial" w:hAnsi="Arial"/>
          <w:sz w:val="27"/>
          <w:szCs w:val="27"/>
          <w:color w:val="auto"/>
          <w:vertAlign w:val="superscript"/>
        </w:rPr>
      </w:pPr>
    </w:p>
    <w:p>
      <w:pPr>
        <w:ind w:left="340" w:hanging="331"/>
        <w:spacing w:after="0" w:line="183"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Includes short-term and long-term borrowings. Interest expense includes a non-usage fee on revolving loan.</w:t>
      </w:r>
    </w:p>
    <w:p>
      <w:pPr>
        <w:ind w:left="340" w:hanging="331"/>
        <w:spacing w:after="0" w:line="186"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Annualized.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 Assets, Sources of Funds and Net Interest Margin</w:t>
      </w:r>
    </w:p>
    <w:p>
      <w:pPr>
        <w:spacing w:after="0" w:line="266" w:lineRule="exact"/>
        <w:rPr>
          <w:sz w:val="20"/>
          <w:szCs w:val="20"/>
          <w:color w:val="auto"/>
        </w:rPr>
      </w:pPr>
    </w:p>
    <w:p>
      <w:pPr>
        <w:ind w:right="179"/>
        <w:spacing w:after="0" w:line="243" w:lineRule="auto"/>
        <w:rPr>
          <w:sz w:val="20"/>
          <w:szCs w:val="20"/>
          <w:color w:val="auto"/>
        </w:rPr>
      </w:pPr>
      <w:r>
        <w:rPr>
          <w:rFonts w:ascii="Arial" w:cs="Arial" w:eastAsia="Arial" w:hAnsi="Arial"/>
          <w:sz w:val="18"/>
          <w:szCs w:val="18"/>
          <w:color w:val="auto"/>
        </w:rPr>
        <w:t>Total average interest-earning assets increased $1.7 billion, or 23.1%, to $8.8 billion for the three months ended September 30, 2019, as compared to $7.1 billion for the same period in 2018. Total average interest-earning assets increased $1.5 billion, or 21.1%, to $8.5 billion for the nine months ended September 30, 2019, as compared to $7.0 billion for the same period of 2018.</w:t>
      </w:r>
    </w:p>
    <w:p>
      <w:pPr>
        <w:spacing w:after="0" w:line="175" w:lineRule="exact"/>
        <w:rPr>
          <w:sz w:val="20"/>
          <w:szCs w:val="20"/>
          <w:color w:val="auto"/>
        </w:rPr>
      </w:pPr>
    </w:p>
    <w:p>
      <w:pPr>
        <w:ind w:right="59"/>
        <w:spacing w:after="0" w:line="239" w:lineRule="auto"/>
        <w:rPr>
          <w:sz w:val="20"/>
          <w:szCs w:val="20"/>
          <w:color w:val="auto"/>
        </w:rPr>
      </w:pPr>
      <w:r>
        <w:rPr>
          <w:rFonts w:ascii="Arial" w:cs="Arial" w:eastAsia="Arial" w:hAnsi="Arial"/>
          <w:sz w:val="18"/>
          <w:szCs w:val="18"/>
          <w:color w:val="auto"/>
        </w:rPr>
        <w:t>Total average interest-bearing liabilities increased $1.3 billion, or 23.6%, to $6.6 billion for the three months ended September 30, 2019 as compared to $5.3 billion for the same period in 2018. Total average interest-bearing liabilities increased $1.2 billion, or 22.1%, to $6.4 billion for the nine months ended September 30, 2019 as compared to $5.2 billion for the same period of 2018. Average noninterest-bearing deposits increased $287.9 million, or 19.3%, to $1.8 billion for the three months ended September 30, 2019, as compared to $1.5 billion for the same period of 2018. Average noninterest-bearing deposits increased $221.7 million, or 14.8%, to $1.7 billion for the nine months ended September 30, 2019, as compared to $1.5 billion for the same period of 2018.</w:t>
      </w:r>
    </w:p>
    <w:p>
      <w:pPr>
        <w:spacing w:after="0" w:line="205" w:lineRule="exact"/>
        <w:rPr>
          <w:sz w:val="20"/>
          <w:szCs w:val="20"/>
          <w:color w:val="auto"/>
        </w:rPr>
      </w:pPr>
    </w:p>
    <w:p>
      <w:pPr>
        <w:ind w:right="79"/>
        <w:spacing w:after="0" w:line="255" w:lineRule="auto"/>
        <w:rPr>
          <w:sz w:val="20"/>
          <w:szCs w:val="20"/>
          <w:color w:val="auto"/>
        </w:rPr>
      </w:pPr>
      <w:r>
        <w:rPr>
          <w:rFonts w:ascii="Arial" w:cs="Arial" w:eastAsia="Arial" w:hAnsi="Arial"/>
          <w:sz w:val="17"/>
          <w:szCs w:val="17"/>
          <w:color w:val="auto"/>
        </w:rPr>
        <w:t>Interest income, on a tax-equivalent basis, increased $19.2 million, or 26.1%, to $92.5 million for the three months ended September 30, 2019, compared to $73.3 million in the same period of 2018. Interest income, on a tax-equivalent basis, increased $56.3 million, or 26.3%, to $269.7 million for the nine months ended September 30, 2019, compared to $213.4 million in same period of 2018. The interest income increase related primarily to the increase in average loan balances. Interest expense increased during the three months ended September 30, 2019 by $6.2 million to $18.2 million, compared to $12.0 million in the same period of 2018. Interest expense increased during the nine months ended September 30, 2019 by $21.4 million to $52.2 million, compared to $30.8 million in the same period of 2018.</w:t>
      </w:r>
    </w:p>
    <w:p>
      <w:pPr>
        <w:spacing w:after="0" w:line="194" w:lineRule="exact"/>
        <w:rPr>
          <w:sz w:val="20"/>
          <w:szCs w:val="20"/>
          <w:color w:val="auto"/>
        </w:rPr>
      </w:pPr>
    </w:p>
    <w:p>
      <w:pPr>
        <w:ind w:right="99"/>
        <w:spacing w:after="0" w:line="294" w:lineRule="auto"/>
        <w:rPr>
          <w:sz w:val="20"/>
          <w:szCs w:val="20"/>
          <w:color w:val="auto"/>
        </w:rPr>
      </w:pPr>
      <w:r>
        <w:rPr>
          <w:rFonts w:ascii="Arial" w:cs="Arial" w:eastAsia="Arial" w:hAnsi="Arial"/>
          <w:sz w:val="16"/>
          <w:szCs w:val="16"/>
          <w:color w:val="auto"/>
        </w:rPr>
        <w:t>Net interest income, on a tax-equivalent basis, increased $12.9 million, or 21.0%, for the three months ended September 30, 2019 as compared to the same period of 2018. Net interest income, on a tax-equivalent basis, increased $34.9 million, or 19.1%, for the nine months ended September 30, 2019 as compared to the same period of 2018.</w:t>
      </w:r>
    </w:p>
    <w:p>
      <w:pPr>
        <w:spacing w:after="0" w:line="175" w:lineRule="exact"/>
        <w:rPr>
          <w:sz w:val="20"/>
          <w:szCs w:val="20"/>
          <w:color w:val="auto"/>
        </w:rPr>
      </w:pPr>
    </w:p>
    <w:p>
      <w:pPr>
        <w:ind w:right="139"/>
        <w:spacing w:after="0" w:line="271" w:lineRule="auto"/>
        <w:rPr>
          <w:sz w:val="20"/>
          <w:szCs w:val="20"/>
          <w:color w:val="auto"/>
        </w:rPr>
      </w:pPr>
      <w:r>
        <w:rPr>
          <w:rFonts w:ascii="Arial" w:cs="Arial" w:eastAsia="Arial" w:hAnsi="Arial"/>
          <w:sz w:val="16"/>
          <w:szCs w:val="16"/>
          <w:color w:val="auto"/>
        </w:rPr>
        <w:t>Net interest margin, our net interest income expressed as a percentage of average earning assets stated on a tax-equivalent basis, decreased to 3.35% for the three months ended September 30, 2019, compared to 3.41% for the same period of 2018, and decreased to 3.42% for the nine months ended September 30, 2019, compared to 3.47% for the same period of</w:t>
      </w:r>
    </w:p>
    <w:p>
      <w:pPr>
        <w:ind w:right="339"/>
        <w:spacing w:after="0" w:line="205" w:lineRule="auto"/>
        <w:rPr>
          <w:sz w:val="20"/>
          <w:szCs w:val="20"/>
          <w:color w:val="auto"/>
        </w:rPr>
      </w:pPr>
      <w:r>
        <w:rPr>
          <w:rFonts w:ascii="Arial" w:cs="Arial" w:eastAsia="Arial" w:hAnsi="Arial"/>
          <w:sz w:val="18"/>
          <w:szCs w:val="18"/>
          <w:color w:val="auto"/>
        </w:rPr>
        <w:t>2018. Net of purchase accounting accretion and amortization,</w:t>
      </w:r>
      <w:r>
        <w:rPr>
          <w:rFonts w:ascii="Arial" w:cs="Arial" w:eastAsia="Arial" w:hAnsi="Arial"/>
          <w:sz w:val="27"/>
          <w:szCs w:val="27"/>
          <w:color w:val="auto"/>
          <w:vertAlign w:val="superscript"/>
        </w:rPr>
        <w:t>(1)</w:t>
      </w:r>
      <w:r>
        <w:rPr>
          <w:rFonts w:ascii="Arial" w:cs="Arial" w:eastAsia="Arial" w:hAnsi="Arial"/>
          <w:sz w:val="18"/>
          <w:szCs w:val="18"/>
          <w:color w:val="auto"/>
        </w:rPr>
        <w:t xml:space="preserve"> the net interest margin for the three months ended September 30, 2019 was 3.22%, a decrease from 3.29% for the same period in 2018, and was 3.27% for the nine months ended September 30, 2019, a decrease from 3.31% for the same period of 2018.</w:t>
      </w:r>
    </w:p>
    <w:p>
      <w:pPr>
        <w:spacing w:after="0" w:line="203" w:lineRule="exact"/>
        <w:rPr>
          <w:sz w:val="20"/>
          <w:szCs w:val="20"/>
          <w:color w:val="auto"/>
        </w:rPr>
      </w:pPr>
    </w:p>
    <w:p>
      <w:pPr>
        <w:ind w:right="39"/>
        <w:spacing w:after="0" w:line="254" w:lineRule="auto"/>
        <w:rPr>
          <w:sz w:val="20"/>
          <w:szCs w:val="20"/>
          <w:color w:val="auto"/>
        </w:rPr>
      </w:pPr>
      <w:r>
        <w:rPr>
          <w:rFonts w:ascii="Arial" w:cs="Arial" w:eastAsia="Arial" w:hAnsi="Arial"/>
          <w:sz w:val="17"/>
          <w:szCs w:val="17"/>
          <w:color w:val="auto"/>
        </w:rPr>
        <w:t>Higher aggregate yields from loan production partially offset increases in funding costs in 2019 as compared to 2018. Funding costs in 2019 increased from 2018, primarily due to resetting of time deposit rates to reflect market rates and additional borrowings in conjunction with funding the Banc Ed acquisition. The Federal Open Market Committee lowered Federal Funds Target rates for the first time in 11 years on July 31, 2019 and then again on September 18, 2019, for a combined decrease of 50 basis points during the third quarter. This contributed to the decline in net interest margin for the quarter ended September 30, 2019 as compared to the quarter ended June 30, 2019, as assets, in particular commercial loans, repriced more quickly and to a greater extent than liabilities. Subsequent to quarter end, on October 30, 2019, the Federal Open Market Committee lowered Federal Funds Target rates another 25 basis points.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quarterly net interest margins were as follows:</w:t>
      </w:r>
    </w:p>
    <w:p>
      <w:pPr>
        <w:spacing w:after="0" w:line="41"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080" w:type="dxa"/>
            <w:vAlign w:val="bottom"/>
            <w:gridSpan w:val="2"/>
          </w:tcPr>
          <w:p>
            <w:pPr>
              <w:ind w:left="4780"/>
              <w:spacing w:after="0"/>
              <w:rPr>
                <w:sz w:val="20"/>
                <w:szCs w:val="20"/>
                <w:color w:val="auto"/>
              </w:rPr>
            </w:pPr>
            <w:r>
              <w:rPr>
                <w:rFonts w:ascii="Arial" w:cs="Arial" w:eastAsia="Arial" w:hAnsi="Arial"/>
                <w:sz w:val="14"/>
                <w:szCs w:val="14"/>
                <w:b w:val="1"/>
                <w:bCs w:val="1"/>
                <w:color w:val="auto"/>
                <w:w w:val="89"/>
              </w:rPr>
              <w:t>2019</w:t>
            </w:r>
          </w:p>
        </w:tc>
        <w:tc>
          <w:tcPr>
            <w:tcW w:w="820" w:type="dxa"/>
            <w:vAlign w:val="bottom"/>
          </w:tcPr>
          <w:p>
            <w:pPr>
              <w:spacing w:after="0"/>
              <w:rPr>
                <w:sz w:val="16"/>
                <w:szCs w:val="16"/>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23"/>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2"/>
              </w:rPr>
              <w:t>3.46 %</w:t>
            </w:r>
          </w:p>
        </w:tc>
        <w:tc>
          <w:tcPr>
            <w:tcW w:w="134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3.51 %</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2"/>
              </w:rPr>
              <w:t>3.43 %</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3.50 %</w:t>
            </w:r>
          </w:p>
        </w:tc>
      </w:tr>
      <w:tr>
        <w:trPr>
          <w:trHeight w:val="23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3.35 %</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3.41 %</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4408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21" w:lineRule="exact"/>
        <w:rPr>
          <w:sz w:val="20"/>
          <w:szCs w:val="20"/>
          <w:color w:val="auto"/>
        </w:rPr>
      </w:pPr>
    </w:p>
    <w:p>
      <w:pPr>
        <w:ind w:left="340" w:right="59" w:hanging="331"/>
        <w:spacing w:after="0" w:line="210" w:lineRule="auto"/>
        <w:tabs>
          <w:tab w:leader="none" w:pos="340" w:val="left"/>
        </w:tabs>
        <w:numPr>
          <w:ilvl w:val="0"/>
          <w:numId w:val="9"/>
        </w:numPr>
        <w:rPr>
          <w:rFonts w:ascii="Arial" w:cs="Arial" w:eastAsia="Arial" w:hAnsi="Arial"/>
          <w:sz w:val="26"/>
          <w:szCs w:val="26"/>
          <w:color w:val="auto"/>
          <w:vertAlign w:val="superscript"/>
        </w:rPr>
      </w:pPr>
      <w:r>
        <w:rPr>
          <w:rFonts w:ascii="Arial" w:cs="Arial" w:eastAsia="Arial" w:hAnsi="Arial"/>
          <w:sz w:val="17"/>
          <w:szCs w:val="17"/>
          <w:color w:val="auto"/>
        </w:rPr>
        <w:t>For a reconciliation of net interest margin net of purchase accounting accretion and amortization, a non-GAAP financial measure, see “Non-GAAP Financial Information” included in this Quarterly Report on Form 10-Q.</w:t>
      </w:r>
    </w:p>
    <w:p>
      <w:pPr>
        <w:sectPr>
          <w:pgSz w:w="11900" w:h="16838" w:orient="portrait"/>
          <w:cols w:equalWidth="0" w:num="1">
            <w:col w:w="9039"/>
          </w:cols>
          <w:pgMar w:left="142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net interest spread, which represents the difference between the average rate earned on earning assets and the average rate paid on interest-bearing liabilities, was 3.08% for the three months ended September 30, 2019 compared to 3.18% in the same period of 2018, and was 3.14% for the nine months ended September 30, 2019, compared to 3.27% for the same period of 2018, each on a tax-equivalent basis.</w:t>
      </w:r>
    </w:p>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Management attempts to mitigate the effects of the interest-rate environment through effective portfolio management, prudent loan underwriting and operational efficiencies. Please refer to the Notes to Consolidated Financial Statements in the Company’s 2018 Form 10-K for accounting policies underlying the recognition of interest income and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540" w:type="dxa"/>
            <w:vAlign w:val="bottom"/>
            <w:gridSpan w:val="7"/>
          </w:tcPr>
          <w:p>
            <w:pPr>
              <w:ind w:left="160"/>
              <w:spacing w:after="0"/>
              <w:rPr>
                <w:sz w:val="20"/>
                <w:szCs w:val="20"/>
                <w:color w:val="auto"/>
              </w:rPr>
            </w:pPr>
            <w:r>
              <w:rPr>
                <w:rFonts w:ascii="Arial" w:cs="Arial" w:eastAsia="Arial" w:hAnsi="Arial"/>
                <w:sz w:val="14"/>
                <w:szCs w:val="14"/>
                <w:b w:val="1"/>
                <w:bCs w:val="1"/>
                <w:color w:val="auto"/>
                <w:w w:val="99"/>
              </w:rPr>
              <w:t>Three Months Ended September 30,</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7"/>
          </w:tcPr>
          <w:p>
            <w:pPr>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28"/>
              <w:spacing w:after="0" w:line="160"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jc w:val="right"/>
              <w:ind w:right="128"/>
              <w:spacing w:after="0" w:line="160"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408"/>
              <w:spacing w:after="0" w:line="160"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ind w:right="128"/>
              <w:spacing w:after="0" w:line="160"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9"/>
              </w:rPr>
              <w:t>Change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20" w:type="dxa"/>
            <w:vAlign w:val="bottom"/>
            <w:gridSpan w:val="2"/>
          </w:tcPr>
          <w:p>
            <w:pPr>
              <w:spacing w:after="0"/>
              <w:rPr>
                <w:sz w:val="20"/>
                <w:szCs w:val="20"/>
                <w:color w:val="auto"/>
              </w:rPr>
            </w:pPr>
            <w:r>
              <w:rPr>
                <w:rFonts w:ascii="Arial" w:cs="Arial" w:eastAsia="Arial" w:hAnsi="Arial"/>
                <w:sz w:val="14"/>
                <w:szCs w:val="14"/>
                <w:color w:val="auto"/>
              </w:rPr>
              <w:t>Fees for customer services</w:t>
            </w:r>
          </w:p>
        </w:tc>
        <w:tc>
          <w:tcPr>
            <w:tcW w:w="1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9,842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7,340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2,502</w:t>
            </w:r>
          </w:p>
        </w:tc>
        <w:tc>
          <w:tcPr>
            <w:tcW w:w="600" w:type="dxa"/>
            <w:vAlign w:val="bottom"/>
          </w:tcPr>
          <w:p>
            <w:pPr>
              <w:jc w:val="right"/>
              <w:spacing w:after="0"/>
              <w:rPr>
                <w:sz w:val="20"/>
                <w:szCs w:val="20"/>
                <w:color w:val="auto"/>
              </w:rPr>
            </w:pPr>
            <w:r>
              <w:rPr>
                <w:rFonts w:ascii="Arial" w:cs="Arial" w:eastAsia="Arial" w:hAnsi="Arial"/>
                <w:sz w:val="14"/>
                <w:szCs w:val="14"/>
                <w:color w:val="auto"/>
              </w:rPr>
              <w:t>34.1</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w w:val="97"/>
              </w:rPr>
              <w:t>27,635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21,576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6,059</w:t>
            </w:r>
          </w:p>
        </w:tc>
        <w:tc>
          <w:tcPr>
            <w:tcW w:w="580" w:type="dxa"/>
            <w:vAlign w:val="bottom"/>
          </w:tcPr>
          <w:p>
            <w:pPr>
              <w:jc w:val="right"/>
              <w:spacing w:after="0"/>
              <w:rPr>
                <w:sz w:val="20"/>
                <w:szCs w:val="20"/>
                <w:color w:val="auto"/>
              </w:rPr>
            </w:pPr>
            <w:r>
              <w:rPr>
                <w:rFonts w:ascii="Arial" w:cs="Arial" w:eastAsia="Arial" w:hAnsi="Arial"/>
                <w:sz w:val="14"/>
                <w:szCs w:val="14"/>
                <w:color w:val="auto"/>
              </w:rPr>
              <w:t>28.1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Trust fees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7,689</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6,324</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1,365</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7"/>
              </w:rPr>
              <w:t>24,122</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20,573</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3,549</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Arial" w:cs="Arial" w:eastAsia="Arial" w:hAnsi="Arial"/>
                <w:sz w:val="14"/>
                <w:szCs w:val="14"/>
                <w:color w:val="auto"/>
                <w:w w:val="97"/>
              </w:rPr>
              <w:t>Commissions and brokers’ fees, net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1,132</w:t>
            </w:r>
          </w:p>
        </w:tc>
        <w:tc>
          <w:tcPr>
            <w:tcW w:w="24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881</w:t>
            </w:r>
          </w:p>
        </w:tc>
        <w:tc>
          <w:tcPr>
            <w:tcW w:w="20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251</w:t>
            </w:r>
          </w:p>
        </w:tc>
        <w:tc>
          <w:tcPr>
            <w:tcW w:w="600" w:type="dxa"/>
            <w:vAlign w:val="bottom"/>
          </w:tcPr>
          <w:p>
            <w:pPr>
              <w:jc w:val="right"/>
              <w:spacing w:after="0"/>
              <w:rPr>
                <w:sz w:val="20"/>
                <w:szCs w:val="20"/>
                <w:color w:val="auto"/>
              </w:rPr>
            </w:pPr>
            <w:r>
              <w:rPr>
                <w:rFonts w:ascii="Arial" w:cs="Arial" w:eastAsia="Arial" w:hAnsi="Arial"/>
                <w:sz w:val="14"/>
                <w:szCs w:val="14"/>
                <w:color w:val="auto"/>
              </w:rPr>
              <w:t>28.5</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3,216</w:t>
            </w:r>
          </w:p>
        </w:tc>
        <w:tc>
          <w:tcPr>
            <w:tcW w:w="20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2,860</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356</w:t>
            </w:r>
          </w:p>
        </w:tc>
        <w:tc>
          <w:tcPr>
            <w:tcW w:w="580" w:type="dxa"/>
            <w:vAlign w:val="bottom"/>
          </w:tcPr>
          <w:p>
            <w:pPr>
              <w:jc w:val="right"/>
              <w:spacing w:after="0"/>
              <w:rPr>
                <w:sz w:val="20"/>
                <w:szCs w:val="20"/>
                <w:color w:val="auto"/>
              </w:rPr>
            </w:pPr>
            <w:r>
              <w:rPr>
                <w:rFonts w:ascii="Arial" w:cs="Arial" w:eastAsia="Arial" w:hAnsi="Arial"/>
                <w:sz w:val="14"/>
                <w:szCs w:val="14"/>
                <w:color w:val="auto"/>
              </w:rPr>
              <w:t>12.4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Remittance processing</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3,780</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3,630</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7"/>
              </w:rPr>
              <w:t>11,277</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10,588</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689</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Mortgage revenue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3,331</w:t>
            </w:r>
          </w:p>
        </w:tc>
        <w:tc>
          <w:tcPr>
            <w:tcW w:w="24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1,272</w:t>
            </w:r>
          </w:p>
        </w:tc>
        <w:tc>
          <w:tcPr>
            <w:tcW w:w="20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2,059</w:t>
            </w:r>
          </w:p>
        </w:tc>
        <w:tc>
          <w:tcPr>
            <w:tcW w:w="600" w:type="dxa"/>
            <w:vAlign w:val="bottom"/>
          </w:tcPr>
          <w:p>
            <w:pPr>
              <w:jc w:val="right"/>
              <w:spacing w:after="0"/>
              <w:rPr>
                <w:sz w:val="20"/>
                <w:szCs w:val="20"/>
                <w:color w:val="auto"/>
              </w:rPr>
            </w:pPr>
            <w:r>
              <w:rPr>
                <w:rFonts w:ascii="Arial" w:cs="Arial" w:eastAsia="Arial" w:hAnsi="Arial"/>
                <w:sz w:val="14"/>
                <w:szCs w:val="14"/>
                <w:color w:val="auto"/>
              </w:rPr>
              <w:t>161.9</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8,127</w:t>
            </w:r>
          </w:p>
        </w:tc>
        <w:tc>
          <w:tcPr>
            <w:tcW w:w="20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4,488</w:t>
            </w:r>
          </w:p>
        </w:tc>
        <w:tc>
          <w:tcPr>
            <w:tcW w:w="2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3,639</w:t>
            </w:r>
          </w:p>
        </w:tc>
        <w:tc>
          <w:tcPr>
            <w:tcW w:w="580" w:type="dxa"/>
            <w:vAlign w:val="bottom"/>
          </w:tcPr>
          <w:p>
            <w:pPr>
              <w:jc w:val="right"/>
              <w:spacing w:after="0"/>
              <w:rPr>
                <w:sz w:val="20"/>
                <w:szCs w:val="20"/>
                <w:color w:val="auto"/>
              </w:rPr>
            </w:pPr>
            <w:r>
              <w:rPr>
                <w:rFonts w:ascii="Arial" w:cs="Arial" w:eastAsia="Arial" w:hAnsi="Arial"/>
                <w:sz w:val="14"/>
                <w:szCs w:val="14"/>
                <w:color w:val="auto"/>
              </w:rPr>
              <w:t>81.1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Net (losses) gains on sales of</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296</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7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Unrealized (losses) gains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65</w:t>
            </w:r>
          </w:p>
        </w:tc>
        <w:tc>
          <w:tcPr>
            <w:tcW w:w="240" w:type="dxa"/>
            <w:vAlign w:val="bottom"/>
          </w:tcPr>
          <w:p>
            <w:pPr>
              <w:spacing w:after="0"/>
              <w:rPr>
                <w:sz w:val="15"/>
                <w:szCs w:val="1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color w:val="auto"/>
              </w:rPr>
              <w:t>65</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(735)</w:t>
            </w:r>
          </w:p>
        </w:tc>
        <w:tc>
          <w:tcPr>
            <w:tcW w:w="200" w:type="dxa"/>
            <w:vAlign w:val="bottom"/>
          </w:tcPr>
          <w:p>
            <w:pPr>
              <w:spacing w:after="0"/>
              <w:rPr>
                <w:sz w:val="15"/>
                <w:szCs w:val="15"/>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(735)</w:t>
            </w:r>
          </w:p>
        </w:tc>
        <w:tc>
          <w:tcPr>
            <w:tcW w:w="7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tcPr>
          <w:p>
            <w:pPr>
              <w:ind w:left="100"/>
              <w:spacing w:after="0"/>
              <w:rPr>
                <w:sz w:val="20"/>
                <w:szCs w:val="20"/>
                <w:color w:val="auto"/>
              </w:rPr>
            </w:pPr>
            <w:r>
              <w:rPr>
                <w:rFonts w:ascii="Arial" w:cs="Arial" w:eastAsia="Arial" w:hAnsi="Arial"/>
                <w:sz w:val="14"/>
                <w:szCs w:val="14"/>
                <w:color w:val="auto"/>
              </w:rPr>
              <w:t>recognized on equity securities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4,801</w:t>
            </w:r>
          </w:p>
        </w:tc>
        <w:tc>
          <w:tcPr>
            <w:tcW w:w="2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2,406</w:t>
            </w: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2,395</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97"/>
              </w:rPr>
              <w:t>11,023</w:t>
            </w:r>
          </w:p>
        </w:tc>
        <w:tc>
          <w:tcPr>
            <w:tcW w:w="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6,896</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4,127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tcPr>
          <w:p>
            <w:pPr>
              <w:ind w:left="200"/>
              <w:spacing w:after="0"/>
              <w:rPr>
                <w:sz w:val="20"/>
                <w:szCs w:val="20"/>
                <w:color w:val="auto"/>
              </w:rPr>
            </w:pPr>
            <w:r>
              <w:rPr>
                <w:rFonts w:ascii="Arial" w:cs="Arial" w:eastAsia="Arial" w:hAnsi="Arial"/>
                <w:sz w:val="14"/>
                <w:szCs w:val="14"/>
                <w:color w:val="auto"/>
              </w:rPr>
              <w:t>Total non-interest income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30,936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9,083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7"/>
              </w:rPr>
              <w:t>84,777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67,141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17,636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Total non-interest income of $30.9 million for the third quarter of 2019 increased as compared to $21.9 million in the third quarter of 2018. Total non-interest income of $84.8 million for the nine months ended September 30, 2019 increased as compared to $67.1 million for the same period of 2018. Revenues from trust fees, commissions and brokers’ fees, and remittance processing activities represented 40.7% of the Company’s non-interest income for the quarter ended September 30, 2019, providing a complement to spread-based revenue from traditional banking activities.</w:t>
      </w:r>
    </w:p>
    <w:p>
      <w:pPr>
        <w:spacing w:after="0" w:line="173"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Fees for customer services increased 34.1% and 28.1% for the three and nine months ended September 30, 2019, respectively, compared to the same periods of 2018 as a result of the Banc Ed acquisition. Evolving regulation, product changes and changing behaviors by our customer base also impact fees for customer services.</w:t>
      </w:r>
    </w:p>
    <w:p>
      <w:pPr>
        <w:spacing w:after="0" w:line="178"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Trust fees and commissions and brokers’ fees were $8.8 million for the third quarter of 2019 an increase from $7.2 million for the third quarter of 2018. Trust fees and commissions and brokers’ fees increased to $27.3 million for the first nine months of 2019 compared to $23.4 million for the first nine months of 2018. First Busey’s wealth management division ended the third quarter of 2019 with $9.4 billion in assets under care.</w:t>
      </w:r>
    </w:p>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Remittance processing revenue from the Company’s subsidiary, FirsTech, of $3.8 million for the third quarter of 2019 increased compared to $3.6 million for the third quarter of 2018. Remittance processing revenue for the nine months ended September 30, 2019 was $11.3 million, an increase of 6.5%, compared to $10.6 million during the same period of 2018. FirsTech has seen a relative slowdown in new business onboarding as compared to recent quarters that showed significant growth, which is consistent with the business’ typical sales cycle.</w:t>
      </w:r>
    </w:p>
    <w:p>
      <w:pPr>
        <w:spacing w:after="0" w:line="18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mortgage line of business generated $3.3 million of revenue in the third quarter of 2019, an increase compared to $1.3 million of revenue in the third quarter of 2018. Mortgage revenue for the first nine months of 2019 was $8.1 million, an increase over the comparable period of 2018 of $4.5 million, following a long period of restructuring and additional revenue from TheBANK. A decline in prevailing market rates for mortgages also contributed to increased production in recent periods.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 income increased to $4.8 million and $11.0 million for the three and nine months ended September 30, 2019, respectively, across multiple revenue sources, including swap fee income, bank owned life insurance income and additional income from TheBANK.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480" w:type="dxa"/>
            <w:vAlign w:val="bottom"/>
            <w:gridSpan w:val="8"/>
          </w:tcPr>
          <w:p>
            <w:pPr>
              <w:ind w:left="80"/>
              <w:spacing w:after="0"/>
              <w:rPr>
                <w:sz w:val="20"/>
                <w:szCs w:val="20"/>
                <w:color w:val="auto"/>
              </w:rPr>
            </w:pPr>
            <w:r>
              <w:rPr>
                <w:rFonts w:ascii="Arial" w:cs="Arial" w:eastAsia="Arial" w:hAnsi="Arial"/>
                <w:sz w:val="14"/>
                <w:szCs w:val="14"/>
                <w:b w:val="1"/>
                <w:bCs w:val="1"/>
                <w:color w:val="auto"/>
                <w:w w:val="99"/>
              </w:rPr>
              <w:t>Three Months Ended September 30,</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8"/>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08"/>
              <w:spacing w:after="0" w:line="160"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ind w:right="108"/>
              <w:spacing w:after="0" w:line="160"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348"/>
              <w:spacing w:after="0" w:line="160"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ind w:right="108"/>
              <w:spacing w:after="0" w:line="160"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3"/>
              </w:rPr>
              <w:t>Change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89"/>
              </w:rPr>
              <w:t>Change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Salaries, wages and employee</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38,747</w:t>
            </w:r>
          </w:p>
        </w:tc>
        <w:tc>
          <w:tcPr>
            <w:tcW w:w="1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26,024</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12,723</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9"/>
              </w:rPr>
              <w:t>%</w:t>
            </w:r>
          </w:p>
        </w:tc>
        <w:tc>
          <w:tcPr>
            <w:tcW w:w="34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105,356</w:t>
            </w:r>
          </w:p>
        </w:tc>
        <w:tc>
          <w:tcPr>
            <w:tcW w:w="1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80,315</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25,041</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benefits</w:t>
            </w:r>
          </w:p>
        </w:tc>
        <w:tc>
          <w:tcPr>
            <w:tcW w:w="20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Net occupancy expense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4,652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3,761</w:t>
            </w:r>
          </w:p>
        </w:tc>
        <w:tc>
          <w:tcPr>
            <w:tcW w:w="300" w:type="dxa"/>
            <w:vAlign w:val="bottom"/>
          </w:tcPr>
          <w:p>
            <w:pPr>
              <w:spacing w:after="0"/>
              <w:rPr>
                <w:sz w:val="15"/>
                <w:szCs w:val="15"/>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891</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23.7</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color w:val="auto"/>
                <w:w w:val="79"/>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13,365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11,271</w:t>
            </w:r>
          </w:p>
        </w:tc>
        <w:tc>
          <w:tcPr>
            <w:tcW w:w="340" w:type="dxa"/>
            <w:vAlign w:val="bottom"/>
          </w:tcPr>
          <w:p>
            <w:pPr>
              <w:spacing w:after="0"/>
              <w:rPr>
                <w:sz w:val="15"/>
                <w:szCs w:val="15"/>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2,094</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18.6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tcPr>
          <w:p>
            <w:pPr>
              <w:ind w:left="100"/>
              <w:spacing w:after="0"/>
              <w:rPr>
                <w:sz w:val="20"/>
                <w:szCs w:val="20"/>
                <w:color w:val="auto"/>
              </w:rPr>
            </w:pPr>
            <w:r>
              <w:rPr>
                <w:rFonts w:ascii="Arial" w:cs="Arial" w:eastAsia="Arial" w:hAnsi="Arial"/>
                <w:sz w:val="14"/>
                <w:szCs w:val="14"/>
                <w:color w:val="auto"/>
              </w:rPr>
              <w:t>premises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Furniture and equipment expenses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774</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9"/>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5,418</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1,518</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Data processing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5,032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4,016</w:t>
            </w:r>
          </w:p>
        </w:tc>
        <w:tc>
          <w:tcPr>
            <w:tcW w:w="30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1,016</w:t>
            </w:r>
          </w:p>
        </w:tc>
        <w:tc>
          <w:tcPr>
            <w:tcW w:w="580" w:type="dxa"/>
            <w:vAlign w:val="bottom"/>
          </w:tcPr>
          <w:p>
            <w:pPr>
              <w:jc w:val="right"/>
              <w:spacing w:after="0"/>
              <w:rPr>
                <w:sz w:val="20"/>
                <w:szCs w:val="20"/>
                <w:color w:val="auto"/>
              </w:rPr>
            </w:pPr>
            <w:r>
              <w:rPr>
                <w:rFonts w:ascii="Arial" w:cs="Arial" w:eastAsia="Arial" w:hAnsi="Arial"/>
                <w:sz w:val="14"/>
                <w:szCs w:val="14"/>
                <w:color w:val="auto"/>
              </w:rPr>
              <w:t>25.3</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w w:val="79"/>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15,049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12,391</w:t>
            </w:r>
          </w:p>
        </w:tc>
        <w:tc>
          <w:tcPr>
            <w:tcW w:w="34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2,658</w:t>
            </w:r>
          </w:p>
        </w:tc>
        <w:tc>
          <w:tcPr>
            <w:tcW w:w="580" w:type="dxa"/>
            <w:vAlign w:val="bottom"/>
          </w:tcPr>
          <w:p>
            <w:pPr>
              <w:jc w:val="right"/>
              <w:spacing w:after="0"/>
              <w:rPr>
                <w:sz w:val="20"/>
                <w:szCs w:val="20"/>
                <w:color w:val="auto"/>
              </w:rPr>
            </w:pPr>
            <w:r>
              <w:rPr>
                <w:rFonts w:ascii="Arial" w:cs="Arial" w:eastAsia="Arial" w:hAnsi="Arial"/>
                <w:sz w:val="14"/>
                <w:szCs w:val="14"/>
                <w:color w:val="auto"/>
              </w:rPr>
              <w:t>21.5</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intangible assets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9"/>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4,450</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2,416</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expense</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14,841</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8,968</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5,873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9"/>
              </w:rPr>
              <w:t>%</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45,732</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30,429</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15,303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non-interest expense</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68,121</w:t>
            </w:r>
          </w:p>
        </w:tc>
        <w:tc>
          <w:tcPr>
            <w:tcW w:w="1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45,929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22,192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9"/>
              </w:rPr>
              <w:t>%</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193,304</w:t>
            </w:r>
          </w:p>
        </w:tc>
        <w:tc>
          <w:tcPr>
            <w:tcW w:w="1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144,274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49,030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26,108</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Effective rate on income taxes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24.5</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96"/>
              </w:rPr>
              <w:t>%</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24.7</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Efficiency ratio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62.7</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53.5</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96"/>
              </w:rPr>
              <w:t>%</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61.6</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56.0</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w w:val="95"/>
              </w:rPr>
              <w:t>Full-time equivalent employees as of</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period-end</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Total non-interest expense of $68.1 million for the three months ended September 30, 2019 increased as compared to $45.9 million for the same period in 2018. Total non-interest expense of $193.3 million for the nine months ended September 30, 2019 increased as compared to $144.3 million for the same period in 2018. Total non-interest expenses have been influenced by acquisition expenses and other restructuring costs. For the third quarter of 2019, adjusted non-interest expenses</w:t>
      </w:r>
      <w:r>
        <w:rPr>
          <w:rFonts w:ascii="Arial" w:cs="Arial" w:eastAsia="Arial" w:hAnsi="Arial"/>
          <w:sz w:val="24"/>
          <w:szCs w:val="24"/>
          <w:color w:val="auto"/>
          <w:vertAlign w:val="superscript"/>
        </w:rPr>
        <w:t>(1)</w:t>
      </w:r>
      <w:r>
        <w:rPr>
          <w:rFonts w:ascii="Arial" w:cs="Arial" w:eastAsia="Arial" w:hAnsi="Arial"/>
          <w:sz w:val="16"/>
          <w:szCs w:val="16"/>
          <w:color w:val="auto"/>
        </w:rPr>
        <w:t>, including amortization, were $60.5 million compared to reported non-interest expense of $68.1 million.</w:t>
      </w:r>
    </w:p>
    <w:p>
      <w:pPr>
        <w:spacing w:after="0" w:line="193"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Salaries, wages and employee benefits were $38.7 million in the third quarter of 2019, an increase from $26.0 million from the third quarter of 2018. In the first nine months of 2019, salaries, wages and employee benefits increased to $105.4 million compared to $80.3 million for the same period of 2018. For the three and nine months ended September 30, 2019, salaries, wages and employee benefits included $3.9 million and $4.2 million, respectively, of non-operating expenses</w:t>
      </w:r>
      <w:r>
        <w:rPr>
          <w:rFonts w:ascii="Arial" w:cs="Arial" w:eastAsia="Arial" w:hAnsi="Arial"/>
          <w:sz w:val="27"/>
          <w:szCs w:val="27"/>
          <w:color w:val="auto"/>
          <w:vertAlign w:val="superscript"/>
        </w:rPr>
        <w:t>(1)</w:t>
      </w:r>
      <w:r>
        <w:rPr>
          <w:rFonts w:ascii="Arial" w:cs="Arial" w:eastAsia="Arial" w:hAnsi="Arial"/>
          <w:sz w:val="18"/>
          <w:szCs w:val="18"/>
          <w:color w:val="auto"/>
        </w:rPr>
        <w:t>. Total full-time equivalents (“FTE”) at September 30, 2019 were 1,595 compared to 1,298 at September 30, 2018. Included in the September 30, 2019 FTE are 293 FTEs of TheBANK.</w:t>
      </w:r>
    </w:p>
    <w:p>
      <w:pPr>
        <w:spacing w:after="0" w:line="20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Combined net occupancy expense of premises and furniture and equipment expenses was $7.1 million for the three months ended September 30, 2019 and $5.5 million for the three months ended September 30, 2018. Combined net occupancy expense of premises and furniture and equipment expenses was $20.3 million for the nine months ended September 30, 2019 and $16.7 million for the nine months ended September 30, 2018. The increase is primarily due to TheBANK adding 17 banking centers to our banking center network.</w:t>
      </w:r>
    </w:p>
    <w:p>
      <w:pPr>
        <w:spacing w:after="0" w:line="203" w:lineRule="exact"/>
        <w:rPr>
          <w:sz w:val="20"/>
          <w:szCs w:val="20"/>
          <w:color w:val="auto"/>
        </w:rPr>
      </w:pPr>
    </w:p>
    <w:p>
      <w:pPr>
        <w:ind w:right="120"/>
        <w:spacing w:after="0" w:line="231" w:lineRule="auto"/>
        <w:rPr>
          <w:sz w:val="20"/>
          <w:szCs w:val="20"/>
          <w:color w:val="auto"/>
        </w:rPr>
      </w:pPr>
      <w:r>
        <w:rPr>
          <w:rFonts w:ascii="Arial" w:cs="Arial" w:eastAsia="Arial" w:hAnsi="Arial"/>
          <w:sz w:val="17"/>
          <w:szCs w:val="17"/>
          <w:color w:val="auto"/>
        </w:rPr>
        <w:t>Data processing expense in the third quarter of 2019 of $5.0 million increased compared to $4.0 million in the third quarter of 2018. In the first nine months of 2019, data processing expense increased to $15.0 million compared to $12.4 million for the same period of 2018. For the three and nine months ended September 30, 2019, data processing included $0.3 million and $1.0 million, respectively, of non-operating expenses</w:t>
      </w:r>
      <w:r>
        <w:rPr>
          <w:rFonts w:ascii="Arial" w:cs="Arial" w:eastAsia="Arial" w:hAnsi="Arial"/>
          <w:sz w:val="26"/>
          <w:szCs w:val="26"/>
          <w:color w:val="auto"/>
          <w:vertAlign w:val="superscript"/>
        </w:rPr>
        <w:t>(1)</w:t>
      </w:r>
      <w:r>
        <w:rPr>
          <w:rFonts w:ascii="Arial" w:cs="Arial" w:eastAsia="Arial" w:hAnsi="Arial"/>
          <w:sz w:val="17"/>
          <w:szCs w:val="17"/>
          <w:color w:val="auto"/>
        </w:rPr>
        <w:t xml:space="preserve"> , related to payment of conversion expenses. Data processing for 2019 also includes data processing related to TheBANK.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14408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40" w:right="100" w:hanging="323"/>
        <w:spacing w:after="0" w:line="200" w:lineRule="auto"/>
        <w:tabs>
          <w:tab w:leader="none" w:pos="44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For a reconciliation of adjusted non-interest expenses and non-operating expenses, non-GAAP financial measures, see “Non-GAAP Financial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9"/>
        <w:spacing w:after="0" w:line="294" w:lineRule="auto"/>
        <w:rPr>
          <w:sz w:val="20"/>
          <w:szCs w:val="20"/>
          <w:color w:val="auto"/>
        </w:rPr>
      </w:pPr>
      <w:r>
        <w:rPr>
          <w:rFonts w:ascii="Arial" w:cs="Arial" w:eastAsia="Arial" w:hAnsi="Arial"/>
          <w:sz w:val="16"/>
          <w:szCs w:val="16"/>
          <w:color w:val="auto"/>
        </w:rPr>
        <w:t>Amortization of intangible assets increased to $2.4 million for the three months ended September 30, 2019 compared to $1.4 million for the three months ended September 30, 2018 and increased to $6.9 million for the nine months ended September 30, 2019 compared to $4.5 million for the nine months ended September 30, 2018, as a result of the Banc Ed acquisition.</w:t>
      </w:r>
    </w:p>
    <w:p>
      <w:pPr>
        <w:spacing w:after="0" w:line="161" w:lineRule="exact"/>
        <w:rPr>
          <w:sz w:val="20"/>
          <w:szCs w:val="20"/>
          <w:color w:val="auto"/>
        </w:rPr>
      </w:pPr>
    </w:p>
    <w:p>
      <w:pPr>
        <w:ind w:right="159"/>
        <w:spacing w:after="0" w:line="219" w:lineRule="auto"/>
        <w:rPr>
          <w:sz w:val="20"/>
          <w:szCs w:val="20"/>
          <w:color w:val="auto"/>
        </w:rPr>
      </w:pPr>
      <w:r>
        <w:rPr>
          <w:rFonts w:ascii="Arial" w:cs="Arial" w:eastAsia="Arial" w:hAnsi="Arial"/>
          <w:sz w:val="18"/>
          <w:szCs w:val="18"/>
          <w:color w:val="auto"/>
        </w:rPr>
        <w:t>Other expense in the third quarter of 2019 of $14.8 million increased compared to $9.0 million in the third quarter of 2018. In the first nine months of 2019, other expense increased to $45.7 million compared to $30.4 million for the same period of 2018. For the three and nine months ended September 30, 2019, other expenses included $3.6 million and $11.3 million, respectively, of non-operating expenses</w:t>
      </w:r>
      <w:r>
        <w:rPr>
          <w:rFonts w:ascii="Arial" w:cs="Arial" w:eastAsia="Arial" w:hAnsi="Arial"/>
          <w:sz w:val="27"/>
          <w:szCs w:val="27"/>
          <w:color w:val="auto"/>
          <w:vertAlign w:val="superscript"/>
        </w:rPr>
        <w:t>(1)</w:t>
      </w:r>
      <w:r>
        <w:rPr>
          <w:rFonts w:ascii="Arial" w:cs="Arial" w:eastAsia="Arial" w:hAnsi="Arial"/>
          <w:sz w:val="18"/>
          <w:szCs w:val="18"/>
          <w:color w:val="auto"/>
        </w:rPr>
        <w:t xml:space="preserve"> which primarily includes professional and legal expenses and check card conversion expenses.</w:t>
      </w:r>
    </w:p>
    <w:p>
      <w:pPr>
        <w:spacing w:after="0" w:line="204" w:lineRule="exact"/>
        <w:rPr>
          <w:sz w:val="20"/>
          <w:szCs w:val="20"/>
          <w:color w:val="auto"/>
        </w:rPr>
      </w:pPr>
    </w:p>
    <w:p>
      <w:pPr>
        <w:ind w:right="99"/>
        <w:spacing w:after="0" w:line="271" w:lineRule="auto"/>
        <w:rPr>
          <w:sz w:val="20"/>
          <w:szCs w:val="20"/>
          <w:color w:val="auto"/>
        </w:rPr>
      </w:pPr>
      <w:r>
        <w:rPr>
          <w:rFonts w:ascii="Arial" w:cs="Arial" w:eastAsia="Arial" w:hAnsi="Arial"/>
          <w:sz w:val="16"/>
          <w:szCs w:val="16"/>
          <w:color w:val="auto"/>
        </w:rPr>
        <w:t>The effective income tax rate of 24.5% and 24.7% for the three and nine months ended September 30, 2019, was lower than the combined federal and state statutory rate of approximately 28% due to tax exempt interest income, such as municipal bond interest and bank owned life insurance income, and investments in various federal and state tax credits.</w:t>
      </w:r>
    </w:p>
    <w:p>
      <w:pPr>
        <w:ind w:right="319"/>
        <w:spacing w:after="0" w:line="271" w:lineRule="auto"/>
        <w:rPr>
          <w:sz w:val="20"/>
          <w:szCs w:val="20"/>
          <w:color w:val="auto"/>
        </w:rPr>
      </w:pPr>
      <w:r>
        <w:rPr>
          <w:rFonts w:ascii="Arial" w:cs="Arial" w:eastAsia="Arial" w:hAnsi="Arial"/>
          <w:sz w:val="17"/>
          <w:szCs w:val="17"/>
          <w:color w:val="auto"/>
        </w:rPr>
        <w:t>The Company continues to monitor evolving federal and state tax legislation and its potential impact on operations on an ongoing basis. At September 30, 2019, the Company was not under examination by any tax authority.</w:t>
      </w:r>
    </w:p>
    <w:p>
      <w:pPr>
        <w:spacing w:after="0" w:line="177" w:lineRule="exact"/>
        <w:rPr>
          <w:sz w:val="20"/>
          <w:szCs w:val="20"/>
          <w:color w:val="auto"/>
        </w:rPr>
      </w:pPr>
    </w:p>
    <w:p>
      <w:pPr>
        <w:ind w:right="39"/>
        <w:spacing w:after="0" w:line="235" w:lineRule="auto"/>
        <w:rPr>
          <w:sz w:val="20"/>
          <w:szCs w:val="20"/>
          <w:color w:val="auto"/>
        </w:rPr>
      </w:pPr>
      <w:r>
        <w:rPr>
          <w:rFonts w:ascii="Arial" w:cs="Arial" w:eastAsia="Arial" w:hAnsi="Arial"/>
          <w:sz w:val="16"/>
          <w:szCs w:val="16"/>
          <w:color w:val="auto"/>
        </w:rPr>
        <w:t>The efficiency ratio</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The efficiency ratio was 62.7% for the quarter ended September 30, 2019 compared to 63.6% for the quarter ended June 30, 2019 and 53.5% for the quarter ended September 30, 2018. The adjusted efficiency ratio</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was 55.4% for the quarter ended September 30, 2019, 56.6% for the quarter ended June 30, 2019, and 53.3% for the quarter ended September 30, 2018. The efficiency ratio for the first nine months of 2019 was 61.6% compared to 56.0% for the first nine months of 2018. The adjusted efficiency ratio</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was 56.1% for the first nine months of 2019 compared to 54.2% for the first nine months of 2018. Total non-interest expenses have been influenced by acquisition expenses and other restructuring costs. While acquisition expenses may have a negative impact on the efficiency ratios, the Company expects to realize operating efficiencies creating a positive impact in future years. The Company remains focused on expense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14408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3" w:lineRule="exact"/>
        <w:rPr>
          <w:sz w:val="20"/>
          <w:szCs w:val="20"/>
          <w:color w:val="auto"/>
        </w:rPr>
      </w:pPr>
    </w:p>
    <w:p>
      <w:pPr>
        <w:ind w:left="480" w:right="359" w:hanging="322"/>
        <w:spacing w:after="0" w:line="200" w:lineRule="auto"/>
        <w:tabs>
          <w:tab w:leader="none" w:pos="48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For a reconciliation of non-operating expenses, efficiency ratio and adjusted efficiency ratio, non-GAAP financial measures, see “Non-GAAP Financial Information”.</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9"/>
              </w:rPr>
              <w:t>September 30,</w:t>
            </w: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8"/>
              </w:rPr>
              <w:t>Change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Debt securities available for sale</w:t>
            </w:r>
          </w:p>
        </w:tc>
        <w:tc>
          <w:tcPr>
            <w:tcW w:w="5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1,701,005</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697,685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1,003,320</w:t>
            </w:r>
          </w:p>
        </w:tc>
        <w:tc>
          <w:tcPr>
            <w:tcW w:w="1020" w:type="dxa"/>
            <w:vAlign w:val="bottom"/>
          </w:tcPr>
          <w:p>
            <w:pPr>
              <w:jc w:val="right"/>
              <w:spacing w:after="0"/>
              <w:rPr>
                <w:sz w:val="20"/>
                <w:szCs w:val="20"/>
                <w:color w:val="auto"/>
              </w:rPr>
            </w:pPr>
            <w:r>
              <w:rPr>
                <w:rFonts w:ascii="Arial" w:cs="Arial" w:eastAsia="Arial" w:hAnsi="Arial"/>
                <w:sz w:val="16"/>
                <w:szCs w:val="16"/>
                <w:color w:val="auto"/>
              </w:rPr>
              <w:t>143.8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Debt securities held to maturity</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15,170</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608,660</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(593,490)</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Portfolio loans, net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6,616,450</w:t>
            </w:r>
          </w:p>
        </w:tc>
        <w:tc>
          <w:tcPr>
            <w:tcW w:w="32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5,517,780</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1,098,670</w:t>
            </w:r>
          </w:p>
        </w:tc>
        <w:tc>
          <w:tcPr>
            <w:tcW w:w="1020" w:type="dxa"/>
            <w:vAlign w:val="bottom"/>
          </w:tcPr>
          <w:p>
            <w:pPr>
              <w:jc w:val="right"/>
              <w:spacing w:after="0"/>
              <w:rPr>
                <w:sz w:val="20"/>
                <w:szCs w:val="20"/>
                <w:color w:val="auto"/>
              </w:rPr>
            </w:pPr>
            <w:r>
              <w:rPr>
                <w:rFonts w:ascii="Arial" w:cs="Arial" w:eastAsia="Arial" w:hAnsi="Arial"/>
                <w:sz w:val="16"/>
                <w:szCs w:val="16"/>
                <w:color w:val="auto"/>
              </w:rPr>
              <w:t>19.9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Total assets</w:t>
            </w:r>
          </w:p>
        </w:tc>
        <w:tc>
          <w:tcPr>
            <w:tcW w:w="5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9,753,760</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7,702,357</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9"/>
              </w:rPr>
              <w:t>2,051,403</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26.6 %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Deposits: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rPr>
                <w:sz w:val="20"/>
                <w:szCs w:val="20"/>
                <w:color w:val="auto"/>
              </w:rPr>
            </w:pPr>
            <w:r>
              <w:rPr>
                <w:rFonts w:ascii="Arial" w:cs="Arial" w:eastAsia="Arial" w:hAnsi="Arial"/>
                <w:sz w:val="16"/>
                <w:szCs w:val="16"/>
                <w:color w:val="auto"/>
              </w:rPr>
              <w:t>Noninterest-bearing</w:t>
            </w:r>
          </w:p>
        </w:tc>
        <w:tc>
          <w:tcPr>
            <w:tcW w:w="5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1,779,490</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1,464,700</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314,790</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21.5 %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Interest-bearing</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6,150,976</w:t>
            </w: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4,784,621</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1,366,355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96"/>
        </w:trPr>
        <w:tc>
          <w:tcPr>
            <w:tcW w:w="3920" w:type="dxa"/>
            <w:vAlign w:val="bottom"/>
            <w:gridSpan w:val="2"/>
          </w:tcPr>
          <w:p>
            <w:pPr>
              <w:spacing w:after="0"/>
              <w:rPr>
                <w:sz w:val="20"/>
                <w:szCs w:val="20"/>
                <w:color w:val="auto"/>
              </w:rPr>
            </w:pPr>
            <w:r>
              <w:rPr>
                <w:rFonts w:ascii="Arial" w:cs="Arial" w:eastAsia="Arial" w:hAnsi="Arial"/>
                <w:sz w:val="16"/>
                <w:szCs w:val="16"/>
                <w:color w:val="auto"/>
              </w:rPr>
              <w:t>Total deposits</w:t>
            </w:r>
          </w:p>
        </w:tc>
        <w:tc>
          <w:tcPr>
            <w:tcW w:w="34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7,930,466</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6,249,321</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1,681,145</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26.9 %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Securities sold under agreements to repurchase</w:t>
            </w:r>
          </w:p>
        </w:tc>
        <w:tc>
          <w:tcPr>
            <w:tcW w:w="5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202,500</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185,796</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16,704</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Short-term borrowings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29,739</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29,739</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85,106</w:t>
            </w:r>
          </w:p>
        </w:tc>
        <w:tc>
          <w:tcPr>
            <w:tcW w:w="32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50,000</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35,106</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70.2 %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Senior notes, net of unamortized issuance costs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39,640</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39,539</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w w:val="99"/>
              </w:rPr>
              <w:t>Subordinated notes, net of unamortized issuance costs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59,222</w:t>
            </w:r>
          </w:p>
        </w:tc>
        <w:tc>
          <w:tcPr>
            <w:tcW w:w="32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59,147</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w:t>
            </w: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w w:val="98"/>
              </w:rPr>
              <w:t>Junior subordinated debt owed to unconsolidated trusts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71,269</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71,155</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5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8,537,779</w:t>
            </w:r>
          </w:p>
        </w:tc>
        <w:tc>
          <w:tcPr>
            <w:tcW w:w="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6,707,393</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1,830,386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5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1,215,981</w:t>
            </w:r>
          </w:p>
        </w:tc>
        <w:tc>
          <w:tcPr>
            <w:tcW w:w="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994,964</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221,017</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22.2 %</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The Company believes that making sound and profitable loans is a necessary and desirable means of employing funds available for investment.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originated outside of these areas are generally residential mortgage loans originated for sale in the secondary market or loans to existing customers of the banks. The Company attempts to utilize government-assisted lending programs, such as the Small Business Administration and United States Department of Agriculture lending programs, when prudent. Generally, loans are collateralized by assets, primarily real estate and guaranteed by individuals. The loans are expected to be repaid primarily from cash flows of the borrowers or from proceeds from the sale of selected assets of the borrowers.</w:t>
      </w:r>
    </w:p>
    <w:p>
      <w:pPr>
        <w:spacing w:after="0" w:line="195"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Management reviews and approves the Company’s lending policies and procedures on a regular basis. Management routinely (at least quarterly) reviews the Company’s allowance 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20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2018 Form 10-K. The significant majority of the Company’s portfolio lending activity occurs in its Illinois and Missouri markets, with the remainder in the Indiana and Florida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Geographic distributions of portfolio loans by category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2019</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Illinois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Missouri</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Florida</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Indiana</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2"/>
              </w:rPr>
              <w:t>1,178,779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452,177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17,590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31,945</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1,825,972</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616,169</w:t>
            </w:r>
          </w:p>
        </w:tc>
        <w:tc>
          <w:tcPr>
            <w:tcW w:w="22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153,855</w:t>
            </w:r>
          </w:p>
        </w:tc>
        <w:tc>
          <w:tcPr>
            <w:tcW w:w="32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5"/>
              </w:rPr>
              <w:t>197,384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2,793,380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194,044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128,864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29,342</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74,309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1,159,727</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421,731</w:t>
            </w:r>
          </w:p>
        </w:tc>
        <w:tc>
          <w:tcPr>
            <w:tcW w:w="22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100,222</w:t>
            </w:r>
          </w:p>
        </w:tc>
        <w:tc>
          <w:tcPr>
            <w:tcW w:w="32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35,875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1,717,555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47,121</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1,675</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1,380</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51,430</w:t>
            </w: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4,405,643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1,620,616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302,389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5"/>
              </w:rPr>
              <w:t>340,767</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6,669,415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December 31, 2018</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Illinois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Missouri</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Florida</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Indiana</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972,072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394,043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17,954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21,037</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1,448,937</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579,536</w:t>
            </w:r>
          </w:p>
        </w:tc>
        <w:tc>
          <w:tcPr>
            <w:tcW w:w="22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158,337</w:t>
            </w:r>
          </w:p>
        </w:tc>
        <w:tc>
          <w:tcPr>
            <w:tcW w:w="32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5"/>
              </w:rPr>
              <w:t>180,013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2,366,823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78,489</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122,385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17,859</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69,464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874,910</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475,739</w:t>
            </w:r>
          </w:p>
        </w:tc>
        <w:tc>
          <w:tcPr>
            <w:tcW w:w="22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102,117</w:t>
            </w:r>
          </w:p>
        </w:tc>
        <w:tc>
          <w:tcPr>
            <w:tcW w:w="32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27,367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1,480,133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24,849</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1,294</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1,455</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3,399,257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1,572,997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297,722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5"/>
              </w:rPr>
              <w:t>298,452</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5,568,428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Portfolio loans increased $1.1 billion, or 19.8%, as of September 30, 2019 compared to December 31, 2018, as a result of the Banc Ed acquisition and organic loan growth. Commercial balances (consisting of commercial, commercial real estate and real estate construction loans) increased $840.3 million from December 31, 2018. Retail real estate and retail other loans increased $260.7 million from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 recorded net charge-offs of $1.8 million for the third quarter of 2019 and $5.7 million for the nine months ended September 30, 2019. The allowance for loan loss as a percentage of portfolio loans was 0.79% at September 30, 2019 and June 30, 2019 as compared to 0.91% at December 31, 2018. The decline in the allowance coverage ratio in</w:t>
      </w:r>
    </w:p>
    <w:p>
      <w:pPr>
        <w:sectPr>
          <w:pgSz w:w="11900" w:h="16838" w:orient="portrait"/>
          <w:cols w:equalWidth="0" w:num="1">
            <w:col w:w="9060"/>
          </w:cols>
          <w:pgMar w:left="1420" w:top="530" w:right="141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2019 is primarily attributed to the Banc Ed acquisition. Acquired loans are initially recorded at their acquisition date fair value, so a separate allowance is not initially recognized. An allowance is recorded subsequent to acquisition to the extent the reserve requirement exceeds the recorded fair value adjustment.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a write-off is charged against the allowance for loan losses. We continue to attempt to identify problem loan situations on a proactive basis. Once problem loans are identified, adjustments to the provision for loan losses are made based upon all information available at that time.</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The provision for loan losses was $3.4 million and $0.8 million for the three months ended September 30, 2019 and 2018, respectively, and was $8.0 million and $4.0 million for the nine months ended September 30, 2019 and 2018, respectively. As a result of acquisitions, the Company is holding acquired loans that are carried net of a fair value adjustment for credit and interest rate marks and are only included in the allowance calculation to the extent that the reserve requirement exceeds the fair value adjustment. However, as the acquired loans renew and as the Company originates new loan production, it is necessary to establish an allowance for loan losses, which represents an amount that, in management’s opinion, will be adequate to absorb probable credit losses.</w:t>
      </w:r>
    </w:p>
    <w:p>
      <w:pPr>
        <w:spacing w:after="0" w:line="19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73"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Typically, loans are collateral dependent. When a collateral dependent loan is classified as non-accrual it is appropriately reserved or charged down through the allowance for loan losses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color w:val="auto"/>
        </w:rPr>
        <w:t xml:space="preserve">The following table sets forth information concerning non-performing loans as of each of the dates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w w:val="99"/>
              </w:rPr>
              <w:t>June 30,</w:t>
            </w:r>
          </w:p>
        </w:tc>
        <w:tc>
          <w:tcPr>
            <w:tcW w:w="12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31,827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32,816</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34,997</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Loans 90+ days past due and still accruing</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1,276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258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1,601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33,103</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33,074</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36,598</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40,759</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OREO</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936</w:t>
            </w:r>
          </w:p>
        </w:tc>
        <w:tc>
          <w:tcPr>
            <w:tcW w:w="28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34,029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34,010</w:t>
            </w: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36,974</w:t>
            </w: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41,852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0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52,965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51,375</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50,648</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52,743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Allowance for loan losses to portfolio loans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0.79 %</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0.79 %</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0.91 %</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5"/>
              </w:rPr>
              <w:t>Allowance for loan losses to non-performing loans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160.0 %</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155.3 %</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138.4 %</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Non-performing loans to portfolio loans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0.5 %</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0.5 %</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0.7 %</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portfolio loans and</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0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8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28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OREO</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Total non-performing assets were $34.0 million at September 30, 2019 and June 30, 2019, compared to $37.0 million at December 31, 2018. Non-performing assets as a percentage of portfolio loans and OREO continued to be favorably low at 0.5% on September 30, 2019. Asset quality metrics can be generally influenced by market-specific economic conditions beyond the control of the Company, and specific measures may fluctuate from quarter to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320"/>
        <w:spacing w:after="0" w:line="274" w:lineRule="auto"/>
        <w:rPr>
          <w:sz w:val="20"/>
          <w:szCs w:val="20"/>
          <w:color w:val="auto"/>
        </w:rPr>
      </w:pPr>
      <w:r>
        <w:rPr>
          <w:rFonts w:ascii="Arial" w:cs="Arial" w:eastAsia="Arial" w:hAnsi="Arial"/>
          <w:sz w:val="16"/>
          <w:szCs w:val="16"/>
          <w:color w:val="auto"/>
        </w:rPr>
        <w:t>Potential problem loans are those loans which are not categorized as impaired, restructured, non-accrual or 90+ days past due, but where current information indicates that the borrower may not be able to comply with loan repayment</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terms. Management assesses the potential for loss on such loans and considers the effect of any potential loss in determining its provision for probable loan losses. Potential problem loans totaled $82.8 million at September 30, 2019, compared to $70.9 million at December 31, 2018. Management continues to monitor these credits and anticipates that restructurings, guarantees, additional collateral or other planned actions will result in full repayment of the debts. As of September 30, 2019, management identified no other loans that represent or result from trends or uncertainties which would be expected to materially impact future operating results, liquidity or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89"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the ability to borrow from the FHLB, the Federal Reserve, First Busey’s revolving credit facility, or to utilize brokered deposits. As of September 30, 2019, the Company had additional capacity to borrow from the FHLB and Federal Reserve of $1.1 billion and $479.4 million, respectively. Additionally, the Company has an unused revolving credit facility of $20.0 million.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As of September 30, 2019,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banks routinely enter into commitments to extend credit and standby letters of credit in the normal course of business to meet the financing needs of its customers. As of September 30, 2019 and December 31, 2018, we had outstanding loan commitments and standby letters of credit of $1.7 billion and $1.4 billion, respectively. The balance of commitments to extend credit represents future cash requirements and some of these commitments may expire without being drawn</w:t>
      </w:r>
    </w:p>
    <w:p>
      <w:pPr>
        <w:spacing w:after="0" w:line="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upon. We anticipate we will have sufficient funds available to meet current loan commitments, including loan applications received and in process prior to the issuance of firm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 holding companies and their subsidiary banks are required to maintain, including the capital conservation buffer, a total capital to total risk-weighted asset ratio of not less than 10.50%, Tier 1 capital to total risk-weighted asset ratio of not less than 8.50%, Common Equity Tier 1 capital to total risk-weighted asset ratio of not less than 7.00% and a Tier 1 leverage ratio of not less than 4.00%. The Basel III Rule was fully phased-in on January 1, 2019. See “Note 12: Regulatory Capital” for ratios and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This Quarterly Report on Form 10-Q contains certain financial information determined by methods other than in accordance with GAAP. These measures include adjusted net income, adjusted return on average assets, adjusted net interest margin, adjusted efficiency ratio, tangible common equity, tangible common equity to tangible assets and adjusted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A reconciliation to what management believes to be the most direct compared GAAP financial measures, for example, net income in the case of adjusted net income and adjusted return on average assets, total net interest income, total non-interest income and total non-interest expense in the case of adjusted efficiency ratio and total stockholders’ equity in the case of the tangible book value per share, appear below. The Company believes each of the adjusted measures is useful for investors and management to understand the effects of certain non-recurring non-interest items and provides additional perspective on the Company’s performance over time as well as comparison to the Company’s peers.</w:t>
      </w:r>
    </w:p>
    <w:p>
      <w:pPr>
        <w:spacing w:after="0" w:line="17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u w:val="single" w:color="auto"/>
          <w:color w:val="auto"/>
        </w:rPr>
        <w:t xml:space="preserve">Reconciliation of Non-GAAP Financial Measures — Adjusted Net Income and Return on Average Assets </w:t>
      </w:r>
      <w:r>
        <w:rPr>
          <w:rFonts w:ascii="Arial" w:cs="Arial" w:eastAsia="Arial" w:hAnsi="Arial"/>
          <w:sz w:val="18"/>
          <w:szCs w:val="18"/>
          <w:i w:val="1"/>
          <w:i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ind w:right="8"/>
              <w:spacing w:after="0" w:line="160" w:lineRule="exact"/>
              <w:rPr>
                <w:sz w:val="20"/>
                <w:szCs w:val="20"/>
                <w:color w:val="auto"/>
              </w:rPr>
            </w:pPr>
            <w:r>
              <w:rPr>
                <w:rFonts w:ascii="Arial" w:cs="Arial" w:eastAsia="Arial" w:hAnsi="Arial"/>
                <w:sz w:val="14"/>
                <w:szCs w:val="14"/>
                <w:b w:val="1"/>
                <w:bCs w:val="1"/>
                <w:color w:val="auto"/>
                <w:w w:val="89"/>
              </w:rPr>
              <w:t>September 30,</w:t>
            </w:r>
          </w:p>
        </w:tc>
        <w:tc>
          <w:tcPr>
            <w:tcW w:w="380" w:type="dxa"/>
            <w:vAlign w:val="bottom"/>
          </w:tcPr>
          <w:p>
            <w:pPr>
              <w:spacing w:after="0"/>
              <w:rPr>
                <w:sz w:val="13"/>
                <w:szCs w:val="13"/>
                <w:color w:val="auto"/>
              </w:rPr>
            </w:pPr>
          </w:p>
        </w:tc>
        <w:tc>
          <w:tcPr>
            <w:tcW w:w="88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3"/>
                <w:szCs w:val="13"/>
                <w:color w:val="auto"/>
              </w:rPr>
            </w:pPr>
          </w:p>
        </w:tc>
        <w:tc>
          <w:tcPr>
            <w:tcW w:w="960" w:type="dxa"/>
            <w:vAlign w:val="bottom"/>
          </w:tcPr>
          <w:p>
            <w:pPr>
              <w:jc w:val="right"/>
              <w:ind w:right="8"/>
              <w:spacing w:after="0" w:line="160" w:lineRule="exact"/>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08"/>
              <w:spacing w:after="0" w:line="160" w:lineRule="exact"/>
              <w:rPr>
                <w:sz w:val="20"/>
                <w:szCs w:val="20"/>
                <w:color w:val="auto"/>
              </w:rPr>
            </w:pPr>
            <w:r>
              <w:rPr>
                <w:rFonts w:ascii="Arial" w:cs="Arial" w:eastAsia="Arial" w:hAnsi="Arial"/>
                <w:sz w:val="14"/>
                <w:szCs w:val="14"/>
                <w:b w:val="1"/>
                <w:bCs w:val="1"/>
                <w:color w:val="auto"/>
                <w:w w:val="98"/>
              </w:rPr>
              <w:t>September 30,</w:t>
            </w:r>
          </w:p>
        </w:tc>
        <w:tc>
          <w:tcPr>
            <w:tcW w:w="1100" w:type="dxa"/>
            <w:vAlign w:val="bottom"/>
            <w:gridSpan w:val="2"/>
          </w:tcPr>
          <w:p>
            <w:pPr>
              <w:jc w:val="right"/>
              <w:ind w:right="48"/>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24,828</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74,382</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73,638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Acquisition expenses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Salaries, wages, and employee</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3,673</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3,716</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benefits</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ind w:left="100"/>
              <w:spacing w:after="0"/>
              <w:rPr>
                <w:sz w:val="20"/>
                <w:szCs w:val="20"/>
                <w:color w:val="auto"/>
              </w:rPr>
            </w:pPr>
            <w:r>
              <w:rPr>
                <w:rFonts w:ascii="Arial" w:cs="Arial" w:eastAsia="Arial" w:hAnsi="Arial"/>
                <w:sz w:val="14"/>
                <w:szCs w:val="14"/>
                <w:color w:val="auto"/>
              </w:rPr>
              <w:t>Data processing</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506</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(includes professional and</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7,598</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2,224</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legal)</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ind w:left="100"/>
              <w:spacing w:after="0"/>
              <w:rPr>
                <w:sz w:val="20"/>
                <w:szCs w:val="20"/>
                <w:color w:val="auto"/>
              </w:rPr>
            </w:pPr>
            <w:r>
              <w:rPr>
                <w:rFonts w:ascii="Arial" w:cs="Arial" w:eastAsia="Arial" w:hAnsi="Arial"/>
                <w:sz w:val="14"/>
                <w:szCs w:val="14"/>
                <w:color w:val="auto"/>
              </w:rPr>
              <w:t>Lease impairment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415</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415</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Other restructuring costs</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ind w:left="100"/>
              <w:spacing w:after="0"/>
              <w:rPr>
                <w:sz w:val="20"/>
                <w:szCs w:val="20"/>
                <w:color w:val="auto"/>
              </w:rPr>
            </w:pPr>
            <w:r>
              <w:rPr>
                <w:rFonts w:ascii="Arial" w:cs="Arial" w:eastAsia="Arial" w:hAnsi="Arial"/>
                <w:sz w:val="14"/>
                <w:szCs w:val="14"/>
                <w:color w:val="auto"/>
              </w:rPr>
              <w:t>Salaries, wages, and employee</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457</w:t>
            </w: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417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benefits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Data processing</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ind w:left="100"/>
              <w:spacing w:after="0"/>
              <w:rPr>
                <w:sz w:val="20"/>
                <w:szCs w:val="20"/>
                <w:color w:val="auto"/>
              </w:rPr>
            </w:pPr>
            <w:r>
              <w:rPr>
                <w:rFonts w:ascii="Arial" w:cs="Arial" w:eastAsia="Arial" w:hAnsi="Arial"/>
                <w:sz w:val="14"/>
                <w:szCs w:val="14"/>
                <w:color w:val="auto"/>
              </w:rPr>
              <w:t>Fixed asset impairment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(includes professional and</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legal)</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MSR valuation impairment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1,822</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1,822</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Related tax benefit</w:t>
            </w:r>
          </w:p>
        </w:tc>
        <w:tc>
          <w:tcPr>
            <w:tcW w:w="2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(1,217)</w:t>
            </w:r>
          </w:p>
        </w:tc>
        <w:tc>
          <w:tcPr>
            <w:tcW w:w="2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20" w:type="dxa"/>
            <w:vAlign w:val="bottom"/>
            <w:gridSpan w:val="2"/>
          </w:tcPr>
          <w:p>
            <w:pPr>
              <w:spacing w:after="0"/>
              <w:rPr>
                <w:sz w:val="20"/>
                <w:szCs w:val="20"/>
                <w:color w:val="auto"/>
              </w:rPr>
            </w:pPr>
            <w:r>
              <w:rPr>
                <w:rFonts w:ascii="Arial" w:cs="Arial" w:eastAsia="Arial" w:hAnsi="Arial"/>
                <w:sz w:val="14"/>
                <w:szCs w:val="14"/>
                <w:color w:val="auto"/>
              </w:rPr>
              <w:t>Adjusted net income</w:t>
            </w:r>
          </w:p>
        </w:tc>
        <w:tc>
          <w:tcPr>
            <w:tcW w:w="2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30,535</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29,498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27,006</w:t>
            </w:r>
          </w:p>
        </w:tc>
        <w:tc>
          <w:tcPr>
            <w:tcW w:w="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86,647</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77,518</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4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Average total assets</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9,659,769</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9,522,678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7,802,308</w:t>
            </w:r>
          </w:p>
        </w:tc>
        <w:tc>
          <w:tcPr>
            <w:tcW w:w="200" w:type="dxa"/>
            <w:vAlign w:val="bottom"/>
          </w:tcPr>
          <w:p>
            <w:pPr>
              <w:spacing w:after="0"/>
              <w:rPr>
                <w:sz w:val="15"/>
                <w:szCs w:val="15"/>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9,352,272</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7,707,090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0" w:type="dxa"/>
            <w:vAlign w:val="bottom"/>
          </w:tcPr>
          <w:p>
            <w:pPr>
              <w:spacing w:after="0" w:line="176" w:lineRule="exact"/>
              <w:rPr>
                <w:sz w:val="20"/>
                <w:szCs w:val="20"/>
                <w:color w:val="auto"/>
              </w:rPr>
            </w:pPr>
            <w:r>
              <w:rPr>
                <w:rFonts w:ascii="Arial" w:cs="Arial" w:eastAsia="Arial" w:hAnsi="Arial"/>
                <w:sz w:val="14"/>
                <w:szCs w:val="14"/>
                <w:b w:val="1"/>
                <w:bCs w:val="1"/>
                <w:color w:val="auto"/>
                <w:w w:val="96"/>
              </w:rPr>
              <w:t>Reported</w:t>
            </w:r>
            <w:r>
              <w:rPr>
                <w:rFonts w:ascii="Arial" w:cs="Arial" w:eastAsia="Arial" w:hAnsi="Arial"/>
                <w:sz w:val="14"/>
                <w:szCs w:val="14"/>
                <w:color w:val="auto"/>
                <w:w w:val="96"/>
              </w:rPr>
              <w:t>: Return on average assets</w:t>
            </w:r>
            <w:r>
              <w:rPr>
                <w:rFonts w:ascii="Arial" w:cs="Arial" w:eastAsia="Arial" w:hAnsi="Arial"/>
                <w:sz w:val="20"/>
                <w:szCs w:val="20"/>
                <w:color w:val="auto"/>
                <w:w w:val="96"/>
                <w:vertAlign w:val="superscript"/>
              </w:rPr>
              <w:t>(1)</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w:t>
            </w:r>
          </w:p>
        </w:tc>
        <w:tc>
          <w:tcPr>
            <w:tcW w:w="380" w:type="dxa"/>
            <w:vAlign w:val="bottom"/>
          </w:tcPr>
          <w:p>
            <w:pPr>
              <w:jc w:val="right"/>
              <w:ind w:right="188"/>
              <w:spacing w:after="0"/>
              <w:rPr>
                <w:sz w:val="20"/>
                <w:szCs w:val="20"/>
                <w:color w:val="auto"/>
              </w:rPr>
            </w:pPr>
            <w:r>
              <w:rPr>
                <w:rFonts w:ascii="Arial" w:cs="Arial" w:eastAsia="Arial" w:hAnsi="Arial"/>
                <w:sz w:val="14"/>
                <w:szCs w:val="14"/>
                <w:color w:val="auto"/>
                <w:w w:val="7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w w:val="79"/>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1.28</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shd w:val="clear" w:color="auto" w:fill="CCEEFF"/>
          </w:tcPr>
          <w:p>
            <w:pPr>
              <w:spacing w:after="0" w:line="176" w:lineRule="exact"/>
              <w:rPr>
                <w:sz w:val="20"/>
                <w:szCs w:val="20"/>
                <w:color w:val="auto"/>
              </w:rPr>
            </w:pPr>
            <w:r>
              <w:rPr>
                <w:rFonts w:ascii="Arial" w:cs="Arial" w:eastAsia="Arial" w:hAnsi="Arial"/>
                <w:sz w:val="14"/>
                <w:szCs w:val="14"/>
                <w:b w:val="1"/>
                <w:bCs w:val="1"/>
                <w:color w:val="auto"/>
                <w:w w:val="97"/>
              </w:rPr>
              <w:t>Adjusted</w:t>
            </w:r>
            <w:r>
              <w:rPr>
                <w:rFonts w:ascii="Arial" w:cs="Arial" w:eastAsia="Arial" w:hAnsi="Arial"/>
                <w:sz w:val="14"/>
                <w:szCs w:val="14"/>
                <w:color w:val="auto"/>
                <w:w w:val="97"/>
              </w:rPr>
              <w:t>: Return on average assets</w:t>
            </w:r>
            <w:r>
              <w:rPr>
                <w:rFonts w:ascii="Arial" w:cs="Arial" w:eastAsia="Arial" w:hAnsi="Arial"/>
                <w:sz w:val="20"/>
                <w:szCs w:val="20"/>
                <w:color w:val="auto"/>
                <w:w w:val="97"/>
                <w:vertAlign w:val="superscript"/>
              </w:rPr>
              <w:t>(1)</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Annualized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-146685</wp:posOffset>
            </wp:positionV>
            <wp:extent cx="5746115"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46115" cy="111760"/>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Net Interest Margin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ectPr>
          <w:pgSz w:w="11900" w:h="16838" w:orient="portrait"/>
          <w:cols w:equalWidth="0" w:num="1">
            <w:col w:w="9060"/>
          </w:cols>
          <w:pgMar w:left="1420" w:top="53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Reported</w:t>
      </w:r>
      <w:r>
        <w:rPr>
          <w:rFonts w:ascii="Arial" w:cs="Arial" w:eastAsia="Arial" w:hAnsi="Arial"/>
          <w:sz w:val="13"/>
          <w:szCs w:val="13"/>
          <w:color w:val="auto"/>
        </w:rPr>
        <w:t>: Net interest income</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Tax-equivalent adjustment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Purchase accounting accretion</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w:t>
      </w:r>
      <w:r>
        <w:rPr>
          <w:rFonts w:ascii="Arial" w:cs="Arial" w:eastAsia="Arial" w:hAnsi="Arial"/>
          <w:sz w:val="13"/>
          <w:szCs w:val="13"/>
          <w:color w:val="auto"/>
        </w:rPr>
        <w:t>: Net interest income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128"/>
              <w:spacing w:after="0" w:line="160" w:lineRule="exact"/>
              <w:rPr>
                <w:sz w:val="20"/>
                <w:szCs w:val="20"/>
                <w:color w:val="auto"/>
              </w:rPr>
            </w:pPr>
            <w:r>
              <w:rPr>
                <w:rFonts w:ascii="Arial" w:cs="Arial" w:eastAsia="Arial" w:hAnsi="Arial"/>
                <w:sz w:val="14"/>
                <w:szCs w:val="14"/>
                <w:b w:val="1"/>
                <w:bCs w:val="1"/>
                <w:color w:val="auto"/>
                <w:w w:val="89"/>
              </w:rPr>
              <w:t>September 30,</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28"/>
              <w:spacing w:after="0" w:line="160" w:lineRule="exact"/>
              <w:rPr>
                <w:sz w:val="20"/>
                <w:szCs w:val="20"/>
                <w:color w:val="auto"/>
              </w:rPr>
            </w:pPr>
            <w:r>
              <w:rPr>
                <w:rFonts w:ascii="Arial" w:cs="Arial" w:eastAsia="Arial" w:hAnsi="Arial"/>
                <w:sz w:val="14"/>
                <w:szCs w:val="14"/>
                <w:b w:val="1"/>
                <w:bCs w:val="1"/>
                <w:color w:val="auto"/>
              </w:rPr>
              <w:t>June 30,</w:t>
            </w: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68"/>
              <w:spacing w:after="0" w:line="160" w:lineRule="exact"/>
              <w:rPr>
                <w:sz w:val="20"/>
                <w:szCs w:val="20"/>
                <w:color w:val="auto"/>
              </w:rPr>
            </w:pPr>
            <w:r>
              <w:rPr>
                <w:rFonts w:ascii="Arial" w:cs="Arial" w:eastAsia="Arial" w:hAnsi="Arial"/>
                <w:sz w:val="14"/>
                <w:szCs w:val="14"/>
                <w:b w:val="1"/>
                <w:bCs w:val="1"/>
                <w:color w:val="auto"/>
                <w:w w:val="87"/>
              </w:rPr>
              <w:t>September 30,</w:t>
            </w:r>
          </w:p>
        </w:tc>
      </w:tr>
      <w:tr>
        <w:trPr>
          <w:trHeight w:val="185"/>
        </w:trPr>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339"/>
        </w:trPr>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73,476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73,428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60,774</w:t>
            </w:r>
          </w:p>
        </w:tc>
      </w:tr>
      <w:tr>
        <w:trPr>
          <w:trHeight w:val="176"/>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778</w:t>
            </w:r>
          </w:p>
        </w:tc>
        <w:tc>
          <w:tcPr>
            <w:tcW w:w="2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777</w:t>
            </w:r>
          </w:p>
        </w:tc>
        <w:tc>
          <w:tcPr>
            <w:tcW w:w="180" w:type="dxa"/>
            <w:vAlign w:val="bottom"/>
          </w:tcPr>
          <w:p>
            <w:pPr>
              <w:spacing w:after="0"/>
              <w:rPr>
                <w:sz w:val="15"/>
                <w:szCs w:val="15"/>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574</w:t>
            </w:r>
          </w:p>
        </w:tc>
      </w:tr>
      <w:tr>
        <w:trPr>
          <w:trHeight w:val="181"/>
        </w:trPr>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(2,974)</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(3,471)</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(2,273)</w:t>
            </w:r>
          </w:p>
        </w:tc>
      </w:tr>
      <w:tr>
        <w:trPr>
          <w:trHeight w:val="169"/>
        </w:trPr>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71,280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70,734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59,075</w:t>
            </w: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-1690370</wp:posOffset>
            </wp:positionH>
            <wp:positionV relativeFrom="paragraph">
              <wp:posOffset>-479425</wp:posOffset>
            </wp:positionV>
            <wp:extent cx="5746115" cy="111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46115" cy="111760"/>
                    </a:xfrm>
                    <a:prstGeom prst="rect">
                      <a:avLst/>
                    </a:prstGeom>
                    <a:noFill/>
                  </pic:spPr>
                </pic:pic>
              </a:graphicData>
            </a:graphic>
          </wp:anchor>
        </w:drawing>
        <w:drawing>
          <wp:anchor simplePos="0" relativeHeight="251657728" behindDoc="1" locked="0" layoutInCell="0" allowOverlap="1">
            <wp:simplePos x="0" y="0"/>
            <wp:positionH relativeFrom="column">
              <wp:posOffset>-1690370</wp:posOffset>
            </wp:positionH>
            <wp:positionV relativeFrom="paragraph">
              <wp:posOffset>-256540</wp:posOffset>
            </wp:positionV>
            <wp:extent cx="5746115" cy="1117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46115"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Nine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108"/>
              <w:spacing w:after="0" w:line="160" w:lineRule="exact"/>
              <w:rPr>
                <w:sz w:val="20"/>
                <w:szCs w:val="20"/>
                <w:color w:val="auto"/>
              </w:rPr>
            </w:pPr>
            <w:r>
              <w:rPr>
                <w:rFonts w:ascii="Arial" w:cs="Arial" w:eastAsia="Arial" w:hAnsi="Arial"/>
                <w:sz w:val="14"/>
                <w:szCs w:val="14"/>
                <w:b w:val="1"/>
                <w:bCs w:val="1"/>
                <w:color w:val="auto"/>
                <w:w w:val="91"/>
              </w:rPr>
              <w:t>September 30,</w:t>
            </w:r>
          </w:p>
        </w:tc>
        <w:tc>
          <w:tcPr>
            <w:tcW w:w="1300" w:type="dxa"/>
            <w:vAlign w:val="bottom"/>
            <w:tcBorders>
              <w:top w:val="single" w:sz="8" w:color="auto"/>
            </w:tcBorders>
            <w:gridSpan w:val="2"/>
          </w:tcPr>
          <w:p>
            <w:pPr>
              <w:jc w:val="right"/>
              <w:ind w:right="228"/>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339"/>
        </w:trPr>
        <w:tc>
          <w:tcPr>
            <w:tcW w:w="220" w:type="dxa"/>
            <w:vAlign w:val="bottom"/>
            <w:gridSpan w:val="2"/>
          </w:tcPr>
          <w:p>
            <w:pPr>
              <w:jc w:val="right"/>
              <w:ind w:right="7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215,287</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180,903</w:t>
            </w: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2,232</w:t>
            </w:r>
          </w:p>
        </w:tc>
        <w:tc>
          <w:tcPr>
            <w:tcW w:w="300" w:type="dxa"/>
            <w:vAlign w:val="bottom"/>
          </w:tcPr>
          <w:p>
            <w:pPr>
              <w:spacing w:after="0"/>
              <w:rPr>
                <w:sz w:val="15"/>
                <w:szCs w:val="15"/>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1,713</w:t>
            </w:r>
          </w:p>
        </w:tc>
      </w:tr>
      <w:tr>
        <w:trPr>
          <w:trHeight w:val="181"/>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(9,439)</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(8,698)</w:t>
            </w:r>
          </w:p>
        </w:tc>
      </w:tr>
      <w:tr>
        <w:trPr>
          <w:trHeight w:val="169"/>
        </w:trPr>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208,080</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173,918</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3">
            <w:col w:w="1960" w:space="720"/>
            <w:col w:w="3800" w:space="180"/>
            <w:col w:w="2400"/>
          </w:cols>
          <w:pgMar w:left="1420" w:top="530" w:right="14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Average interest-earning assets</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8,781,590</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8,666,136</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7,132,324</w:t>
            </w:r>
          </w:p>
        </w:tc>
        <w:tc>
          <w:tcPr>
            <w:tcW w:w="280" w:type="dxa"/>
            <w:vAlign w:val="bottom"/>
          </w:tcPr>
          <w:p>
            <w:pPr>
              <w:spacing w:after="0"/>
              <w:rPr>
                <w:sz w:val="15"/>
                <w:szCs w:val="15"/>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8,514,580</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7,031,636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80" w:type="dxa"/>
            <w:vAlign w:val="bottom"/>
          </w:tcPr>
          <w:p>
            <w:pPr>
              <w:spacing w:after="0" w:line="176"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Net interest margin</w:t>
            </w:r>
            <w:r>
              <w:rPr>
                <w:rFonts w:ascii="Arial" w:cs="Arial" w:eastAsia="Arial" w:hAnsi="Arial"/>
                <w:sz w:val="20"/>
                <w:szCs w:val="20"/>
                <w:color w:val="auto"/>
                <w:vertAlign w:val="superscript"/>
              </w:rPr>
              <w:t>(1)</w:t>
            </w:r>
          </w:p>
        </w:tc>
        <w:tc>
          <w:tcPr>
            <w:tcW w:w="6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3.35</w:t>
            </w:r>
          </w:p>
        </w:tc>
        <w:tc>
          <w:tcPr>
            <w:tcW w:w="460" w:type="dxa"/>
            <w:vAlign w:val="bottom"/>
          </w:tcPr>
          <w:p>
            <w:pPr>
              <w:jc w:val="right"/>
              <w:ind w:right="248"/>
              <w:spacing w:after="0"/>
              <w:rPr>
                <w:sz w:val="20"/>
                <w:szCs w:val="20"/>
                <w:color w:val="auto"/>
              </w:rPr>
            </w:pPr>
            <w:r>
              <w:rPr>
                <w:rFonts w:ascii="Arial" w:cs="Arial" w:eastAsia="Arial" w:hAnsi="Arial"/>
                <w:sz w:val="14"/>
                <w:szCs w:val="14"/>
                <w:color w:val="auto"/>
                <w:w w:val="9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3.43</w:t>
            </w:r>
          </w:p>
        </w:tc>
        <w:tc>
          <w:tcPr>
            <w:tcW w:w="5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3.41</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w w:val="96"/>
              </w:rPr>
              <w:t>%</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3.42</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3.47</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spacing w:after="0" w:line="17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4"/>
                <w:szCs w:val="14"/>
                <w:color w:val="auto"/>
              </w:rPr>
              <w:t>: Net Interest margin</w:t>
            </w:r>
            <w:r>
              <w:rPr>
                <w:rFonts w:ascii="Arial" w:cs="Arial" w:eastAsia="Arial" w:hAnsi="Arial"/>
                <w:sz w:val="20"/>
                <w:szCs w:val="20"/>
                <w:color w:val="auto"/>
                <w:vertAlign w:val="superscript"/>
              </w:rPr>
              <w:t>(1)</w:t>
            </w: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4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9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6"/>
              </w:rPr>
              <w:t>%</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Annualized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-146685</wp:posOffset>
            </wp:positionV>
            <wp:extent cx="5746115"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46115" cy="11176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Efficiency Ratio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8"/>
              <w:spacing w:after="0" w:line="160" w:lineRule="exact"/>
              <w:rPr>
                <w:sz w:val="20"/>
                <w:szCs w:val="20"/>
                <w:color w:val="auto"/>
              </w:rPr>
            </w:pPr>
            <w:r>
              <w:rPr>
                <w:rFonts w:ascii="Arial" w:cs="Arial" w:eastAsia="Arial" w:hAnsi="Arial"/>
                <w:sz w:val="14"/>
                <w:szCs w:val="14"/>
                <w:b w:val="1"/>
                <w:bCs w:val="1"/>
                <w:color w:val="auto"/>
                <w:w w:val="93"/>
              </w:rPr>
              <w:t>September 30,</w:t>
            </w:r>
          </w:p>
        </w:tc>
        <w:tc>
          <w:tcPr>
            <w:tcW w:w="360" w:type="dxa"/>
            <w:vAlign w:val="bottom"/>
          </w:tcPr>
          <w:p>
            <w:pPr>
              <w:spacing w:after="0"/>
              <w:rPr>
                <w:sz w:val="13"/>
                <w:szCs w:val="13"/>
                <w:color w:val="auto"/>
              </w:rPr>
            </w:pPr>
          </w:p>
        </w:tc>
        <w:tc>
          <w:tcPr>
            <w:tcW w:w="860" w:type="dxa"/>
            <w:vAlign w:val="bottom"/>
          </w:tcPr>
          <w:p>
            <w:pPr>
              <w:jc w:val="right"/>
              <w:ind w:right="208"/>
              <w:spacing w:after="0" w:line="160" w:lineRule="exact"/>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3"/>
                <w:szCs w:val="13"/>
                <w:color w:val="auto"/>
              </w:rPr>
            </w:pPr>
          </w:p>
        </w:tc>
        <w:tc>
          <w:tcPr>
            <w:tcW w:w="1060" w:type="dxa"/>
            <w:vAlign w:val="bottom"/>
            <w:gridSpan w:val="2"/>
          </w:tcPr>
          <w:p>
            <w:pPr>
              <w:jc w:val="right"/>
              <w:ind w:right="28"/>
              <w:spacing w:after="0" w:line="160" w:lineRule="exact"/>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3"/>
              </w:rPr>
              <w:t>September 30,</w:t>
            </w:r>
          </w:p>
        </w:tc>
        <w:tc>
          <w:tcPr>
            <w:tcW w:w="320" w:type="dxa"/>
            <w:vAlign w:val="bottom"/>
          </w:tcPr>
          <w:p>
            <w:pPr>
              <w:spacing w:after="0"/>
              <w:rPr>
                <w:sz w:val="13"/>
                <w:szCs w:val="13"/>
                <w:color w:val="auto"/>
              </w:rPr>
            </w:pPr>
          </w:p>
        </w:tc>
        <w:tc>
          <w:tcPr>
            <w:tcW w:w="980" w:type="dxa"/>
            <w:vAlign w:val="bottom"/>
          </w:tcPr>
          <w:p>
            <w:pPr>
              <w:jc w:val="right"/>
              <w:ind w:right="8"/>
              <w:spacing w:after="0" w:line="160"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Net Interest income</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73,476</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73,428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60,774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215,287</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180,903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Tax-equivalent adjustment</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2,232</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Tax-equivalent interest income</w:t>
            </w:r>
          </w:p>
        </w:tc>
        <w:tc>
          <w:tcPr>
            <w:tcW w:w="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74,254</w:t>
            </w: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74,205</w:t>
            </w:r>
          </w:p>
        </w:tc>
        <w:tc>
          <w:tcPr>
            <w:tcW w:w="1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61,348</w:t>
            </w:r>
          </w:p>
        </w:tc>
        <w:tc>
          <w:tcPr>
            <w:tcW w:w="2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217,519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182,616</w:t>
            </w:r>
          </w:p>
        </w:tc>
        <w:tc>
          <w:tcPr>
            <w:tcW w:w="2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Non-interest income</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30,936</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27,896</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21,853</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84,777</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67,141</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40" w:type="dxa"/>
            <w:vAlign w:val="bottom"/>
          </w:tcPr>
          <w:p>
            <w:pPr>
              <w:ind w:left="140"/>
              <w:spacing w:after="0"/>
              <w:rPr>
                <w:sz w:val="20"/>
                <w:szCs w:val="20"/>
                <w:color w:val="auto"/>
              </w:rPr>
            </w:pPr>
            <w:r>
              <w:rPr>
                <w:rFonts w:ascii="Arial" w:cs="Arial" w:eastAsia="Arial" w:hAnsi="Arial"/>
                <w:sz w:val="14"/>
                <w:szCs w:val="14"/>
                <w:color w:val="auto"/>
              </w:rPr>
              <w:t>Net (losses) gains on sales of</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40" w:type="dxa"/>
            <w:vAlign w:val="bottom"/>
          </w:tcPr>
          <w:p>
            <w:pPr>
              <w:ind w:left="200"/>
              <w:spacing w:after="0"/>
              <w:rPr>
                <w:sz w:val="20"/>
                <w:szCs w:val="20"/>
                <w:color w:val="auto"/>
              </w:rPr>
            </w:pPr>
            <w:r>
              <w:rPr>
                <w:rFonts w:ascii="Arial" w:cs="Arial" w:eastAsia="Arial" w:hAnsi="Arial"/>
                <w:sz w:val="14"/>
                <w:szCs w:val="14"/>
                <w:color w:val="auto"/>
              </w:rPr>
              <w:t>securities and unrealized (losses)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tcPr>
          <w:p>
            <w:pPr>
              <w:ind w:left="200"/>
              <w:spacing w:after="0"/>
              <w:rPr>
                <w:sz w:val="20"/>
                <w:szCs w:val="20"/>
                <w:color w:val="auto"/>
              </w:rPr>
            </w:pPr>
            <w:r>
              <w:rPr>
                <w:rFonts w:ascii="Arial" w:cs="Arial" w:eastAsia="Arial" w:hAnsi="Arial"/>
                <w:sz w:val="14"/>
                <w:szCs w:val="14"/>
                <w:color w:val="auto"/>
              </w:rPr>
              <w:t>gains recognized on equity</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361</w:t>
            </w:r>
          </w:p>
        </w:tc>
        <w:tc>
          <w:tcPr>
            <w:tcW w:w="3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(1,026)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(623)</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securities</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4"/>
                <w:szCs w:val="14"/>
                <w:color w:val="auto"/>
              </w:rPr>
              <w:t>Non-interest income</w:t>
            </w:r>
          </w:p>
        </w:tc>
        <w:tc>
          <w:tcPr>
            <w:tcW w:w="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30,575</w:t>
            </w: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28,922</w:t>
            </w:r>
          </w:p>
        </w:tc>
        <w:tc>
          <w:tcPr>
            <w:tcW w:w="1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21,853</w:t>
            </w:r>
          </w:p>
        </w:tc>
        <w:tc>
          <w:tcPr>
            <w:tcW w:w="2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66,981</w:t>
            </w:r>
          </w:p>
        </w:tc>
        <w:tc>
          <w:tcPr>
            <w:tcW w:w="2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Non-interest expense</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68,121</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68,020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45,929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193,304</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144,274</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(2,360)</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(2,412)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(6,866)</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(4,450)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Non-operating adjustments:</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40" w:type="dxa"/>
            <w:vAlign w:val="bottom"/>
          </w:tcPr>
          <w:p>
            <w:pPr>
              <w:ind w:left="320"/>
              <w:spacing w:after="0"/>
              <w:rPr>
                <w:sz w:val="20"/>
                <w:szCs w:val="20"/>
                <w:color w:val="auto"/>
              </w:rPr>
            </w:pPr>
            <w:r>
              <w:rPr>
                <w:rFonts w:ascii="Arial" w:cs="Arial" w:eastAsia="Arial" w:hAnsi="Arial"/>
                <w:sz w:val="14"/>
                <w:szCs w:val="14"/>
                <w:color w:val="auto"/>
              </w:rPr>
              <w:t>Salaries, wages, and employee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(3,855)</w:t>
            </w:r>
          </w:p>
        </w:tc>
        <w:tc>
          <w:tcPr>
            <w:tcW w:w="3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(318)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(4,173)</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(1,650)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Pr>
          <w:p>
            <w:pPr>
              <w:ind w:left="420"/>
              <w:spacing w:after="0"/>
              <w:rPr>
                <w:sz w:val="20"/>
                <w:szCs w:val="20"/>
                <w:color w:val="auto"/>
              </w:rPr>
            </w:pPr>
            <w:r>
              <w:rPr>
                <w:rFonts w:ascii="Arial" w:cs="Arial" w:eastAsia="Arial" w:hAnsi="Arial"/>
                <w:sz w:val="14"/>
                <w:szCs w:val="14"/>
                <w:color w:val="auto"/>
              </w:rPr>
              <w:t>benefits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Data processing</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(3,559)</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(6,356)</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(11,287)</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(2,596)</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4"/>
                <w:szCs w:val="14"/>
                <w:color w:val="auto"/>
              </w:rPr>
              <w:t>Non-interest expense</w:t>
            </w:r>
          </w:p>
        </w:tc>
        <w:tc>
          <w:tcPr>
            <w:tcW w:w="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58,091</w:t>
            </w: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58,315</w:t>
            </w:r>
          </w:p>
        </w:tc>
        <w:tc>
          <w:tcPr>
            <w:tcW w:w="1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44,317</w:t>
            </w:r>
          </w:p>
        </w:tc>
        <w:tc>
          <w:tcPr>
            <w:tcW w:w="2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169,996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135,172</w:t>
            </w:r>
          </w:p>
        </w:tc>
        <w:tc>
          <w:tcPr>
            <w:tcW w:w="2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Efficiency ratio</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62.73</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61.55</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56.02</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40" w:type="dxa"/>
            <w:vAlign w:val="bottom"/>
          </w:tcPr>
          <w:p>
            <w:pPr>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4"/>
                <w:szCs w:val="14"/>
                <w:color w:val="auto"/>
              </w:rPr>
              <w:t>: Efficiency ratio</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55.42</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56.55</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53.26</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56.12</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w w:val="79"/>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54.16</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Reconciliation of Non-GAAP Financial Measures — Tangible common equity to tangible assets, Tangible book value per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share, Return on average tangible common equity</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5"/>
          </w:tcPr>
          <w:p>
            <w:pPr>
              <w:jc w:val="center"/>
              <w:ind w:right="48"/>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128"/>
              <w:spacing w:after="0" w:line="160" w:lineRule="exact"/>
              <w:rPr>
                <w:sz w:val="20"/>
                <w:szCs w:val="20"/>
                <w:color w:val="auto"/>
              </w:rPr>
            </w:pPr>
            <w:r>
              <w:rPr>
                <w:rFonts w:ascii="Arial" w:cs="Arial" w:eastAsia="Arial" w:hAnsi="Arial"/>
                <w:sz w:val="14"/>
                <w:szCs w:val="14"/>
                <w:b w:val="1"/>
                <w:bCs w:val="1"/>
                <w:color w:val="auto"/>
                <w:w w:val="93"/>
              </w:rPr>
              <w:t>September 30,</w:t>
            </w:r>
          </w:p>
        </w:tc>
        <w:tc>
          <w:tcPr>
            <w:tcW w:w="440" w:type="dxa"/>
            <w:vAlign w:val="bottom"/>
          </w:tcPr>
          <w:p>
            <w:pPr>
              <w:spacing w:after="0"/>
              <w:rPr>
                <w:sz w:val="13"/>
                <w:szCs w:val="13"/>
                <w:color w:val="auto"/>
              </w:rPr>
            </w:pPr>
          </w:p>
        </w:tc>
        <w:tc>
          <w:tcPr>
            <w:tcW w:w="1020" w:type="dxa"/>
            <w:vAlign w:val="bottom"/>
          </w:tcPr>
          <w:p>
            <w:pPr>
              <w:jc w:val="center"/>
              <w:ind w:right="128"/>
              <w:spacing w:after="0" w:line="160" w:lineRule="exact"/>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3"/>
                <w:szCs w:val="13"/>
                <w:color w:val="auto"/>
              </w:rPr>
            </w:pPr>
          </w:p>
        </w:tc>
        <w:tc>
          <w:tcPr>
            <w:tcW w:w="1120" w:type="dxa"/>
            <w:vAlign w:val="bottom"/>
          </w:tcPr>
          <w:p>
            <w:pPr>
              <w:jc w:val="right"/>
              <w:ind w:right="128"/>
              <w:spacing w:after="0" w:line="160" w:lineRule="exact"/>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2019</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9,753,760</w:t>
            </w: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9,612,667</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7,889,385</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100"/>
              <w:spacing w:after="0"/>
              <w:rPr>
                <w:sz w:val="20"/>
                <w:szCs w:val="20"/>
                <w:color w:val="auto"/>
              </w:rPr>
            </w:pPr>
            <w:r>
              <w:rPr>
                <w:rFonts w:ascii="Arial" w:cs="Arial" w:eastAsia="Arial" w:hAnsi="Arial"/>
                <w:sz w:val="14"/>
                <w:szCs w:val="14"/>
                <w:color w:val="auto"/>
              </w:rPr>
              <w:t>Goodwill and other intangible assets, net</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(381,323)</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(375,327)</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(301,963)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Tax effect of other intangible assets, net</w:t>
            </w:r>
          </w:p>
        </w:tc>
        <w:tc>
          <w:tcPr>
            <w:tcW w:w="6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16,415</w:t>
            </w:r>
          </w:p>
        </w:tc>
        <w:tc>
          <w:tcPr>
            <w:tcW w:w="4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17,075</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8,912</w:t>
            </w:r>
          </w:p>
        </w:tc>
        <w:tc>
          <w:tcPr>
            <w:tcW w:w="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gridSpan w:val="2"/>
          </w:tcPr>
          <w:p>
            <w:pPr>
              <w:spacing w:after="0"/>
              <w:rPr>
                <w:sz w:val="20"/>
                <w:szCs w:val="20"/>
                <w:color w:val="auto"/>
              </w:rPr>
            </w:pPr>
            <w:r>
              <w:rPr>
                <w:rFonts w:ascii="Arial" w:cs="Arial" w:eastAsia="Arial" w:hAnsi="Arial"/>
                <w:sz w:val="14"/>
                <w:szCs w:val="14"/>
                <w:color w:val="auto"/>
              </w:rPr>
              <w:t>Tangible assets</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9,388,852</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9,254,415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7,596,334</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1,215,981</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1,203,608</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972,140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Goodwill and other intangible assets, net</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(381,323)</w:t>
            </w: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(375,327)</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(301,963)</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Tax effect of other intangible assets, net</w:t>
            </w: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16,415</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17,075</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8,912</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Tangible common equity</w:t>
            </w: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851,073</w:t>
            </w:r>
          </w:p>
        </w:tc>
        <w:tc>
          <w:tcPr>
            <w:tcW w:w="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845,356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679,089</w:t>
            </w:r>
          </w:p>
        </w:tc>
        <w:tc>
          <w:tcPr>
            <w:tcW w:w="2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shd w:val="clear" w:color="auto" w:fill="CCEEFF"/>
          </w:tcPr>
          <w:p>
            <w:pPr>
              <w:spacing w:after="0" w:line="176" w:lineRule="exact"/>
              <w:rPr>
                <w:sz w:val="20"/>
                <w:szCs w:val="20"/>
                <w:color w:val="auto"/>
              </w:rPr>
            </w:pPr>
            <w:r>
              <w:rPr>
                <w:rFonts w:ascii="Arial" w:cs="Arial" w:eastAsia="Arial" w:hAnsi="Arial"/>
                <w:sz w:val="14"/>
                <w:szCs w:val="14"/>
                <w:b w:val="1"/>
                <w:bCs w:val="1"/>
                <w:color w:val="auto"/>
              </w:rPr>
              <w:t>Tangible common equity to tangible assets</w:t>
            </w:r>
            <w:r>
              <w:rPr>
                <w:rFonts w:ascii="Arial" w:cs="Arial" w:eastAsia="Arial" w:hAnsi="Arial"/>
                <w:sz w:val="20"/>
                <w:szCs w:val="20"/>
                <w:b w:val="1"/>
                <w:bCs w:val="1"/>
                <w:color w:val="auto"/>
                <w:vertAlign w:val="superscript"/>
              </w:rPr>
              <w:t>(1)</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9.06 %</w:t>
            </w:r>
          </w:p>
        </w:tc>
        <w:tc>
          <w:tcPr>
            <w:tcW w:w="13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9.13 %</w:t>
            </w:r>
          </w:p>
        </w:tc>
        <w:tc>
          <w:tcPr>
            <w:tcW w:w="1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8.94 %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4"/>
                <w:szCs w:val="14"/>
                <w:b w:val="1"/>
                <w:bCs w:val="1"/>
                <w:color w:val="auto"/>
              </w:rPr>
              <w:t>Tangible book value per share</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15.12</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14.95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13.72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Average stockholders’ common equity</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1,212,833</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1,195,802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961,824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Average goodwill and other intangible assets, net</w:t>
            </w:r>
          </w:p>
        </w:tc>
        <w:tc>
          <w:tcPr>
            <w:tcW w:w="6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(377,601)</w:t>
            </w:r>
          </w:p>
        </w:tc>
        <w:tc>
          <w:tcPr>
            <w:tcW w:w="4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(376,851)</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(302,914)</w:t>
            </w:r>
          </w:p>
        </w:tc>
        <w:tc>
          <w:tcPr>
            <w:tcW w:w="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gridSpan w:val="2"/>
          </w:tcPr>
          <w:p>
            <w:pPr>
              <w:spacing w:after="0"/>
              <w:rPr>
                <w:sz w:val="20"/>
                <w:szCs w:val="20"/>
                <w:color w:val="auto"/>
              </w:rPr>
            </w:pPr>
            <w:r>
              <w:rPr>
                <w:rFonts w:ascii="Arial" w:cs="Arial" w:eastAsia="Arial" w:hAnsi="Arial"/>
                <w:sz w:val="14"/>
                <w:szCs w:val="14"/>
                <w:color w:val="auto"/>
              </w:rPr>
              <w:t>Average tangible stockholders’ common equity</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835,232</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818,951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658,910</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tcPr>
          <w:p>
            <w:pPr>
              <w:spacing w:after="0" w:line="176"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Return on average tangible common equity</w:t>
            </w:r>
            <w:r>
              <w:rPr>
                <w:rFonts w:ascii="Arial" w:cs="Arial" w:eastAsia="Arial" w:hAnsi="Arial"/>
                <w:sz w:val="20"/>
                <w:szCs w:val="20"/>
                <w:color w:val="auto"/>
                <w:vertAlign w:val="superscript"/>
              </w:rPr>
              <w:t>(2)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11.79</w:t>
            </w:r>
          </w:p>
        </w:tc>
        <w:tc>
          <w:tcPr>
            <w:tcW w:w="440" w:type="dxa"/>
            <w:vAlign w:val="bottom"/>
          </w:tcPr>
          <w:p>
            <w:pPr>
              <w:jc w:val="right"/>
              <w:ind w:right="248"/>
              <w:spacing w:after="0"/>
              <w:rPr>
                <w:sz w:val="20"/>
                <w:szCs w:val="20"/>
                <w:color w:val="auto"/>
              </w:rPr>
            </w:pPr>
            <w:r>
              <w:rPr>
                <w:rFonts w:ascii="Arial" w:cs="Arial" w:eastAsia="Arial" w:hAnsi="Arial"/>
                <w:sz w:val="14"/>
                <w:szCs w:val="14"/>
                <w:color w:val="auto"/>
                <w:w w:val="79"/>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11.80</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16.17</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line="17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4"/>
                <w:szCs w:val="14"/>
                <w:color w:val="auto"/>
              </w:rPr>
              <w:t>: Return on average tangible common equity</w:t>
            </w:r>
            <w:r>
              <w:rPr>
                <w:rFonts w:ascii="Arial" w:cs="Arial" w:eastAsia="Arial" w:hAnsi="Arial"/>
                <w:sz w:val="20"/>
                <w:szCs w:val="20"/>
                <w:color w:val="auto"/>
                <w:vertAlign w:val="superscript"/>
              </w:rPr>
              <w:t>(2), (3)</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September 30,</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Average stockholders’ common equity</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1,173,213</w:t>
            </w: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946,675</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Average goodwill and other intangible assets, net</w:t>
            </w: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(369,104)</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(304,738)</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Average tangible stockholders’ common equity</w:t>
            </w:r>
          </w:p>
        </w:tc>
        <w:tc>
          <w:tcPr>
            <w:tcW w:w="6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804,109</w:t>
            </w:r>
          </w:p>
        </w:tc>
        <w:tc>
          <w:tcPr>
            <w:tcW w:w="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641,937</w:t>
            </w:r>
          </w:p>
        </w:tc>
        <w:tc>
          <w:tcPr>
            <w:tcW w:w="2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4"/>
                <w:szCs w:val="14"/>
                <w:color w:val="auto"/>
              </w:rPr>
              <w:t>: Return on average tangible common equity</w:t>
            </w:r>
            <w:r>
              <w:rPr>
                <w:rFonts w:ascii="Arial" w:cs="Arial" w:eastAsia="Arial" w:hAnsi="Arial"/>
                <w:sz w:val="20"/>
                <w:szCs w:val="20"/>
                <w:color w:val="auto"/>
                <w:vertAlign w:val="superscript"/>
              </w:rPr>
              <w:t>(2)</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9"/>
              </w:rPr>
              <w:t>%</w:t>
            </w: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tcPr>
          <w:p>
            <w:pPr>
              <w:spacing w:after="0" w:line="17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4"/>
                <w:szCs w:val="14"/>
                <w:color w:val="auto"/>
              </w:rPr>
              <w:t>: Return on average tangible common equity</w:t>
            </w:r>
            <w:r>
              <w:rPr>
                <w:rFonts w:ascii="Arial" w:cs="Arial" w:eastAsia="Arial" w:hAnsi="Arial"/>
                <w:sz w:val="20"/>
                <w:szCs w:val="20"/>
                <w:color w:val="auto"/>
                <w:vertAlign w:val="superscript"/>
              </w:rPr>
              <w:t>(2), (3)</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14.41</w:t>
            </w:r>
          </w:p>
        </w:tc>
        <w:tc>
          <w:tcPr>
            <w:tcW w:w="440" w:type="dxa"/>
            <w:vAlign w:val="bottom"/>
          </w:tcPr>
          <w:p>
            <w:pPr>
              <w:jc w:val="right"/>
              <w:ind w:right="248"/>
              <w:spacing w:after="0"/>
              <w:rPr>
                <w:sz w:val="20"/>
                <w:szCs w:val="20"/>
                <w:color w:val="auto"/>
              </w:rPr>
            </w:pPr>
            <w:r>
              <w:rPr>
                <w:rFonts w:ascii="Arial" w:cs="Arial" w:eastAsia="Arial" w:hAnsi="Arial"/>
                <w:sz w:val="14"/>
                <w:szCs w:val="14"/>
                <w:color w:val="auto"/>
                <w:w w:val="79"/>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16.15</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w w:val="79"/>
              </w:rPr>
              <w:t>%</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w w:val="88"/>
              </w:rPr>
              <w:t>(1)</w:t>
            </w:r>
          </w:p>
        </w:tc>
        <w:tc>
          <w:tcPr>
            <w:tcW w:w="3880" w:type="dxa"/>
            <w:vAlign w:val="bottom"/>
          </w:tcPr>
          <w:p>
            <w:pPr>
              <w:ind w:left="20"/>
              <w:spacing w:after="0"/>
              <w:rPr>
                <w:sz w:val="20"/>
                <w:szCs w:val="20"/>
                <w:color w:val="auto"/>
              </w:rPr>
            </w:pPr>
            <w:r>
              <w:rPr>
                <w:rFonts w:ascii="Arial" w:cs="Arial" w:eastAsia="Arial" w:hAnsi="Arial"/>
                <w:sz w:val="14"/>
                <w:szCs w:val="14"/>
                <w:color w:val="auto"/>
              </w:rPr>
              <w:t>Tax-effected measure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1"/>
                <w:szCs w:val="11"/>
                <w:color w:val="auto"/>
                <w:w w:val="88"/>
              </w:rPr>
              <w:t>(2)</w:t>
            </w:r>
          </w:p>
        </w:tc>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Annualized measure</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w w:val="88"/>
              </w:rPr>
              <w:t>(3)</w:t>
            </w:r>
          </w:p>
        </w:tc>
        <w:tc>
          <w:tcPr>
            <w:tcW w:w="3880" w:type="dxa"/>
            <w:vAlign w:val="bottom"/>
          </w:tcPr>
          <w:p>
            <w:pPr>
              <w:ind w:left="20"/>
              <w:spacing w:after="0"/>
              <w:rPr>
                <w:sz w:val="20"/>
                <w:szCs w:val="20"/>
                <w:color w:val="auto"/>
              </w:rPr>
            </w:pPr>
            <w:r>
              <w:rPr>
                <w:rFonts w:ascii="Arial" w:cs="Arial" w:eastAsia="Arial" w:hAnsi="Arial"/>
                <w:sz w:val="14"/>
                <w:szCs w:val="14"/>
                <w:color w:val="auto"/>
              </w:rPr>
              <w:t>Calculated using adjusted net income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Statements made in this document,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state, national and international economy (including the impact of tariffs, a U.S. withdrawal from or significant renegotiation of trade agreements, trade wars and other changes in trade regulations); (ii) changes in state and federal laws, regulations and governmental policies concerning the Company’s general business; (iii) changes in interest rates and prepayment rates of the Company’s assets; (iv) increased competition in the financial services sector and the inability to attract new customers;</w:t>
      </w:r>
    </w:p>
    <w:p>
      <w:pPr>
        <w:spacing w:after="0" w:line="8" w:lineRule="exact"/>
        <w:rPr>
          <w:sz w:val="20"/>
          <w:szCs w:val="20"/>
          <w:color w:val="auto"/>
        </w:rPr>
      </w:pPr>
    </w:p>
    <w:p>
      <w:pPr>
        <w:ind w:firstLine="9"/>
        <w:spacing w:after="0" w:line="269"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technology and the ability to develop and maintain secure and reliable electronic systems; (vi) the loss of key executives or employees; (vii) changes in consumer spending; (viii) unexpected results of current and/or future acquisitions, which may include failure to realize the anticipated benefits of any acquisition and the possibility that transaction costs may be greater than anticipated; (ix) unexpected outcomes of existing or new litigation involving the Company; (x) the economic impact of any future terrorist threats or attacks; (xi) the economic impact of exceptional weather occurrences such as tornadoes, hurricanes, floods, and blizzards; and (xii) changes in accounting policies and practices.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Securities and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w:t>
      </w:r>
    </w:p>
    <w:p>
      <w:pPr>
        <w:spacing w:after="0" w:line="162" w:lineRule="exact"/>
        <w:rPr>
          <w:sz w:val="20"/>
          <w:szCs w:val="20"/>
          <w:color w:val="auto"/>
        </w:rPr>
      </w:pPr>
    </w:p>
    <w:p>
      <w:pPr>
        <w:jc w:val="both"/>
        <w:ind w:right="540"/>
        <w:spacing w:after="0" w:line="294" w:lineRule="auto"/>
        <w:rPr>
          <w:sz w:val="20"/>
          <w:szCs w:val="20"/>
          <w:color w:val="auto"/>
        </w:rPr>
      </w:pPr>
      <w:r>
        <w:rPr>
          <w:rFonts w:ascii="Arial" w:cs="Arial" w:eastAsia="Arial" w:hAnsi="Arial"/>
          <w:sz w:val="16"/>
          <w:szCs w:val="16"/>
          <w:color w:val="auto"/>
        </w:rPr>
        <w:t>Our significant accounting policies are described in Note 1 of the Company’s 2018 Form 10-K. The majority of these accounting policies do not require management to make difficult, subjective or complex judgments or estimates or the variability of the estimates is not material. However, the following policies could be deemed critical:</w:t>
      </w:r>
    </w:p>
    <w:p>
      <w:pPr>
        <w:spacing w:after="0" w:line="134"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Fair Value of Investment Securities</w:t>
      </w:r>
      <w:r>
        <w:rPr>
          <w:rFonts w:ascii="Arial" w:cs="Arial" w:eastAsia="Arial" w:hAnsi="Arial"/>
          <w:sz w:val="18"/>
          <w:szCs w:val="18"/>
          <w:color w:val="auto"/>
        </w:rPr>
        <w:t>. The fair values of investment securities are measurements from an independent pricing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Realized securities gains or losses are reported in the Consolidated Statements of Income. The cost of securities sold is based on the specific identification method. Declines in the fair value of debt securities below their amortized cost are evaluated to determine whether such declines are temporary or OTTI. If the Company (i) has the intent to sell a debt security or (ii) will more-likely-than-not be required to sell the debt security before its anticipated recovery, then the Company recognizes the entire decline in fair value as an OTTI loss. If neither of these conditions are met, the Company evaluates whether a credit loss exists. The decline in fair value is separated into the amount of impairment related to the credit loss and the amount of impairment related to all other factors. The amount of the impairment related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to credit loss is recognized in earnings, and the amount of impairment related to all other factors is recognized in other comprehensive income (loss).</w:t>
      </w:r>
    </w:p>
    <w:p>
      <w:pPr>
        <w:spacing w:after="0" w:line="156"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Fair Value of Assets Acquired and Liabilities Assumed in Business Combinations</w:t>
      </w:r>
      <w:r>
        <w:rPr>
          <w:rFonts w:ascii="Arial" w:cs="Arial" w:eastAsia="Arial" w:hAnsi="Arial"/>
          <w:sz w:val="16"/>
          <w:szCs w:val="16"/>
          <w:color w:val="auto"/>
        </w:rPr>
        <w:t>. Business combinations are accounted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using the acquisition method of accounting. Under the acquisition method of accounting, assets acquired and liabilities assumed are recorded at their estimated fair value on the date of acquisition. Fair values are determined based on the definition of “fair value” defined in FASB ASC Topic 820 — Fair Value Measurement as “the price that would be received to sell an asset or paid to transfer a liability in an orderly transaction between market participants at the measurement date.”</w:t>
      </w:r>
    </w:p>
    <w:p>
      <w:pPr>
        <w:spacing w:after="0" w:line="14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fair value of a loan portfolio acquired in a business combination generally requires greater levels of management estimates and judgment than other assets acquired or liabilities assumed. At the date of acquisition, when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At each future reporting date, the Company re-estimates the expected cash flows of the loans. Subsequent decreases in the expected cash flows will generally result in a provision for loan losses. Subsequent increases in the expected cash flows will generally be offset against the allowance for loan losses to the extent an allowance has been established or will be recognized as interest income prospectively.</w:t>
      </w:r>
    </w:p>
    <w:p>
      <w:pPr>
        <w:spacing w:after="0" w:line="178"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purchase price over the fair value of net assets acquired using the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of 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w:t>
      </w:r>
    </w:p>
    <w:p>
      <w:pPr>
        <w:spacing w:after="0" w:line="17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 estimates income tax expense based on amounts expected to be owed to federal and state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probable losses inherent in the loan portfolio as of the date of the consolidated financial statements and reduces the total</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loans outstanding by an estimate of uncollectible loans. Loans deemed uncollectible are charged against and reduce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allowance. A provision for loan losses is charged to current expense and acts to replenish the allowance for loan losses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order to maintain the allowance at a level that management deems adequate. Acquired loans from business combinations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with uncollected principal balances are carried net of a fair value adjustment for credit and interest rates. These loans are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only included in the allowance calculation to the extent that the reserve requirement exceeds the fair value</w:t>
      </w:r>
    </w:p>
    <w:p>
      <w:pPr>
        <w:spacing w:after="0"/>
        <w:rPr>
          <w:sz w:val="20"/>
          <w:szCs w:val="20"/>
          <w:color w:val="auto"/>
        </w:rPr>
      </w:pPr>
      <w:r>
        <w:rPr>
          <w:rFonts w:ascii="Arial" w:cs="Arial" w:eastAsia="Arial" w:hAnsi="Arial"/>
          <w:sz w:val="16"/>
          <w:szCs w:val="16"/>
          <w:color w:val="auto"/>
        </w:rPr>
        <w:t>adjustment. However, as the acquired loans renew, it is generally necessary to establish an allowance which represents an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amount that, in management’s opinion, will be adequate to absorb probable credit losses in such loans.</w:t>
      </w:r>
    </w:p>
    <w:p>
      <w:pPr>
        <w:spacing w:after="0" w:line="20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allowance consists of specific and general components. The specific component considers loans that are classified as impaired. For such loans that are classified as impaired, an allowance is established when either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fair value of the collateral, if the loan is collateral-dependent or based on the discounted cash flows of the loan at the loan’s effective interest rate. The amount of impairment and any subsequent changes are recorded through a charge to the provision for loan losses. For collateral dependent loans, the allowance is based upon the estimated fair value, net of selling costs, of the applicable collateral. The required allowance or actual loss on an impaired loan could differ significantly if the ultimate fair value of the collateral is significantly different from the fair value estimate.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83"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9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83"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4"/>
                <w:szCs w:val="14"/>
                <w:b w:val="1"/>
                <w:bCs w:val="1"/>
                <w:color w:val="auto"/>
              </w:rPr>
              <w:t>Year-One: Basis Point Changes</w:t>
            </w:r>
          </w:p>
        </w:tc>
        <w:tc>
          <w:tcPr>
            <w:tcW w:w="116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- 100</w:t>
            </w:r>
          </w:p>
        </w:tc>
        <w:tc>
          <w:tcPr>
            <w:tcW w:w="13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+100</w:t>
            </w: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+200</w:t>
            </w: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+300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20" w:type="dxa"/>
            <w:vAlign w:val="bottom"/>
            <w:vMerge w:val="restart"/>
          </w:tcPr>
          <w:p>
            <w:pPr>
              <w:spacing w:after="0"/>
              <w:rPr>
                <w:sz w:val="19"/>
                <w:szCs w:val="19"/>
                <w:color w:val="auto"/>
              </w:rPr>
            </w:pP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vMerge w:val="continue"/>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(4.84)%</w:t>
            </w: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2.50 %</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4.81 %</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6.98 %</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vMerge w:val="restart"/>
          </w:tcPr>
          <w:p>
            <w:pPr>
              <w:spacing w:after="0"/>
              <w:rPr>
                <w:sz w:val="19"/>
                <w:szCs w:val="19"/>
                <w:color w:val="auto"/>
              </w:rPr>
            </w:pP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vMerge w:val="continue"/>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(3.58)%</w:t>
            </w: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1.08 %</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2.01 %</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2.88 %</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jc w:val="right"/>
              <w:ind w:right="1017"/>
              <w:spacing w:after="0"/>
              <w:rPr>
                <w:sz w:val="20"/>
                <w:szCs w:val="20"/>
                <w:color w:val="auto"/>
              </w:rPr>
            </w:pPr>
            <w:r>
              <w:rPr>
                <w:rFonts w:ascii="Arial" w:cs="Arial" w:eastAsia="Arial" w:hAnsi="Arial"/>
                <w:sz w:val="18"/>
                <w:szCs w:val="18"/>
                <w:color w:val="auto"/>
              </w:rPr>
              <w:t>61</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30" w:right="14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4"/>
                <w:szCs w:val="14"/>
                <w:b w:val="1"/>
                <w:bCs w:val="1"/>
                <w:color w:val="auto"/>
                <w:w w:val="99"/>
              </w:rPr>
              <w:t>Year-Two: Basis Point Changes</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- 100</w:t>
            </w:r>
          </w:p>
        </w:tc>
        <w:tc>
          <w:tcPr>
            <w:tcW w:w="12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+100</w:t>
            </w: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+200</w:t>
            </w: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(7.22)%</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4.00 %</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7.36 %</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10.53 %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(5.13)%</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1.97 %</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3.70 %</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98"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An evaluation of our disclosure controls and procedures (as defined in Rule 13a-15(e) under the Exchange Act was carried out as of September 30, 2019, under the supervision and with the participation of our Chief Executive Officer, Chief Financial Officer and several other members of our senior management. Based on this evaluation, our Chief Executive Officer and Chief Financial Officer concluded that, as of September 30, 2019,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During the quarter ended September 30, 2019, First Busey did not make any changes in its internal control over financial reporting or other factors that have materially affected, or are reasonably likely to materially affect, its internal control over financial reporting.</w:t>
      </w: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8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disclosed in Item 1A of Part I of the Company’s 2018 Form 10-K.</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30" w:right="14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originally approved in 2008. On May 22, 2019, First Busey’s board of directors approved an amendment to increase the authorized shares under the repurchase program by 1,000,000 shares. During the quarter, the Company repurchased 194,062 shares at an average price of $25.19 per share. At September 30, 2019, the Company had 805,938 shares that may still be purchased under the plan.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3"/>
              </w:rPr>
              <w:t>Maximum number of</w:t>
            </w:r>
          </w:p>
        </w:tc>
      </w:tr>
      <w:tr>
        <w:trPr>
          <w:trHeight w:val="230"/>
        </w:trPr>
        <w:tc>
          <w:tcPr>
            <w:tcW w:w="1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Shares that May Yet Be</w:t>
            </w:r>
          </w:p>
        </w:tc>
      </w:tr>
      <w:tr>
        <w:trPr>
          <w:trHeight w:val="230"/>
        </w:trPr>
        <w:tc>
          <w:tcPr>
            <w:tcW w:w="17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 number of</w:t>
            </w: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Average price paid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Repurchased Under the</w:t>
            </w:r>
          </w:p>
        </w:tc>
      </w:tr>
      <w:tr>
        <w:trPr>
          <w:trHeight w:val="234"/>
        </w:trPr>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Period</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shared purchased</w:t>
            </w: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r>
      <w:tr>
        <w:trPr>
          <w:trHeight w:val="223"/>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July 1-31, 2019</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August 1-31, 2019</w:t>
            </w:r>
          </w:p>
        </w:tc>
        <w:tc>
          <w:tcPr>
            <w:tcW w:w="1620" w:type="dxa"/>
            <w:vAlign w:val="bottom"/>
          </w:tcPr>
          <w:p>
            <w:pPr>
              <w:jc w:val="right"/>
              <w:spacing w:after="0"/>
              <w:rPr>
                <w:sz w:val="20"/>
                <w:szCs w:val="20"/>
                <w:color w:val="auto"/>
              </w:rPr>
            </w:pPr>
            <w:r>
              <w:rPr>
                <w:rFonts w:ascii="Arial" w:cs="Arial" w:eastAsia="Arial" w:hAnsi="Arial"/>
                <w:sz w:val="18"/>
                <w:szCs w:val="18"/>
                <w:color w:val="auto"/>
              </w:rPr>
              <w:t>64,062</w:t>
            </w:r>
          </w:p>
        </w:tc>
        <w:tc>
          <w:tcPr>
            <w:tcW w:w="1640" w:type="dxa"/>
            <w:vAlign w:val="bottom"/>
          </w:tcPr>
          <w:p>
            <w:pPr>
              <w:jc w:val="right"/>
              <w:spacing w:after="0"/>
              <w:rPr>
                <w:sz w:val="20"/>
                <w:szCs w:val="20"/>
                <w:color w:val="auto"/>
              </w:rPr>
            </w:pPr>
            <w:r>
              <w:rPr>
                <w:rFonts w:ascii="Arial" w:cs="Arial" w:eastAsia="Arial" w:hAnsi="Arial"/>
                <w:sz w:val="18"/>
                <w:szCs w:val="18"/>
                <w:color w:val="auto"/>
              </w:rPr>
              <w:t>$ 24.72</w:t>
            </w:r>
          </w:p>
        </w:tc>
        <w:tc>
          <w:tcPr>
            <w:tcW w:w="2060" w:type="dxa"/>
            <w:vAlign w:val="bottom"/>
          </w:tcPr>
          <w:p>
            <w:pPr>
              <w:jc w:val="right"/>
              <w:spacing w:after="0"/>
              <w:rPr>
                <w:sz w:val="20"/>
                <w:szCs w:val="20"/>
                <w:color w:val="auto"/>
              </w:rPr>
            </w:pPr>
            <w:r>
              <w:rPr>
                <w:rFonts w:ascii="Arial" w:cs="Arial" w:eastAsia="Arial" w:hAnsi="Arial"/>
                <w:sz w:val="18"/>
                <w:szCs w:val="18"/>
                <w:color w:val="auto"/>
              </w:rPr>
              <w:t>64,062</w:t>
            </w:r>
          </w:p>
        </w:tc>
        <w:tc>
          <w:tcPr>
            <w:tcW w:w="2040" w:type="dxa"/>
            <w:vAlign w:val="bottom"/>
          </w:tcPr>
          <w:p>
            <w:pPr>
              <w:jc w:val="right"/>
              <w:spacing w:after="0"/>
              <w:rPr>
                <w:sz w:val="20"/>
                <w:szCs w:val="20"/>
                <w:color w:val="auto"/>
              </w:rPr>
            </w:pPr>
            <w:r>
              <w:rPr>
                <w:rFonts w:ascii="Arial" w:cs="Arial" w:eastAsia="Arial" w:hAnsi="Arial"/>
                <w:sz w:val="18"/>
                <w:szCs w:val="18"/>
                <w:color w:val="auto"/>
              </w:rPr>
              <w:t>935,938</w:t>
            </w:r>
          </w:p>
        </w:tc>
      </w:tr>
      <w:tr>
        <w:trPr>
          <w:trHeight w:val="230"/>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3"/>
              </w:rPr>
              <w:t>September 1-30, 2019</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$ 25.43</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805,938</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30" w:right="1419" w:bottom="1440" w:gutter="0" w:footer="0" w:header="0"/>
        </w:sectPr>
      </w:pPr>
    </w:p>
    <w:bookmarkStart w:id="63" w:name="page64"/>
    <w:bookmarkEnd w:id="6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8140" w:type="dxa"/>
            <w:vAlign w:val="bottom"/>
            <w:gridSpan w:val="9"/>
          </w:tcPr>
          <w:p>
            <w:pPr>
              <w:ind w:left="2820"/>
              <w:spacing w:after="0"/>
              <w:rPr>
                <w:sz w:val="20"/>
                <w:szCs w:val="20"/>
                <w:color w:val="auto"/>
              </w:rPr>
            </w:pPr>
            <w:r>
              <w:rPr>
                <w:rFonts w:ascii="Arial" w:cs="Arial" w:eastAsia="Arial" w:hAnsi="Arial"/>
                <w:sz w:val="18"/>
                <w:szCs w:val="18"/>
                <w:b w:val="1"/>
                <w:bCs w:val="1"/>
                <w:color w:val="auto"/>
              </w:rPr>
              <w:t>ITEM 6. EXHIBITS</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8140" w:type="dxa"/>
            <w:vAlign w:val="bottom"/>
            <w:gridSpan w:val="9"/>
          </w:tcPr>
          <w:p>
            <w:pPr>
              <w:spacing w:after="0"/>
              <w:rPr>
                <w:rFonts w:ascii="Arial" w:cs="Arial" w:eastAsia="Arial" w:hAnsi="Arial"/>
                <w:sz w:val="18"/>
                <w:szCs w:val="18"/>
                <w:color w:val="0000EE"/>
                <w:w w:val="94"/>
              </w:rPr>
            </w:pPr>
            <w:hyperlink r:id="rId94">
              <w:r>
                <w:rPr>
                  <w:rFonts w:ascii="Arial" w:cs="Arial" w:eastAsia="Arial" w:hAnsi="Arial"/>
                  <w:sz w:val="18"/>
                  <w:szCs w:val="18"/>
                  <w:color w:val="0000EE"/>
                  <w:w w:val="94"/>
                </w:rPr>
                <w:t>Employment Agreement by and between First Busey Corporation and Jeffrey D. Jones, dated July 26, 2019</w:t>
              </w:r>
            </w:hyperlink>
          </w:p>
        </w:tc>
      </w:tr>
      <w:tr>
        <w:trPr>
          <w:trHeight w:val="183"/>
        </w:trPr>
        <w:tc>
          <w:tcPr>
            <w:tcW w:w="920" w:type="dxa"/>
            <w:vAlign w:val="bottom"/>
          </w:tcPr>
          <w:p>
            <w:pPr>
              <w:spacing w:after="0"/>
              <w:rPr>
                <w:sz w:val="15"/>
                <w:szCs w:val="15"/>
                <w:color w:val="auto"/>
              </w:rPr>
            </w:pPr>
          </w:p>
        </w:tc>
        <w:tc>
          <w:tcPr>
            <w:tcW w:w="7740" w:type="dxa"/>
            <w:vAlign w:val="bottom"/>
            <w:tcBorders>
              <w:top w:val="single" w:sz="8" w:color="0000EE"/>
            </w:tcBorders>
            <w:gridSpan w:val="6"/>
          </w:tcPr>
          <w:p>
            <w:pPr>
              <w:spacing w:after="0" w:line="182"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(filed as Exhibit 10.1 to the Company’s Form 8-K filed with the Commission on July 26, 2019 (Commission</w:t>
              </w:r>
            </w:hyperlink>
          </w:p>
        </w:tc>
        <w:tc>
          <w:tcPr>
            <w:tcW w:w="400" w:type="dxa"/>
            <w:vAlign w:val="bottom"/>
            <w:gridSpan w:val="3"/>
          </w:tcPr>
          <w:p>
            <w:pPr>
              <w:ind w:left="120"/>
              <w:spacing w:after="0" w:line="182"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No.</w:t>
              </w:r>
            </w:hyperlink>
          </w:p>
        </w:tc>
      </w:tr>
      <w:tr>
        <w:trPr>
          <w:trHeight w:val="183"/>
        </w:trPr>
        <w:tc>
          <w:tcPr>
            <w:tcW w:w="920" w:type="dxa"/>
            <w:vAlign w:val="bottom"/>
          </w:tcPr>
          <w:p>
            <w:pPr>
              <w:spacing w:after="0"/>
              <w:rPr>
                <w:sz w:val="15"/>
                <w:szCs w:val="15"/>
                <w:color w:val="auto"/>
              </w:rPr>
            </w:pPr>
          </w:p>
        </w:tc>
        <w:tc>
          <w:tcPr>
            <w:tcW w:w="81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94">
              <w:r>
                <w:rPr>
                  <w:rFonts w:ascii="Arial" w:cs="Arial" w:eastAsia="Arial" w:hAnsi="Arial"/>
                  <w:sz w:val="18"/>
                  <w:szCs w:val="18"/>
                  <w:color w:val="0000EE"/>
                </w:rPr>
                <w:t>0-15950), and incorporated herein by reference).</w:t>
              </w:r>
            </w:hyperlink>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66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of Principal Executive Officer, pursuant to Rule 13a-14(a) and Rule 15d-14(a).</w:t>
            </w:r>
          </w:p>
        </w:tc>
        <w:tc>
          <w:tcPr>
            <w:tcW w:w="1500" w:type="dxa"/>
            <w:vAlign w:val="bottom"/>
            <w:gridSpan w:val="4"/>
          </w:tcPr>
          <w:p>
            <w:pPr>
              <w:spacing w:after="0"/>
              <w:rPr>
                <w:sz w:val="24"/>
                <w:szCs w:val="24"/>
                <w:color w:val="auto"/>
              </w:rPr>
            </w:pPr>
          </w:p>
        </w:tc>
      </w:tr>
      <w:tr>
        <w:trPr>
          <w:trHeight w:val="439"/>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8140" w:type="dxa"/>
            <w:vAlign w:val="bottom"/>
            <w:gridSpan w:val="9"/>
          </w:tcPr>
          <w:p>
            <w:pPr>
              <w:spacing w:after="0"/>
              <w:rPr>
                <w:sz w:val="20"/>
                <w:szCs w:val="20"/>
                <w:color w:val="auto"/>
              </w:rPr>
            </w:pPr>
            <w:r>
              <w:rPr>
                <w:rFonts w:ascii="Arial" w:cs="Arial" w:eastAsia="Arial" w:hAnsi="Arial"/>
                <w:sz w:val="18"/>
                <w:szCs w:val="18"/>
                <w:color w:val="0000EE"/>
              </w:rPr>
              <w:t>Certification of Principal Financial Officer, pursuant to Rule 13a-14(a) and Rule 15d-14(a).</w:t>
            </w:r>
          </w:p>
        </w:tc>
      </w:tr>
      <w:tr>
        <w:trPr>
          <w:trHeight w:val="20"/>
        </w:trPr>
        <w:tc>
          <w:tcPr>
            <w:tcW w:w="920" w:type="dxa"/>
            <w:vAlign w:val="bottom"/>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8140" w:type="dxa"/>
            <w:vAlign w:val="bottom"/>
            <w:gridSpan w:val="9"/>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w:t>
            </w:r>
          </w:p>
        </w:tc>
      </w:tr>
      <w:tr>
        <w:trPr>
          <w:trHeight w:val="183"/>
        </w:trPr>
        <w:tc>
          <w:tcPr>
            <w:tcW w:w="92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2"/>
              </w:rPr>
              <w:t>of 2002, from the Company’s Chief Executive Officer.</w:t>
            </w:r>
          </w:p>
        </w:tc>
        <w:tc>
          <w:tcPr>
            <w:tcW w:w="4140" w:type="dxa"/>
            <w:vAlign w:val="bottom"/>
            <w:tcBorders>
              <w:top w:val="single" w:sz="8" w:color="0000EE"/>
            </w:tcBorders>
            <w:gridSpan w:val="4"/>
          </w:tcPr>
          <w:p>
            <w:pPr>
              <w:spacing w:after="0"/>
              <w:rPr>
                <w:sz w:val="15"/>
                <w:szCs w:val="15"/>
                <w:color w:val="auto"/>
              </w:rPr>
            </w:pPr>
          </w:p>
        </w:tc>
        <w:tc>
          <w:tcPr>
            <w:tcW w:w="60" w:type="dxa"/>
            <w:vAlign w:val="bottom"/>
            <w:gridSpan w:val="2"/>
          </w:tcPr>
          <w:p>
            <w:pPr>
              <w:spacing w:after="0"/>
              <w:rPr>
                <w:sz w:val="15"/>
                <w:szCs w:val="15"/>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8140" w:type="dxa"/>
            <w:vAlign w:val="bottom"/>
            <w:gridSpan w:val="9"/>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w:t>
            </w:r>
          </w:p>
        </w:tc>
      </w:tr>
      <w:tr>
        <w:trPr>
          <w:trHeight w:val="183"/>
        </w:trPr>
        <w:tc>
          <w:tcPr>
            <w:tcW w:w="920" w:type="dxa"/>
            <w:vAlign w:val="bottom"/>
          </w:tcPr>
          <w:p>
            <w:pPr>
              <w:spacing w:after="0"/>
              <w:rPr>
                <w:sz w:val="15"/>
                <w:szCs w:val="15"/>
                <w:color w:val="auto"/>
              </w:rPr>
            </w:pPr>
          </w:p>
        </w:tc>
        <w:tc>
          <w:tcPr>
            <w:tcW w:w="80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of 2002, from the Company’s Chief Financial Officer.</w:t>
            </w:r>
          </w:p>
        </w:tc>
        <w:tc>
          <w:tcPr>
            <w:tcW w:w="60" w:type="dxa"/>
            <w:vAlign w:val="bottom"/>
            <w:gridSpan w:val="2"/>
          </w:tcPr>
          <w:p>
            <w:pPr>
              <w:spacing w:after="0"/>
              <w:rPr>
                <w:sz w:val="15"/>
                <w:szCs w:val="15"/>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iXBRL Instance Document</w:t>
            </w:r>
          </w:p>
        </w:tc>
        <w:tc>
          <w:tcPr>
            <w:tcW w:w="4260" w:type="dxa"/>
            <w:vAlign w:val="bottom"/>
            <w:gridSpan w:val="7"/>
          </w:tcPr>
          <w:p>
            <w:pPr>
              <w:spacing w:after="0"/>
              <w:rPr>
                <w:sz w:val="24"/>
                <w:szCs w:val="24"/>
                <w:color w:val="auto"/>
              </w:rPr>
            </w:pP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8140" w:type="dxa"/>
            <w:vAlign w:val="bottom"/>
            <w:gridSpan w:val="9"/>
          </w:tcPr>
          <w:p>
            <w:pPr>
              <w:spacing w:after="0"/>
              <w:rPr>
                <w:sz w:val="20"/>
                <w:szCs w:val="20"/>
                <w:color w:val="auto"/>
              </w:rPr>
            </w:pPr>
            <w:r>
              <w:rPr>
                <w:rFonts w:ascii="Arial" w:cs="Arial" w:eastAsia="Arial" w:hAnsi="Arial"/>
                <w:sz w:val="18"/>
                <w:szCs w:val="18"/>
                <w:color w:val="auto"/>
              </w:rPr>
              <w:t>iXBRL Taxonomy Extension Schema</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8140" w:type="dxa"/>
            <w:vAlign w:val="bottom"/>
            <w:gridSpan w:val="9"/>
          </w:tcPr>
          <w:p>
            <w:pPr>
              <w:spacing w:after="0"/>
              <w:rPr>
                <w:sz w:val="20"/>
                <w:szCs w:val="20"/>
                <w:color w:val="auto"/>
              </w:rPr>
            </w:pPr>
            <w:r>
              <w:rPr>
                <w:rFonts w:ascii="Arial" w:cs="Arial" w:eastAsia="Arial" w:hAnsi="Arial"/>
                <w:sz w:val="18"/>
                <w:szCs w:val="18"/>
                <w:color w:val="auto"/>
              </w:rPr>
              <w:t>iXBRL Taxonomy Extension Calculation Linkbase</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8140" w:type="dxa"/>
            <w:vAlign w:val="bottom"/>
            <w:gridSpan w:val="9"/>
          </w:tcPr>
          <w:p>
            <w:pPr>
              <w:spacing w:after="0"/>
              <w:rPr>
                <w:sz w:val="20"/>
                <w:szCs w:val="20"/>
                <w:color w:val="auto"/>
              </w:rPr>
            </w:pPr>
            <w:r>
              <w:rPr>
                <w:rFonts w:ascii="Arial" w:cs="Arial" w:eastAsia="Arial" w:hAnsi="Arial"/>
                <w:sz w:val="18"/>
                <w:szCs w:val="18"/>
                <w:color w:val="auto"/>
              </w:rPr>
              <w:t>iXBRL Taxonomy Extension Label Linkbase</w:t>
            </w:r>
          </w:p>
        </w:tc>
      </w:tr>
      <w:tr>
        <w:trPr>
          <w:trHeight w:val="513"/>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8140" w:type="dxa"/>
            <w:vAlign w:val="bottom"/>
            <w:gridSpan w:val="9"/>
          </w:tcPr>
          <w:p>
            <w:pPr>
              <w:spacing w:after="0"/>
              <w:rPr>
                <w:sz w:val="20"/>
                <w:szCs w:val="20"/>
                <w:color w:val="auto"/>
              </w:rPr>
            </w:pPr>
            <w:r>
              <w:rPr>
                <w:rFonts w:ascii="Arial" w:cs="Arial" w:eastAsia="Arial" w:hAnsi="Arial"/>
                <w:sz w:val="18"/>
                <w:szCs w:val="18"/>
                <w:color w:val="auto"/>
              </w:rPr>
              <w:t>iXBRL Taxonomy Extension Presentation Linkbase</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8140" w:type="dxa"/>
            <w:vAlign w:val="bottom"/>
            <w:gridSpan w:val="9"/>
          </w:tcPr>
          <w:p>
            <w:pPr>
              <w:spacing w:after="0"/>
              <w:rPr>
                <w:sz w:val="20"/>
                <w:szCs w:val="20"/>
                <w:color w:val="auto"/>
              </w:rPr>
            </w:pPr>
            <w:r>
              <w:rPr>
                <w:rFonts w:ascii="Arial" w:cs="Arial" w:eastAsia="Arial" w:hAnsi="Arial"/>
                <w:sz w:val="18"/>
                <w:szCs w:val="18"/>
                <w:color w:val="auto"/>
              </w:rPr>
              <w:t>iXBRL Taxonomy Extension Definition Linkbase</w:t>
            </w:r>
          </w:p>
        </w:tc>
      </w:tr>
    </w:tbl>
    <w:p>
      <w:pPr>
        <w:spacing w:after="0" w:line="229" w:lineRule="exact"/>
        <w:rPr>
          <w:sz w:val="20"/>
          <w:szCs w:val="20"/>
          <w:color w:val="auto"/>
        </w:rPr>
      </w:pPr>
    </w:p>
    <w:p>
      <w:pPr>
        <w:ind w:left="920" w:right="259" w:hanging="915"/>
        <w:spacing w:after="0" w:line="262"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48260</wp:posOffset>
            </wp:positionV>
            <wp:extent cx="14408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49" w:lineRule="exact"/>
        <w:rPr>
          <w:sz w:val="20"/>
          <w:szCs w:val="20"/>
          <w:color w:val="auto"/>
        </w:rPr>
      </w:pPr>
    </w:p>
    <w:p>
      <w:pPr>
        <w:ind w:left="360" w:hanging="331"/>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349250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59"/>
          </w:cols>
          <w:pgMar w:left="1400" w:top="530" w:right="1440"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19"/>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FIRST BUSEY CORPORATION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w:t>
      </w:r>
    </w:p>
    <w:p>
      <w:pPr>
        <w:spacing w:after="0" w:line="2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By:/s/ VAN A. DUKEMAN</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-130175</wp:posOffset>
            </wp:positionV>
            <wp:extent cx="26498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By:/s/ JEFFREY D. JONES</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-130175</wp:posOffset>
            </wp:positionV>
            <wp:extent cx="26498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ind w:left="4880"/>
        <w:spacing w:after="0"/>
        <w:rPr>
          <w:sz w:val="20"/>
          <w:szCs w:val="20"/>
          <w:color w:val="auto"/>
        </w:rPr>
      </w:pPr>
      <w:r>
        <w:rPr>
          <w:rFonts w:ascii="Arial" w:cs="Arial" w:eastAsia="Arial" w:hAnsi="Arial"/>
          <w:sz w:val="17"/>
          <w:szCs w:val="17"/>
          <w:color w:val="auto"/>
        </w:rPr>
        <w:t>(Principal Financial Officer and Principal Accounting</w:t>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30"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661"/>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21" w:right="100" w:hanging="321"/>
        <w:spacing w:after="0" w:line="264" w:lineRule="auto"/>
        <w:tabs>
          <w:tab w:leader="none" w:pos="3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21" w:hanging="321"/>
        <w:spacing w:after="0" w:line="264" w:lineRule="auto"/>
        <w:tabs>
          <w:tab w:leader="none" w:pos="3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1" w:right="60" w:hanging="320"/>
        <w:spacing w:after="0" w:line="286" w:lineRule="auto"/>
        <w:tabs>
          <w:tab w:leader="none" w:pos="642"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601" w:right="360" w:hanging="320"/>
        <w:spacing w:after="0" w:line="286" w:lineRule="auto"/>
        <w:tabs>
          <w:tab w:leader="none" w:pos="652"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1" w:right="60" w:hanging="320"/>
        <w:spacing w:after="0" w:line="264" w:lineRule="auto"/>
        <w:tabs>
          <w:tab w:leader="none" w:pos="642"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601" w:right="160" w:hanging="320"/>
        <w:spacing w:after="0" w:line="312" w:lineRule="auto"/>
        <w:tabs>
          <w:tab w:leader="none" w:pos="6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321" w:right="360" w:hanging="321"/>
        <w:spacing w:after="0" w:line="264"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2"/>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-130810</wp:posOffset>
            </wp:positionV>
            <wp:extent cx="31902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7,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681"/>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21" w:right="100" w:hanging="321"/>
        <w:spacing w:after="0" w:line="264" w:lineRule="auto"/>
        <w:tabs>
          <w:tab w:leader="none" w:pos="3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21" w:hanging="321"/>
        <w:spacing w:after="0" w:line="264" w:lineRule="auto"/>
        <w:tabs>
          <w:tab w:leader="none" w:pos="3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41" w:right="20" w:hanging="317"/>
        <w:spacing w:after="0" w:line="286" w:lineRule="auto"/>
        <w:tabs>
          <w:tab w:leader="none" w:pos="636" w:val="left"/>
        </w:tabs>
        <w:numPr>
          <w:ilvl w:val="2"/>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601" w:right="360" w:hanging="320"/>
        <w:spacing w:after="0" w:line="286" w:lineRule="auto"/>
        <w:tabs>
          <w:tab w:leader="none" w:pos="652"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1" w:right="60" w:hanging="320"/>
        <w:spacing w:after="0" w:line="264" w:lineRule="auto"/>
        <w:tabs>
          <w:tab w:leader="none" w:pos="64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601" w:right="160" w:hanging="320"/>
        <w:spacing w:after="0" w:line="312" w:lineRule="auto"/>
        <w:tabs>
          <w:tab w:leader="none" w:pos="652"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321" w:right="360" w:hanging="321"/>
        <w:spacing w:after="0" w:line="264"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2"/>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-130810</wp:posOffset>
            </wp:positionV>
            <wp:extent cx="31902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7,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67" w:name="page68"/>
    <w:bookmarkEnd w:id="67"/>
    <w:p>
      <w:pPr>
        <w:ind w:left="894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September 30, 2019,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68" w:name="page69"/>
    <w:bookmarkEnd w:id="68"/>
    <w:p>
      <w:pPr>
        <w:ind w:left="894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September 30, 2019,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Roman"/>
      <w:start w:val="5"/>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94" Type="http://schemas.openxmlformats.org/officeDocument/2006/relationships/hyperlink" Target="http://www.sec.gov/Archives/edgar/data/314489/000110465919041964/a19-13333_1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2020-01-09T07:39:25Z</dcterms:created>
  <dcterms:modified xsi:type="dcterms:W3CDTF">2020-01-09T07:39:25Z</dcterms:modified>
</cp:coreProperties>
</file>