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392430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67" w:lineRule="exact"/>
        <w:rPr>
          <w:sz w:val="24"/>
          <w:szCs w:val="24"/>
          <w:color w:val="auto"/>
        </w:rPr>
      </w:pPr>
    </w:p>
    <w:p>
      <w:pPr>
        <w:ind w:left="2900" w:right="1680" w:hanging="2674"/>
        <w:spacing w:after="0" w:line="305" w:lineRule="auto"/>
        <w:tabs>
          <w:tab w:leader="none" w:pos="604"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3/31/2019</w:t>
      </w:r>
    </w:p>
    <w:p>
      <w:pPr>
        <w:spacing w:after="0" w:line="30" w:lineRule="exact"/>
        <w:rPr>
          <w:sz w:val="24"/>
          <w:szCs w:val="24"/>
          <w:color w:val="auto"/>
        </w:rPr>
      </w:pPr>
    </w:p>
    <w:p>
      <w:pPr>
        <w:ind w:left="3420" w:right="1640" w:hanging="3194"/>
        <w:spacing w:after="0" w:line="284" w:lineRule="auto"/>
        <w:tabs>
          <w:tab w:leader="none" w:pos="617"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No. 0-15950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FIRST BUSEY CORPORATION</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3"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4020" w:type="dxa"/>
            <w:vAlign w:val="bottom"/>
          </w:tcPr>
          <w:p>
            <w:pPr>
              <w:jc w:val="center"/>
              <w:ind w:right="830"/>
              <w:spacing w:after="0"/>
              <w:rPr>
                <w:sz w:val="20"/>
                <w:szCs w:val="20"/>
                <w:color w:val="auto"/>
              </w:rPr>
            </w:pPr>
            <w:r>
              <w:rPr>
                <w:rFonts w:ascii="Arial" w:cs="Arial" w:eastAsia="Arial" w:hAnsi="Arial"/>
                <w:sz w:val="18"/>
                <w:szCs w:val="18"/>
                <w:b w:val="1"/>
                <w:bCs w:val="1"/>
                <w:color w:val="auto"/>
                <w:w w:val="90"/>
              </w:rPr>
              <w:t>Nevada</w:t>
            </w:r>
          </w:p>
        </w:tc>
        <w:tc>
          <w:tcPr>
            <w:tcW w:w="3540" w:type="dxa"/>
            <w:vAlign w:val="bottom"/>
          </w:tcPr>
          <w:p>
            <w:pPr>
              <w:jc w:val="right"/>
              <w:ind w:right="790"/>
              <w:spacing w:after="0"/>
              <w:rPr>
                <w:sz w:val="20"/>
                <w:szCs w:val="20"/>
                <w:color w:val="auto"/>
              </w:rPr>
            </w:pPr>
            <w:r>
              <w:rPr>
                <w:rFonts w:ascii="Arial" w:cs="Arial" w:eastAsia="Arial" w:hAnsi="Arial"/>
                <w:sz w:val="18"/>
                <w:szCs w:val="18"/>
                <w:b w:val="1"/>
                <w:bCs w:val="1"/>
                <w:color w:val="auto"/>
              </w:rPr>
              <w:t>37-1078406</w:t>
            </w:r>
          </w:p>
        </w:tc>
        <w:tc>
          <w:tcPr>
            <w:tcW w:w="0" w:type="dxa"/>
            <w:vAlign w:val="bottom"/>
          </w:tcPr>
          <w:p>
            <w:pPr>
              <w:spacing w:after="0"/>
              <w:rPr>
                <w:sz w:val="1"/>
                <w:szCs w:val="1"/>
                <w:color w:val="auto"/>
              </w:rPr>
            </w:pPr>
          </w:p>
        </w:tc>
      </w:tr>
      <w:tr>
        <w:trPr>
          <w:trHeight w:val="176"/>
        </w:trPr>
        <w:tc>
          <w:tcPr>
            <w:tcW w:w="4020" w:type="dxa"/>
            <w:vAlign w:val="bottom"/>
          </w:tcPr>
          <w:p>
            <w:pPr>
              <w:jc w:val="center"/>
              <w:ind w:right="830"/>
              <w:spacing w:after="0" w:line="176" w:lineRule="exact"/>
              <w:rPr>
                <w:sz w:val="20"/>
                <w:szCs w:val="20"/>
                <w:color w:val="auto"/>
              </w:rPr>
            </w:pPr>
            <w:r>
              <w:rPr>
                <w:rFonts w:ascii="Arial" w:cs="Arial" w:eastAsia="Arial" w:hAnsi="Arial"/>
                <w:sz w:val="18"/>
                <w:szCs w:val="18"/>
                <w:color w:val="auto"/>
                <w:w w:val="92"/>
              </w:rPr>
              <w:t>(State or other jurisdiction of incorporation</w:t>
            </w:r>
          </w:p>
        </w:tc>
        <w:tc>
          <w:tcPr>
            <w:tcW w:w="3540" w:type="dxa"/>
            <w:vAlign w:val="bottom"/>
          </w:tcPr>
          <w:p>
            <w:pPr>
              <w:jc w:val="center"/>
              <w:ind w:left="830"/>
              <w:spacing w:after="0" w:line="176"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198"/>
        </w:trPr>
        <w:tc>
          <w:tcPr>
            <w:tcW w:w="4020" w:type="dxa"/>
            <w:vAlign w:val="bottom"/>
          </w:tcPr>
          <w:p>
            <w:pPr>
              <w:jc w:val="center"/>
              <w:ind w:right="830"/>
              <w:spacing w:after="0" w:line="198" w:lineRule="exact"/>
              <w:rPr>
                <w:sz w:val="20"/>
                <w:szCs w:val="20"/>
                <w:color w:val="auto"/>
              </w:rPr>
            </w:pPr>
            <w:r>
              <w:rPr>
                <w:rFonts w:ascii="Arial" w:cs="Arial" w:eastAsia="Arial" w:hAnsi="Arial"/>
                <w:sz w:val="18"/>
                <w:szCs w:val="18"/>
                <w:color w:val="auto"/>
                <w:w w:val="91"/>
              </w:rPr>
              <w:t>or organization)</w:t>
            </w: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20" w:type="dxa"/>
            <w:vAlign w:val="bottom"/>
          </w:tcPr>
          <w:p>
            <w:pPr>
              <w:jc w:val="center"/>
              <w:ind w:right="830"/>
              <w:spacing w:after="0" w:line="181" w:lineRule="exact"/>
              <w:rPr>
                <w:sz w:val="20"/>
                <w:szCs w:val="20"/>
                <w:color w:val="auto"/>
              </w:rPr>
            </w:pPr>
            <w:r>
              <w:rPr>
                <w:rFonts w:ascii="Arial" w:cs="Arial" w:eastAsia="Arial" w:hAnsi="Arial"/>
                <w:sz w:val="18"/>
                <w:szCs w:val="18"/>
                <w:b w:val="1"/>
                <w:bCs w:val="1"/>
                <w:color w:val="auto"/>
                <w:w w:val="90"/>
              </w:rPr>
              <w:t>100 W. University Ave.</w:t>
            </w:r>
          </w:p>
        </w:tc>
        <w:tc>
          <w:tcPr>
            <w:tcW w:w="3540" w:type="dxa"/>
            <w:vAlign w:val="bottom"/>
            <w:vMerge w:val="restart"/>
          </w:tcPr>
          <w:p>
            <w:pPr>
              <w:jc w:val="right"/>
              <w:ind w:right="1010"/>
              <w:spacing w:after="0"/>
              <w:rPr>
                <w:sz w:val="20"/>
                <w:szCs w:val="20"/>
                <w:color w:val="auto"/>
              </w:rPr>
            </w:pPr>
            <w:r>
              <w:rPr>
                <w:rFonts w:ascii="Arial" w:cs="Arial" w:eastAsia="Arial" w:hAnsi="Arial"/>
                <w:sz w:val="18"/>
                <w:szCs w:val="18"/>
                <w:b w:val="1"/>
                <w:bCs w:val="1"/>
                <w:color w:val="auto"/>
              </w:rPr>
              <w:t>61820</w:t>
            </w:r>
          </w:p>
        </w:tc>
        <w:tc>
          <w:tcPr>
            <w:tcW w:w="0" w:type="dxa"/>
            <w:vAlign w:val="bottom"/>
          </w:tcPr>
          <w:p>
            <w:pPr>
              <w:spacing w:after="0"/>
              <w:rPr>
                <w:sz w:val="1"/>
                <w:szCs w:val="1"/>
                <w:color w:val="auto"/>
              </w:rPr>
            </w:pPr>
          </w:p>
        </w:tc>
      </w:tr>
      <w:tr>
        <w:trPr>
          <w:trHeight w:val="176"/>
        </w:trPr>
        <w:tc>
          <w:tcPr>
            <w:tcW w:w="4020" w:type="dxa"/>
            <w:vAlign w:val="bottom"/>
          </w:tcPr>
          <w:p>
            <w:pPr>
              <w:jc w:val="center"/>
              <w:ind w:right="810"/>
              <w:spacing w:after="0" w:line="176" w:lineRule="exact"/>
              <w:rPr>
                <w:sz w:val="20"/>
                <w:szCs w:val="20"/>
                <w:color w:val="auto"/>
              </w:rPr>
            </w:pPr>
            <w:r>
              <w:rPr>
                <w:rFonts w:ascii="Arial" w:cs="Arial" w:eastAsia="Arial" w:hAnsi="Arial"/>
                <w:sz w:val="18"/>
                <w:szCs w:val="18"/>
                <w:b w:val="1"/>
                <w:bCs w:val="1"/>
                <w:color w:val="auto"/>
                <w:w w:val="92"/>
              </w:rPr>
              <w:t>Champaign, Illinois</w:t>
            </w:r>
          </w:p>
        </w:tc>
        <w:tc>
          <w:tcPr>
            <w:tcW w:w="3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20" w:type="dxa"/>
            <w:vAlign w:val="bottom"/>
          </w:tcPr>
          <w:p>
            <w:pPr>
              <w:jc w:val="center"/>
              <w:ind w:right="830"/>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jc w:val="center"/>
              <w:ind w:left="810"/>
              <w:spacing w:after="0"/>
              <w:rPr>
                <w:sz w:val="20"/>
                <w:szCs w:val="20"/>
                <w:color w:val="auto"/>
              </w:rPr>
            </w:pPr>
            <w:r>
              <w:rPr>
                <w:rFonts w:ascii="Arial" w:cs="Arial" w:eastAsia="Arial" w:hAnsi="Arial"/>
                <w:sz w:val="18"/>
                <w:szCs w:val="18"/>
                <w:color w:val="auto"/>
                <w:w w:val="93"/>
              </w:rPr>
              <w:t>(Zip code)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20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38"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N/A</w:t>
      </w: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4" w:lineRule="exact"/>
        <w:rPr>
          <w:sz w:val="24"/>
          <w:szCs w:val="24"/>
          <w:color w:val="auto"/>
        </w:rPr>
      </w:pPr>
    </w:p>
    <w:p>
      <w:pPr>
        <w:ind w:right="140"/>
        <w:spacing w:after="0" w:line="20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 w:lineRule="exact"/>
        <w:rPr>
          <w:sz w:val="24"/>
          <w:szCs w:val="24"/>
          <w:color w:val="auto"/>
        </w:rPr>
      </w:pPr>
    </w:p>
    <w:p>
      <w:pPr>
        <w:ind w:right="320"/>
        <w:spacing w:after="0" w:line="201"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 w:lineRule="exact"/>
        <w:rPr>
          <w:sz w:val="24"/>
          <w:szCs w:val="24"/>
          <w:color w:val="auto"/>
        </w:rPr>
      </w:pPr>
    </w:p>
    <w:p>
      <w:pPr>
        <w:ind w:right="120"/>
        <w:spacing w:after="0" w:line="23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60"/>
          </w:cols>
          <w:pgMar w:left="1420" w:top="220" w:right="1419" w:bottom="1440" w:gutter="0" w:footer="0" w:header="0"/>
        </w:sectPr>
      </w:pP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w:t>
      </w:r>
    </w:p>
    <w:p>
      <w:pPr>
        <w:spacing w:after="0" w:line="203" w:lineRule="auto"/>
        <w:rPr>
          <w:sz w:val="20"/>
          <w:szCs w:val="20"/>
          <w:color w:val="auto"/>
        </w:rPr>
      </w:pPr>
      <w:r>
        <w:rPr>
          <w:rFonts w:ascii="Arial" w:cs="Arial" w:eastAsia="Arial" w:hAnsi="Arial"/>
          <w:sz w:val="18"/>
          <w:szCs w:val="18"/>
          <w:color w:val="auto"/>
        </w:rPr>
        <w:t>Non-accelerated filer</w:t>
      </w: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71" w:lineRule="exact"/>
        <w:tabs>
          <w:tab w:leader="none" w:pos="242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tabs>
          <w:tab w:leader="none" w:pos="16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67" w:lineRule="exact"/>
        <w:rPr>
          <w:sz w:val="24"/>
          <w:szCs w:val="24"/>
          <w:color w:val="auto"/>
        </w:rPr>
      </w:pPr>
    </w:p>
    <w:p>
      <w:pPr>
        <w:sectPr>
          <w:pgSz w:w="11900" w:h="16838" w:orient="portrait"/>
          <w:cols w:equalWidth="0" w:num="2">
            <w:col w:w="1960" w:space="560"/>
            <w:col w:w="6540"/>
          </w:cols>
          <w:pgMar w:left="1420" w:top="220" w:right="1419" w:bottom="1440" w:gutter="0" w:footer="0" w:header="0"/>
          <w:type w:val="continuous"/>
        </w:sectPr>
      </w:pPr>
    </w:p>
    <w:p>
      <w:pPr>
        <w:jc w:val="both"/>
        <w:ind w:right="460"/>
        <w:spacing w:after="0" w:line="20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transaction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
        <w:spacing w:after="0" w:line="21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 (s)</w:t>
            </w:r>
          </w:p>
        </w:tc>
        <w:tc>
          <w:tcPr>
            <w:tcW w:w="4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90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BUSE</w:t>
            </w:r>
          </w:p>
        </w:tc>
        <w:tc>
          <w:tcPr>
            <w:tcW w:w="4120" w:type="dxa"/>
            <w:vAlign w:val="bottom"/>
          </w:tcPr>
          <w:p>
            <w:pPr>
              <w:jc w:val="center"/>
              <w:ind w:right="10"/>
              <w:spacing w:after="0"/>
              <w:rPr>
                <w:sz w:val="20"/>
                <w:szCs w:val="20"/>
                <w:color w:val="auto"/>
              </w:rPr>
            </w:pPr>
            <w:r>
              <w:rPr>
                <w:rFonts w:ascii="Arial" w:cs="Arial" w:eastAsia="Arial" w:hAnsi="Arial"/>
                <w:sz w:val="18"/>
                <w:szCs w:val="18"/>
                <w:color w:val="auto"/>
                <w:w w:val="91"/>
              </w:rPr>
              <w:t>The Nasdaq Stock Market LLC</w:t>
            </w:r>
          </w:p>
        </w:tc>
      </w:tr>
    </w:tbl>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3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Class</w:t>
            </w:r>
          </w:p>
        </w:tc>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2"/>
              </w:rPr>
              <w:t>Outstanding at May 8, 2019</w:t>
            </w:r>
          </w:p>
        </w:tc>
        <w:tc>
          <w:tcPr>
            <w:tcW w:w="900" w:type="dxa"/>
            <w:vAlign w:val="bottom"/>
          </w:tcPr>
          <w:p>
            <w:pPr>
              <w:spacing w:after="0"/>
              <w:rPr>
                <w:sz w:val="18"/>
                <w:szCs w:val="18"/>
                <w:color w:val="auto"/>
              </w:rPr>
            </w:pPr>
          </w:p>
        </w:tc>
      </w:tr>
      <w:tr>
        <w:trPr>
          <w:trHeight w:val="183"/>
        </w:trPr>
        <w:tc>
          <w:tcPr>
            <w:tcW w:w="920" w:type="dxa"/>
            <w:vAlign w:val="bottom"/>
            <w:tcBorders>
              <w:bottom w:val="single" w:sz="8" w:color="auto"/>
            </w:tcBorders>
          </w:tcPr>
          <w:p>
            <w:pPr>
              <w:spacing w:after="0"/>
              <w:rPr>
                <w:sz w:val="15"/>
                <w:szCs w:val="15"/>
                <w:color w:val="auto"/>
              </w:rPr>
            </w:pPr>
          </w:p>
        </w:tc>
        <w:tc>
          <w:tcPr>
            <w:tcW w:w="3520" w:type="dxa"/>
            <w:vAlign w:val="bottom"/>
            <w:tcBorders>
              <w:top w:val="single" w:sz="8" w:color="auto"/>
              <w:bottom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Common Stock, $.001 par value</w:t>
            </w:r>
          </w:p>
        </w:tc>
        <w:tc>
          <w:tcPr>
            <w:tcW w:w="220" w:type="dxa"/>
            <w:vAlign w:val="bottom"/>
            <w:tcBorders>
              <w:bottom w:val="single" w:sz="8" w:color="auto"/>
            </w:tcBorders>
          </w:tcPr>
          <w:p>
            <w:pPr>
              <w:spacing w:after="0"/>
              <w:rPr>
                <w:sz w:val="15"/>
                <w:szCs w:val="15"/>
                <w:color w:val="auto"/>
              </w:rPr>
            </w:pPr>
          </w:p>
        </w:tc>
        <w:tc>
          <w:tcPr>
            <w:tcW w:w="3500" w:type="dxa"/>
            <w:vAlign w:val="bottom"/>
            <w:tcBorders>
              <w:top w:val="single" w:sz="8" w:color="auto"/>
              <w:bottom w:val="single" w:sz="8" w:color="auto"/>
            </w:tcBorders>
          </w:tcPr>
          <w:p>
            <w:pPr>
              <w:jc w:val="right"/>
              <w:ind w:right="1270"/>
              <w:spacing w:after="0" w:line="182" w:lineRule="exact"/>
              <w:rPr>
                <w:sz w:val="20"/>
                <w:szCs w:val="20"/>
                <w:color w:val="auto"/>
              </w:rPr>
            </w:pPr>
            <w:r>
              <w:rPr>
                <w:rFonts w:ascii="Arial" w:cs="Arial" w:eastAsia="Arial" w:hAnsi="Arial"/>
                <w:sz w:val="18"/>
                <w:szCs w:val="18"/>
                <w:color w:val="auto"/>
              </w:rPr>
              <w:t>55,624,627</w:t>
            </w:r>
          </w:p>
        </w:tc>
        <w:tc>
          <w:tcPr>
            <w:tcW w:w="900" w:type="dxa"/>
            <w:vAlign w:val="bottom"/>
            <w:tcBorders>
              <w:bottom w:val="single" w:sz="8" w:color="auto"/>
            </w:tcBorders>
          </w:tcPr>
          <w:p>
            <w:pPr>
              <w:spacing w:after="0"/>
              <w:rPr>
                <w:sz w:val="15"/>
                <w:szCs w:val="15"/>
                <w:color w:val="auto"/>
              </w:rPr>
            </w:pPr>
          </w:p>
        </w:tc>
      </w:tr>
      <w:tr>
        <w:trPr>
          <w:trHeight w:val="55"/>
        </w:trPr>
        <w:tc>
          <w:tcPr>
            <w:tcW w:w="9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507"/>
        </w:trPr>
        <w:tc>
          <w:tcPr>
            <w:tcW w:w="9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220" w:right="141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FIRST BUSEY CORPORATION</w:t>
      </w:r>
    </w:p>
    <w:p>
      <w:pPr>
        <w:jc w:val="center"/>
        <w:ind w:left="820"/>
        <w:spacing w:after="0" w:line="203" w:lineRule="auto"/>
        <w:rPr>
          <w:sz w:val="20"/>
          <w:szCs w:val="20"/>
          <w:color w:val="auto"/>
        </w:rPr>
      </w:pPr>
      <w:r>
        <w:rPr>
          <w:rFonts w:ascii="Arial" w:cs="Arial" w:eastAsia="Arial" w:hAnsi="Arial"/>
          <w:sz w:val="18"/>
          <w:szCs w:val="18"/>
          <w:b w:val="1"/>
          <w:bCs w:val="1"/>
          <w:color w:val="auto"/>
        </w:rPr>
        <w:t>FORM 10-Q</w:t>
      </w:r>
    </w:p>
    <w:p>
      <w:pPr>
        <w:jc w:val="center"/>
        <w:ind w:left="820"/>
        <w:spacing w:after="0"/>
        <w:rPr>
          <w:sz w:val="20"/>
          <w:szCs w:val="20"/>
          <w:color w:val="auto"/>
        </w:rPr>
      </w:pPr>
      <w:r>
        <w:rPr>
          <w:rFonts w:ascii="Arial" w:cs="Arial" w:eastAsia="Arial" w:hAnsi="Arial"/>
          <w:sz w:val="18"/>
          <w:szCs w:val="18"/>
          <w:b w:val="1"/>
          <w:bCs w:val="1"/>
          <w:color w:val="auto"/>
        </w:rPr>
        <w:t>March 31, 2019</w:t>
      </w:r>
    </w:p>
    <w:p>
      <w:pPr>
        <w:spacing w:after="0" w:line="128"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Table of Contents</w:t>
      </w:r>
    </w:p>
    <w:p>
      <w:pPr>
        <w:spacing w:after="0" w:line="154" w:lineRule="exact"/>
        <w:rPr>
          <w:sz w:val="20"/>
          <w:szCs w:val="20"/>
          <w:color w:val="auto"/>
        </w:rPr>
      </w:pPr>
    </w:p>
    <w:p>
      <w:pPr>
        <w:spacing w:after="0"/>
        <w:tabs>
          <w:tab w:leader="none" w:pos="720" w:val="left"/>
        </w:tabs>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3">
        <w:r>
          <w:rPr>
            <w:rFonts w:ascii="Arial" w:cs="Arial" w:eastAsia="Arial" w:hAnsi="Arial"/>
            <w:sz w:val="18"/>
            <w:szCs w:val="18"/>
            <w:b w:val="1"/>
            <w:bCs w:val="1"/>
            <w:u w:val="single" w:color="auto"/>
            <w:color w:val="0000EE"/>
          </w:rPr>
          <w:t>FINANCIAL INFORMATION</w:t>
        </w:r>
      </w:hyperlink>
    </w:p>
    <w:p>
      <w:pPr>
        <w:spacing w:after="0" w:line="148" w:lineRule="exact"/>
        <w:rPr>
          <w:sz w:val="20"/>
          <w:szCs w:val="20"/>
          <w:color w:val="auto"/>
        </w:rPr>
      </w:pPr>
    </w:p>
    <w:p>
      <w:pPr>
        <w:spacing w:after="0"/>
        <w:tabs>
          <w:tab w:leader="none" w:pos="720" w:val="left"/>
        </w:tabs>
        <w:rPr>
          <w:rFonts w:ascii="Arial" w:cs="Arial" w:eastAsia="Arial" w:hAnsi="Arial"/>
          <w:sz w:val="17"/>
          <w:szCs w:val="17"/>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
        <w:r>
          <w:rPr>
            <w:rFonts w:ascii="Arial" w:cs="Arial" w:eastAsia="Arial" w:hAnsi="Arial"/>
            <w:sz w:val="17"/>
            <w:szCs w:val="17"/>
            <w:u w:val="single" w:color="auto"/>
            <w:color w:val="0000EE"/>
          </w:rPr>
          <w:t>FINANCIAL STATEMENTS</w:t>
        </w:r>
      </w:hyperlink>
    </w:p>
    <w:p>
      <w:pPr>
        <w:spacing w:after="0" w:line="23" w:lineRule="exact"/>
        <w:rPr>
          <w:sz w:val="20"/>
          <w:szCs w:val="20"/>
          <w:color w:val="auto"/>
        </w:rPr>
      </w:pPr>
    </w:p>
    <w:p>
      <w:pPr>
        <w:ind w:left="7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w:t>
        </w:r>
      </w:hyperlink>
    </w:p>
    <w:p>
      <w:pPr>
        <w:spacing w:after="0" w:line="9" w:lineRule="exact"/>
        <w:rPr>
          <w:sz w:val="20"/>
          <w:szCs w:val="20"/>
          <w:color w:val="auto"/>
        </w:rPr>
      </w:pPr>
    </w:p>
    <w:p>
      <w:pPr>
        <w:ind w:left="7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INCOME</w:t>
        </w:r>
      </w:hyperlink>
    </w:p>
    <w:p>
      <w:pPr>
        <w:spacing w:after="0" w:line="9" w:lineRule="exact"/>
        <w:rPr>
          <w:sz w:val="20"/>
          <w:szCs w:val="20"/>
          <w:color w:val="auto"/>
        </w:rPr>
      </w:pPr>
    </w:p>
    <w:p>
      <w:pPr>
        <w:ind w:left="740" w:right="2360"/>
        <w:spacing w:after="0" w:line="265" w:lineRule="auto"/>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CONSOLIDATED STATEMENTS OF COMPREHENSIVE INCOME</w:t>
        </w:r>
      </w:hyperlink>
      <w:r>
        <w:rPr>
          <w:rFonts w:ascii="Arial" w:cs="Arial" w:eastAsia="Arial" w:hAnsi="Arial"/>
          <w:sz w:val="17"/>
          <w:szCs w:val="17"/>
          <w:u w:val="single" w:color="auto"/>
          <w:color w:val="0000EE"/>
        </w:rPr>
        <w:t xml:space="preserve"> </w:t>
      </w:r>
      <w:hyperlink w:anchor="page7">
        <w:r>
          <w:rPr>
            <w:rFonts w:ascii="Arial" w:cs="Arial" w:eastAsia="Arial" w:hAnsi="Arial"/>
            <w:sz w:val="17"/>
            <w:szCs w:val="17"/>
            <w:u w:val="single" w:color="auto"/>
            <w:color w:val="0000EE"/>
          </w:rPr>
          <w:t>CONSOLIDATED STATEMENTS OF STOCKHOLDERS’ EQUITY</w:t>
        </w:r>
      </w:hyperlink>
      <w:r>
        <w:rPr>
          <w:rFonts w:ascii="Arial" w:cs="Arial" w:eastAsia="Arial" w:hAnsi="Arial"/>
          <w:sz w:val="17"/>
          <w:szCs w:val="17"/>
          <w:u w:val="single" w:color="auto"/>
          <w:color w:val="0000EE"/>
        </w:rPr>
        <w:t xml:space="preserve"> </w:t>
      </w:r>
      <w:hyperlink w:anchor="page8">
        <w:r>
          <w:rPr>
            <w:rFonts w:ascii="Arial" w:cs="Arial" w:eastAsia="Arial" w:hAnsi="Arial"/>
            <w:sz w:val="17"/>
            <w:szCs w:val="17"/>
            <w:u w:val="single" w:color="auto"/>
            <w:color w:val="0000EE"/>
          </w:rPr>
          <w:t>CONSOLIDATED STATEMENTS OF CASH FLOWS</w:t>
        </w:r>
      </w:hyperlink>
    </w:p>
    <w:p>
      <w:pPr>
        <w:spacing w:after="0" w:line="1" w:lineRule="exact"/>
        <w:rPr>
          <w:rFonts w:ascii="Arial" w:cs="Arial" w:eastAsia="Arial" w:hAnsi="Arial"/>
          <w:sz w:val="17"/>
          <w:szCs w:val="17"/>
          <w:u w:val="single" w:color="auto"/>
          <w:color w:val="0000EE"/>
        </w:rPr>
      </w:pPr>
    </w:p>
    <w:p>
      <w:pPr>
        <w:ind w:left="7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UNAUDITED CONSOLIDATED FINANCIAL STATEMENTS</w:t>
        </w:r>
      </w:hyperlink>
    </w:p>
    <w:p>
      <w:pPr>
        <w:spacing w:after="0" w:line="9" w:lineRule="exact"/>
        <w:rPr>
          <w:rFonts w:ascii="Arial" w:cs="Arial" w:eastAsia="Arial" w:hAnsi="Arial"/>
          <w:sz w:val="17"/>
          <w:szCs w:val="17"/>
          <w:u w:val="single" w:color="auto"/>
          <w:color w:val="0000EE"/>
        </w:rPr>
      </w:pPr>
    </w:p>
    <w:p>
      <w:pPr>
        <w:ind w:left="740" w:hanging="742"/>
        <w:spacing w:after="0" w:line="204" w:lineRule="auto"/>
        <w:tabs>
          <w:tab w:leader="none" w:pos="720" w:val="left"/>
        </w:tabs>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38">
        <w:r>
          <w:rPr>
            <w:rFonts w:ascii="Arial" w:cs="Arial" w:eastAsia="Arial" w:hAnsi="Arial"/>
            <w:sz w:val="18"/>
            <w:szCs w:val="18"/>
            <w:u w:val="single" w:color="auto"/>
            <w:color w:val="0000EE"/>
          </w:rPr>
          <w:t>MANAGEMENT’S DISCUSSION AND ANALYSIS OF FINANCIAL CONDITION AND RESULTS</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OF OPERATIONS</w:t>
        </w:r>
      </w:hyperlink>
    </w:p>
    <w:p>
      <w:pPr>
        <w:spacing w:after="0" w:line="1" w:lineRule="exact"/>
        <w:rPr>
          <w:rFonts w:ascii="Arial" w:cs="Arial" w:eastAsia="Arial" w:hAnsi="Arial"/>
          <w:sz w:val="18"/>
          <w:szCs w:val="18"/>
          <w:u w:val="single" w:color="auto"/>
          <w:color w:val="0000EE"/>
        </w:rPr>
      </w:pPr>
    </w:p>
    <w:p>
      <w:pPr>
        <w:ind w:right="1360"/>
        <w:spacing w:after="0" w:line="259" w:lineRule="auto"/>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54">
        <w:r>
          <w:rPr>
            <w:rFonts w:ascii="Arial" w:cs="Arial" w:eastAsia="Arial" w:hAnsi="Arial"/>
            <w:sz w:val="18"/>
            <w:szCs w:val="18"/>
            <w:u w:val="single" w:color="auto"/>
            <w:color w:val="0000EE"/>
          </w:rPr>
          <w:t>Item 4. CONTROLS AND PROCEDURES</w:t>
        </w:r>
      </w:hyperlink>
    </w:p>
    <w:p>
      <w:pPr>
        <w:spacing w:after="0" w:line="141" w:lineRule="exact"/>
        <w:rPr>
          <w:sz w:val="20"/>
          <w:szCs w:val="20"/>
          <w:color w:val="auto"/>
        </w:rPr>
      </w:pPr>
    </w:p>
    <w:p>
      <w:pPr>
        <w:spacing w:after="0"/>
        <w:tabs>
          <w:tab w:leader="none" w:pos="720" w:val="left"/>
        </w:tabs>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ab/>
      </w:r>
      <w:hyperlink w:anchor="page55">
        <w:r>
          <w:rPr>
            <w:rFonts w:ascii="Arial" w:cs="Arial" w:eastAsia="Arial" w:hAnsi="Arial"/>
            <w:sz w:val="18"/>
            <w:szCs w:val="18"/>
            <w:b w:val="1"/>
            <w:bCs w:val="1"/>
            <w:u w:val="single" w:color="auto"/>
            <w:color w:val="0000EE"/>
          </w:rPr>
          <w:t>OTHER INFORMATION</w:t>
        </w:r>
      </w:hyperlink>
    </w:p>
    <w:p>
      <w:pPr>
        <w:spacing w:after="0" w:line="148" w:lineRule="exact"/>
        <w:rPr>
          <w:sz w:val="20"/>
          <w:szCs w:val="20"/>
          <w:color w:val="auto"/>
        </w:rPr>
      </w:pPr>
    </w:p>
    <w:p>
      <w:pPr>
        <w:spacing w:after="0"/>
        <w:tabs>
          <w:tab w:leader="none" w:pos="720" w:val="left"/>
        </w:tabs>
        <w:rPr>
          <w:rFonts w:ascii="Arial" w:cs="Arial" w:eastAsia="Arial" w:hAnsi="Arial"/>
          <w:sz w:val="17"/>
          <w:szCs w:val="17"/>
          <w:u w:val="single" w:color="auto"/>
          <w:color w:val="0000EE"/>
        </w:rPr>
      </w:pPr>
      <w:hyperlink w:anchor="page55">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55">
        <w:r>
          <w:rPr>
            <w:rFonts w:ascii="Arial" w:cs="Arial" w:eastAsia="Arial" w:hAnsi="Arial"/>
            <w:sz w:val="17"/>
            <w:szCs w:val="17"/>
            <w:u w:val="single" w:color="auto"/>
            <w:color w:val="0000EE"/>
          </w:rPr>
          <w:t>LEGAL PROCEEDINGS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1A. RISK FACTORS</w:t>
        </w:r>
      </w:hyperlink>
    </w:p>
    <w:p>
      <w:pPr>
        <w:spacing w:after="0" w:line="9" w:lineRule="exact"/>
        <w:rPr>
          <w:sz w:val="20"/>
          <w:szCs w:val="20"/>
          <w:color w:val="auto"/>
        </w:rPr>
      </w:pPr>
    </w:p>
    <w:p>
      <w:pPr>
        <w:spacing w:after="0"/>
        <w:tabs>
          <w:tab w:leader="none" w:pos="720" w:val="left"/>
        </w:tabs>
        <w:rPr>
          <w:rFonts w:ascii="Arial" w:cs="Arial" w:eastAsia="Arial" w:hAnsi="Arial"/>
          <w:sz w:val="17"/>
          <w:szCs w:val="17"/>
          <w:u w:val="single" w:color="auto"/>
          <w:color w:val="0000EE"/>
        </w:rPr>
      </w:pPr>
      <w:hyperlink w:anchor="page55">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55">
        <w:r>
          <w:rPr>
            <w:rFonts w:ascii="Arial" w:cs="Arial" w:eastAsia="Arial" w:hAnsi="Arial"/>
            <w:sz w:val="17"/>
            <w:szCs w:val="17"/>
            <w:u w:val="single" w:color="auto"/>
            <w:color w:val="0000EE"/>
          </w:rPr>
          <w:t>UNREGISTERED SALES OF EQUITY SECURITIES AND USE OF PROCEEDS</w:t>
        </w:r>
      </w:hyperlink>
    </w:p>
    <w:p>
      <w:pPr>
        <w:spacing w:after="0" w:line="9" w:lineRule="exact"/>
        <w:rPr>
          <w:sz w:val="20"/>
          <w:szCs w:val="20"/>
          <w:color w:val="auto"/>
        </w:rPr>
      </w:pPr>
    </w:p>
    <w:p>
      <w:pPr>
        <w:spacing w:after="0"/>
        <w:tabs>
          <w:tab w:leader="none" w:pos="720" w:val="left"/>
        </w:tabs>
        <w:rPr>
          <w:rFonts w:ascii="Arial" w:cs="Arial" w:eastAsia="Arial" w:hAnsi="Arial"/>
          <w:sz w:val="16"/>
          <w:szCs w:val="16"/>
          <w:u w:val="single" w:color="auto"/>
          <w:color w:val="0000EE"/>
        </w:rPr>
      </w:pPr>
      <w:hyperlink w:anchor="page55">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55">
        <w:r>
          <w:rPr>
            <w:rFonts w:ascii="Arial" w:cs="Arial" w:eastAsia="Arial" w:hAnsi="Arial"/>
            <w:sz w:val="16"/>
            <w:szCs w:val="16"/>
            <w:u w:val="single" w:color="auto"/>
            <w:color w:val="0000EE"/>
          </w:rPr>
          <w:t>DEFAULTS UPON SENIOR SECURITES</w:t>
        </w:r>
      </w:hyperlink>
    </w:p>
    <w:p>
      <w:pPr>
        <w:spacing w:after="0" w:line="9" w:lineRule="exact"/>
        <w:rPr>
          <w:sz w:val="20"/>
          <w:szCs w:val="20"/>
          <w:color w:val="auto"/>
        </w:rPr>
      </w:pPr>
    </w:p>
    <w:p>
      <w:pPr>
        <w:spacing w:after="0"/>
        <w:tabs>
          <w:tab w:leader="none" w:pos="720" w:val="left"/>
        </w:tabs>
        <w:rPr>
          <w:rFonts w:ascii="Arial" w:cs="Arial" w:eastAsia="Arial" w:hAnsi="Arial"/>
          <w:sz w:val="17"/>
          <w:szCs w:val="17"/>
          <w:u w:val="single" w:color="auto"/>
          <w:color w:val="0000EE"/>
        </w:rPr>
      </w:pPr>
      <w:hyperlink w:anchor="page55">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55">
        <w:r>
          <w:rPr>
            <w:rFonts w:ascii="Arial" w:cs="Arial" w:eastAsia="Arial" w:hAnsi="Arial"/>
            <w:sz w:val="17"/>
            <w:szCs w:val="17"/>
            <w:u w:val="single" w:color="auto"/>
            <w:color w:val="0000EE"/>
          </w:rPr>
          <w:t>MINE SAFETY DISCLOSURES</w:t>
        </w:r>
      </w:hyperlink>
    </w:p>
    <w:p>
      <w:pPr>
        <w:spacing w:after="0" w:line="9" w:lineRule="exact"/>
        <w:rPr>
          <w:sz w:val="20"/>
          <w:szCs w:val="20"/>
          <w:color w:val="auto"/>
        </w:rPr>
      </w:pPr>
    </w:p>
    <w:p>
      <w:pPr>
        <w:spacing w:after="0"/>
        <w:tabs>
          <w:tab w:leader="none" w:pos="720" w:val="left"/>
        </w:tabs>
        <w:rPr>
          <w:rFonts w:ascii="Arial" w:cs="Arial" w:eastAsia="Arial" w:hAnsi="Arial"/>
          <w:sz w:val="17"/>
          <w:szCs w:val="17"/>
          <w:u w:val="single" w:color="auto"/>
          <w:color w:val="0000EE"/>
        </w:rPr>
      </w:pPr>
      <w:hyperlink w:anchor="page55">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55">
        <w:r>
          <w:rPr>
            <w:rFonts w:ascii="Arial" w:cs="Arial" w:eastAsia="Arial" w:hAnsi="Arial"/>
            <w:sz w:val="17"/>
            <w:szCs w:val="17"/>
            <w:u w:val="single" w:color="auto"/>
            <w:color w:val="0000EE"/>
          </w:rPr>
          <w:t>OTHER INFORMATION</w:t>
        </w:r>
      </w:hyperlink>
    </w:p>
    <w:p>
      <w:pPr>
        <w:spacing w:after="0" w:line="9" w:lineRule="exact"/>
        <w:rPr>
          <w:sz w:val="20"/>
          <w:szCs w:val="20"/>
          <w:color w:val="auto"/>
        </w:rPr>
      </w:pPr>
    </w:p>
    <w:p>
      <w:pPr>
        <w:spacing w:after="0"/>
        <w:tabs>
          <w:tab w:leader="none" w:pos="720" w:val="left"/>
        </w:tabs>
        <w:rPr>
          <w:rFonts w:ascii="Arial" w:cs="Arial" w:eastAsia="Arial" w:hAnsi="Arial"/>
          <w:sz w:val="17"/>
          <w:szCs w:val="17"/>
          <w:u w:val="single" w:color="auto"/>
          <w:color w:val="0000EE"/>
        </w:rPr>
      </w:pPr>
      <w:hyperlink w:anchor="page56">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56">
        <w:r>
          <w:rPr>
            <w:rFonts w:ascii="Arial" w:cs="Arial" w:eastAsia="Arial" w:hAnsi="Arial"/>
            <w:sz w:val="17"/>
            <w:szCs w:val="17"/>
            <w:u w:val="single" w:color="auto"/>
            <w:color w:val="0000EE"/>
          </w:rPr>
          <w:t>EXHIBITS</w:t>
        </w:r>
      </w:hyperlink>
    </w:p>
    <w:p>
      <w:pPr>
        <w:spacing w:after="0" w:line="9" w:lineRule="exact"/>
        <w:rPr>
          <w:sz w:val="20"/>
          <w:szCs w:val="20"/>
          <w:color w:val="auto"/>
        </w:rPr>
      </w:pPr>
    </w:p>
    <w:p>
      <w:pPr>
        <w:ind w:left="7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ectPr>
          <w:pgSz w:w="11900" w:h="16838" w:orient="portrait"/>
          <w:cols w:equalWidth="0" w:num="2">
            <w:col w:w="8240" w:space="640"/>
            <w:col w:w="18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line="225" w:lineRule="auto"/>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08"/>
              <w:spacing w:after="0" w:line="156" w:lineRule="exact"/>
              <w:rPr>
                <w:sz w:val="20"/>
                <w:szCs w:val="20"/>
                <w:color w:val="auto"/>
              </w:rPr>
            </w:pPr>
            <w:r>
              <w:rPr>
                <w:rFonts w:ascii="Arial" w:cs="Arial" w:eastAsia="Arial" w:hAnsi="Arial"/>
                <w:sz w:val="14"/>
                <w:szCs w:val="14"/>
                <w:b w:val="1"/>
                <w:bCs w:val="1"/>
                <w:color w:val="auto"/>
                <w:w w:val="98"/>
              </w:rPr>
              <w:t>March 31, 2019</w:t>
            </w:r>
          </w:p>
        </w:tc>
        <w:tc>
          <w:tcPr>
            <w:tcW w:w="1280" w:type="dxa"/>
            <w:vAlign w:val="bottom"/>
            <w:tcBorders>
              <w:bottom w:val="single" w:sz="8" w:color="auto"/>
            </w:tcBorders>
            <w:gridSpan w:val="2"/>
          </w:tcPr>
          <w:p>
            <w:pPr>
              <w:ind w:left="120"/>
              <w:spacing w:after="0" w:line="156" w:lineRule="exact"/>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3"/>
          </w:tcPr>
          <w:p>
            <w:pPr>
              <w:jc w:val="right"/>
              <w:ind w:right="608"/>
              <w:spacing w:after="0" w:line="142" w:lineRule="exact"/>
              <w:rPr>
                <w:sz w:val="20"/>
                <w:szCs w:val="20"/>
                <w:color w:val="auto"/>
              </w:rPr>
            </w:pPr>
            <w:r>
              <w:rPr>
                <w:rFonts w:ascii="Arial" w:cs="Arial" w:eastAsia="Arial" w:hAnsi="Arial"/>
                <w:sz w:val="14"/>
                <w:szCs w:val="14"/>
                <w:b w:val="1"/>
                <w:bCs w:val="1"/>
                <w:i w:val="1"/>
                <w:iCs w:val="1"/>
                <w:color w:val="auto"/>
              </w:rPr>
              <w:t>(dollars in 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112,775</w:t>
            </w:r>
          </w:p>
        </w:tc>
        <w:tc>
          <w:tcPr>
            <w:tcW w:w="3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128,838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217,632</w:t>
            </w:r>
          </w:p>
        </w:tc>
        <w:tc>
          <w:tcPr>
            <w:tcW w:w="3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111,135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ind w:left="60"/>
              <w:spacing w:after="0" w:line="142" w:lineRule="exact"/>
              <w:rPr>
                <w:sz w:val="20"/>
                <w:szCs w:val="20"/>
                <w:color w:val="auto"/>
              </w:rPr>
            </w:pPr>
            <w:r>
              <w:rPr>
                <w:rFonts w:ascii="Arial" w:cs="Arial" w:eastAsia="Arial" w:hAnsi="Arial"/>
                <w:sz w:val="14"/>
                <w:szCs w:val="14"/>
                <w:color w:val="auto"/>
              </w:rPr>
              <w:t>Total cash and cash equivalents</w:t>
            </w: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330,407</w:t>
            </w:r>
          </w:p>
        </w:tc>
        <w:tc>
          <w:tcPr>
            <w:tcW w:w="3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239,973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Securities available for sale</w:t>
            </w: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1,918,295</w:t>
            </w:r>
          </w:p>
        </w:tc>
        <w:tc>
          <w:tcPr>
            <w:tcW w:w="3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697,685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Securities held to maturity (fair value 2019 $15,975; 2018</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$603,360)</w:t>
            </w: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15,846</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Securities equity investments</w:t>
            </w: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6,378</w:t>
            </w:r>
          </w:p>
        </w:tc>
        <w:tc>
          <w:tcPr>
            <w:tcW w:w="3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held for sale, at fair value</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20,291</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w w:val="93"/>
              </w:rPr>
              <w:t>Portfolio loans (net of allowance for loan losses 2019 $50,915; 2018</w:t>
            </w:r>
          </w:p>
        </w:tc>
        <w:tc>
          <w:tcPr>
            <w:tcW w:w="2080" w:type="dxa"/>
            <w:vAlign w:val="bottom"/>
          </w:tcPr>
          <w:p>
            <w:pPr>
              <w:jc w:val="right"/>
              <w:ind w:right="1488"/>
              <w:spacing w:after="0" w:line="149" w:lineRule="exact"/>
              <w:rPr>
                <w:sz w:val="20"/>
                <w:szCs w:val="20"/>
                <w:color w:val="auto"/>
              </w:rPr>
            </w:pPr>
            <w:r>
              <w:rPr>
                <w:rFonts w:ascii="Arial" w:cs="Arial" w:eastAsia="Arial" w:hAnsi="Arial"/>
                <w:sz w:val="14"/>
                <w:szCs w:val="14"/>
                <w:color w:val="auto"/>
                <w:w w:val="90"/>
              </w:rPr>
              <w:t>$50,648)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6,464,166</w:t>
            </w:r>
          </w:p>
        </w:tc>
        <w:tc>
          <w:tcPr>
            <w:tcW w:w="3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5,517,780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Premises and equipment, net</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147,958</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Right of use asset</w:t>
            </w: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10,898</w:t>
            </w:r>
          </w:p>
        </w:tc>
        <w:tc>
          <w:tcPr>
            <w:tcW w:w="3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314,343</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63,396</w:t>
            </w:r>
          </w:p>
        </w:tc>
        <w:tc>
          <w:tcPr>
            <w:tcW w:w="3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surrender value of bank owned life insurance</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172,934</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6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b w:val="1"/>
                <w:bCs w:val="1"/>
                <w:color w:val="auto"/>
              </w:rPr>
              <w:t>72,422</w:t>
            </w: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59,474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40" w:type="dxa"/>
            <w:vAlign w:val="bottom"/>
            <w:tcBorders>
              <w:bottom w:val="single" w:sz="8" w:color="CCEEFF"/>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assets</w:t>
            </w:r>
          </w:p>
        </w:tc>
        <w:tc>
          <w:tcPr>
            <w:tcW w:w="62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2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b w:val="1"/>
                <w:bCs w:val="1"/>
                <w:color w:val="auto"/>
              </w:rPr>
              <w:t>9,537,334</w:t>
            </w:r>
          </w:p>
        </w:tc>
        <w:tc>
          <w:tcPr>
            <w:tcW w:w="380" w:type="dxa"/>
            <w:vAlign w:val="bottom"/>
            <w:tcBorders>
              <w:bottom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7,702,357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40" w:type="dxa"/>
            <w:vAlign w:val="bottom"/>
          </w:tcPr>
          <w:p>
            <w:pPr>
              <w:spacing w:after="0" w:line="136" w:lineRule="exact"/>
              <w:rPr>
                <w:sz w:val="20"/>
                <w:szCs w:val="20"/>
                <w:color w:val="auto"/>
              </w:rPr>
            </w:pPr>
            <w:r>
              <w:rPr>
                <w:rFonts w:ascii="Arial" w:cs="Arial" w:eastAsia="Arial" w:hAnsi="Arial"/>
                <w:sz w:val="14"/>
                <w:szCs w:val="14"/>
                <w:b w:val="1"/>
                <w:bCs w:val="1"/>
                <w:color w:val="auto"/>
              </w:rPr>
              <w:t>Liabilities and Stockholders’ Equity</w:t>
            </w:r>
          </w:p>
        </w:tc>
        <w:tc>
          <w:tcPr>
            <w:tcW w:w="6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rPr>
              <w:t>Deposits:</w:t>
            </w: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Noninterest-bearing</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1,791,339</w:t>
            </w:r>
          </w:p>
        </w:tc>
        <w:tc>
          <w:tcPr>
            <w:tcW w:w="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1,464,700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Borders>
              <w:bottom w:val="single" w:sz="8" w:color="CCEEFF"/>
            </w:tcBorders>
          </w:tcPr>
          <w:p>
            <w:pPr>
              <w:ind w:left="300"/>
              <w:spacing w:after="0" w:line="149" w:lineRule="exact"/>
              <w:rPr>
                <w:sz w:val="20"/>
                <w:szCs w:val="20"/>
                <w:color w:val="auto"/>
              </w:rPr>
            </w:pPr>
            <w:r>
              <w:rPr>
                <w:rFonts w:ascii="Arial" w:cs="Arial" w:eastAsia="Arial" w:hAnsi="Arial"/>
                <w:sz w:val="14"/>
                <w:szCs w:val="14"/>
                <w:color w:val="auto"/>
              </w:rPr>
              <w:t>Interest-bearing</w:t>
            </w:r>
          </w:p>
        </w:tc>
        <w:tc>
          <w:tcPr>
            <w:tcW w:w="6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b w:val="1"/>
                <w:bCs w:val="1"/>
                <w:color w:val="auto"/>
              </w:rPr>
              <w:t>5,971,887</w:t>
            </w: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4,784,621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deposits</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b w:val="1"/>
                <w:bCs w:val="1"/>
                <w:color w:val="auto"/>
              </w:rPr>
              <w:t>7,763,226</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6,249,321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Securities sold under agreements to repurchase</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217,077</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Short-term borrowings</w:t>
            </w: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30,739</w:t>
            </w:r>
          </w:p>
        </w:tc>
        <w:tc>
          <w:tcPr>
            <w:tcW w:w="3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89,476</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Senior notes, net of unamortized issuance costs</w:t>
            </w: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39,573</w:t>
            </w:r>
          </w:p>
        </w:tc>
        <w:tc>
          <w:tcPr>
            <w:tcW w:w="3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Subordinated notes, net of unamortized issuance costs</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59,172</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w w:val="96"/>
              </w:rPr>
              <w:t>Junior subordinated debt owed to unconsolidated trusts</w:t>
            </w: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71,192</w:t>
            </w:r>
          </w:p>
        </w:tc>
        <w:tc>
          <w:tcPr>
            <w:tcW w:w="3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71,155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liability</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10,982</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liabilities</w:t>
            </w:r>
          </w:p>
        </w:tc>
        <w:tc>
          <w:tcPr>
            <w:tcW w:w="6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b w:val="1"/>
                <w:bCs w:val="1"/>
                <w:color w:val="auto"/>
              </w:rPr>
              <w:t>69,756</w:t>
            </w: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52,435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liabilities</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b w:val="1"/>
                <w:bCs w:val="1"/>
                <w:color w:val="auto"/>
              </w:rPr>
              <w:t>8,351,193</w:t>
            </w:r>
          </w:p>
        </w:tc>
        <w:tc>
          <w:tcPr>
            <w:tcW w:w="3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6,707,393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10</w:t>
            </w:r>
            <w:r>
              <w:rPr>
                <w:rFonts w:ascii="Arial" w:cs="Arial" w:eastAsia="Arial" w:hAnsi="Arial"/>
                <w:sz w:val="14"/>
                <w:szCs w:val="14"/>
                <w:i w:val="1"/>
                <w:iCs w:val="1"/>
                <w:color w:val="auto"/>
              </w:rPr>
              <w:t>)</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040" w:type="dxa"/>
            <w:vAlign w:val="bottom"/>
            <w:gridSpan w:val="3"/>
          </w:tcPr>
          <w:p>
            <w:pPr>
              <w:spacing w:after="0" w:line="130" w:lineRule="exact"/>
              <w:rPr>
                <w:sz w:val="20"/>
                <w:szCs w:val="20"/>
                <w:color w:val="auto"/>
              </w:rPr>
            </w:pPr>
            <w:r>
              <w:rPr>
                <w:rFonts w:ascii="Arial" w:cs="Arial" w:eastAsia="Arial" w:hAnsi="Arial"/>
                <w:sz w:val="14"/>
                <w:szCs w:val="14"/>
                <w:color w:val="auto"/>
                <w:w w:val="96"/>
              </w:rPr>
              <w:t>Common stock, $.001 par value, authorized 66,666,667 shares; 55,910,674 shares issued 2019 and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56</w:t>
            </w: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gridSpan w:val="2"/>
          </w:tcPr>
          <w:p>
            <w:pPr>
              <w:spacing w:after="0"/>
              <w:rPr>
                <w:sz w:val="20"/>
                <w:szCs w:val="20"/>
                <w:color w:val="auto"/>
              </w:rPr>
            </w:pPr>
            <w:r>
              <w:rPr>
                <w:rFonts w:ascii="Arial" w:cs="Arial" w:eastAsia="Arial" w:hAnsi="Arial"/>
                <w:sz w:val="14"/>
                <w:szCs w:val="14"/>
                <w:color w:val="auto"/>
              </w:rPr>
              <w:t>49,185,581 shares issued 2018</w:t>
            </w:r>
          </w:p>
        </w:tc>
        <w:tc>
          <w:tcPr>
            <w:tcW w:w="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1,247,340</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1,080,084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(57,125)</w:t>
            </w:r>
          </w:p>
        </w:tc>
        <w:tc>
          <w:tcPr>
            <w:tcW w:w="3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1,595</w:t>
            </w:r>
          </w:p>
        </w:tc>
        <w:tc>
          <w:tcPr>
            <w:tcW w:w="3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ind w:left="420"/>
              <w:spacing w:after="0" w:line="142" w:lineRule="exact"/>
              <w:rPr>
                <w:sz w:val="20"/>
                <w:szCs w:val="20"/>
                <w:color w:val="auto"/>
              </w:rPr>
            </w:pPr>
            <w:r>
              <w:rPr>
                <w:rFonts w:ascii="Arial" w:cs="Arial" w:eastAsia="Arial" w:hAnsi="Arial"/>
                <w:sz w:val="14"/>
                <w:szCs w:val="14"/>
                <w:color w:val="auto"/>
                <w:w w:val="99"/>
              </w:rPr>
              <w:t>Total stockholders’ equity before treasury stock</w:t>
            </w: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1,191,866</w:t>
            </w:r>
          </w:p>
        </w:tc>
        <w:tc>
          <w:tcPr>
            <w:tcW w:w="3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1,001,154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60" w:type="dxa"/>
            <w:vAlign w:val="bottom"/>
            <w:gridSpan w:val="2"/>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w w:val="92"/>
              </w:rPr>
              <w:t>Treasury stock, at cost (2019 286,106 shares; 2018 310,745 shares)</w:t>
            </w:r>
          </w:p>
        </w:tc>
        <w:tc>
          <w:tcPr>
            <w:tcW w:w="20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b w:val="1"/>
                <w:bCs w:val="1"/>
                <w:color w:val="auto"/>
              </w:rPr>
              <w:t>(5,725)</w:t>
            </w: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(6,190)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stockholders’ equity</w:t>
            </w: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b w:val="1"/>
                <w:bCs w:val="1"/>
                <w:color w:val="auto"/>
              </w:rPr>
              <w:t>1,186,141</w:t>
            </w:r>
          </w:p>
        </w:tc>
        <w:tc>
          <w:tcPr>
            <w:tcW w:w="3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994,964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Borders>
              <w:bottom w:val="single" w:sz="8" w:color="CCEEFF"/>
            </w:tcBorders>
          </w:tcPr>
          <w:p>
            <w:pPr>
              <w:ind w:left="42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6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2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9,537,334</w:t>
            </w:r>
          </w:p>
        </w:tc>
        <w:tc>
          <w:tcPr>
            <w:tcW w:w="3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7,702,357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Common shares outstanding at period end</w:t>
            </w:r>
          </w:p>
        </w:tc>
        <w:tc>
          <w:tcPr>
            <w:tcW w:w="6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b w:val="1"/>
                <w:bCs w:val="1"/>
                <w:color w:val="auto"/>
              </w:rPr>
              <w:t>55,624,627</w:t>
            </w: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48,874,836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INCOME</w:t>
      </w:r>
    </w:p>
    <w:p>
      <w:pPr>
        <w:jc w:val="center"/>
        <w:spacing w:after="0" w:line="225" w:lineRule="auto"/>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56"/>
        </w:trPr>
        <w:tc>
          <w:tcPr>
            <w:tcW w:w="5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4"/>
              <w:spacing w:after="0" w:line="156" w:lineRule="exact"/>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3"/>
                <w:szCs w:val="13"/>
                <w:color w:val="auto"/>
              </w:rPr>
            </w:pPr>
          </w:p>
        </w:tc>
      </w:tr>
      <w:tr>
        <w:trPr>
          <w:trHeight w:val="142"/>
        </w:trPr>
        <w:tc>
          <w:tcPr>
            <w:tcW w:w="5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2"/>
                <w:szCs w:val="12"/>
                <w:color w:val="auto"/>
              </w:rPr>
            </w:pPr>
          </w:p>
        </w:tc>
      </w:tr>
      <w:tr>
        <w:trPr>
          <w:trHeight w:val="142"/>
        </w:trPr>
        <w:tc>
          <w:tcPr>
            <w:tcW w:w="5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gridSpan w:val="5"/>
          </w:tcPr>
          <w:p>
            <w:pPr>
              <w:jc w:val="right"/>
              <w:ind w:right="99"/>
              <w:spacing w:after="0" w:line="142" w:lineRule="exact"/>
              <w:rPr>
                <w:sz w:val="20"/>
                <w:szCs w:val="20"/>
                <w:color w:val="auto"/>
              </w:rPr>
            </w:pPr>
            <w:r>
              <w:rPr>
                <w:rFonts w:ascii="Arial" w:cs="Arial" w:eastAsia="Arial" w:hAnsi="Arial"/>
                <w:sz w:val="14"/>
                <w:szCs w:val="14"/>
                <w:b w:val="1"/>
                <w:bCs w:val="1"/>
                <w:i w:val="1"/>
                <w:iCs w:val="1"/>
                <w:color w:val="auto"/>
                <w:w w:val="92"/>
              </w:rPr>
              <w:t>(dollars in thousands, except per share amounts)</w:t>
            </w:r>
          </w:p>
        </w:tc>
      </w:tr>
      <w:tr>
        <w:trPr>
          <w:trHeight w:val="176"/>
        </w:trPr>
        <w:tc>
          <w:tcPr>
            <w:tcW w:w="54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Interest income:</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Interest and fees on loans</w:t>
            </w:r>
          </w:p>
        </w:tc>
        <w:tc>
          <w:tcPr>
            <w:tcW w:w="1280" w:type="dxa"/>
            <w:vAlign w:val="bottom"/>
            <w:gridSpan w:val="2"/>
          </w:tcPr>
          <w:p>
            <w:pPr>
              <w:jc w:val="right"/>
              <w:ind w:right="786"/>
              <w:spacing w:after="0" w:line="176" w:lineRule="exact"/>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98"/>
              </w:rPr>
              <w:t>71,789</w:t>
            </w:r>
          </w:p>
        </w:tc>
        <w:tc>
          <w:tcPr>
            <w:tcW w:w="1180" w:type="dxa"/>
            <w:vAlign w:val="bottom"/>
            <w:gridSpan w:val="2"/>
          </w:tcPr>
          <w:p>
            <w:pPr>
              <w:jc w:val="right"/>
              <w:ind w:right="784"/>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60,960</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Interest and dividends on investment securities:</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76"/>
        </w:trPr>
        <w:tc>
          <w:tcPr>
            <w:tcW w:w="5480" w:type="dxa"/>
            <w:vAlign w:val="bottom"/>
          </w:tcPr>
          <w:p>
            <w:pPr>
              <w:ind w:left="320"/>
              <w:spacing w:after="0" w:line="176" w:lineRule="exact"/>
              <w:rPr>
                <w:sz w:val="20"/>
                <w:szCs w:val="20"/>
                <w:color w:val="auto"/>
              </w:rPr>
            </w:pPr>
            <w:r>
              <w:rPr>
                <w:rFonts w:ascii="Arial" w:cs="Arial" w:eastAsia="Arial" w:hAnsi="Arial"/>
                <w:sz w:val="16"/>
                <w:szCs w:val="16"/>
                <w:color w:val="auto"/>
              </w:rPr>
              <w:t>Taxable interest income</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98"/>
              </w:rPr>
              <w:t>10,184</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5,990</w:t>
            </w:r>
          </w:p>
        </w:tc>
      </w:tr>
      <w:tr>
        <w:trPr>
          <w:trHeight w:val="176"/>
        </w:trPr>
        <w:tc>
          <w:tcPr>
            <w:tcW w:w="54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Non-taxable interest income</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1,076</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1,260</w:t>
            </w:r>
          </w:p>
        </w:tc>
      </w:tr>
      <w:tr>
        <w:trPr>
          <w:trHeight w:val="176"/>
        </w:trPr>
        <w:tc>
          <w:tcPr>
            <w:tcW w:w="54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6"/>
                <w:szCs w:val="16"/>
                <w:color w:val="auto"/>
              </w:rPr>
              <w:t>Other interest income</w:t>
            </w:r>
          </w:p>
        </w:tc>
        <w:tc>
          <w:tcPr>
            <w:tcW w:w="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1,232</w:t>
            </w:r>
          </w:p>
        </w:tc>
        <w:tc>
          <w:tcPr>
            <w:tcW w:w="2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423</w:t>
            </w:r>
          </w:p>
        </w:tc>
      </w:tr>
      <w:tr>
        <w:trPr>
          <w:trHeight w:val="169"/>
        </w:trPr>
        <w:tc>
          <w:tcPr>
            <w:tcW w:w="5480" w:type="dxa"/>
            <w:vAlign w:val="bottom"/>
            <w:shd w:val="clear" w:color="auto" w:fill="CCEEFF"/>
          </w:tcPr>
          <w:p>
            <w:pPr>
              <w:ind w:left="320"/>
              <w:spacing w:after="0" w:line="169" w:lineRule="exact"/>
              <w:rPr>
                <w:sz w:val="20"/>
                <w:szCs w:val="20"/>
                <w:color w:val="auto"/>
              </w:rPr>
            </w:pPr>
            <w:r>
              <w:rPr>
                <w:rFonts w:ascii="Arial" w:cs="Arial" w:eastAsia="Arial" w:hAnsi="Arial"/>
                <w:sz w:val="16"/>
                <w:szCs w:val="16"/>
                <w:color w:val="auto"/>
              </w:rPr>
              <w:t>Total interest income</w:t>
            </w:r>
          </w:p>
        </w:tc>
        <w:tc>
          <w:tcPr>
            <w:tcW w:w="34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w w:val="98"/>
              </w:rPr>
              <w:t>84,281</w:t>
            </w:r>
          </w:p>
        </w:tc>
        <w:tc>
          <w:tcPr>
            <w:tcW w:w="24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68,633</w:t>
            </w:r>
          </w:p>
        </w:tc>
      </w:tr>
      <w:tr>
        <w:trPr>
          <w:trHeight w:val="169"/>
        </w:trPr>
        <w:tc>
          <w:tcPr>
            <w:tcW w:w="5480" w:type="dxa"/>
            <w:vAlign w:val="bottom"/>
          </w:tcPr>
          <w:p>
            <w:pPr>
              <w:spacing w:after="0" w:line="169" w:lineRule="exact"/>
              <w:rPr>
                <w:sz w:val="20"/>
                <w:szCs w:val="20"/>
                <w:color w:val="auto"/>
              </w:rPr>
            </w:pPr>
            <w:r>
              <w:rPr>
                <w:rFonts w:ascii="Arial" w:cs="Arial" w:eastAsia="Arial" w:hAnsi="Arial"/>
                <w:sz w:val="16"/>
                <w:szCs w:val="16"/>
                <w:b w:val="1"/>
                <w:bCs w:val="1"/>
                <w:color w:val="auto"/>
              </w:rPr>
              <w:t>Interest expense:</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Deposits</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w w:val="98"/>
              </w:rPr>
              <w:t>12,500</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5,987</w:t>
            </w: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w w:val="95"/>
              </w:rPr>
              <w:t>Federal funds purchased and securities sold under agreements to repurchase</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583</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341</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Short-term borrowings</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191</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476</w:t>
            </w: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579</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164</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Senior notes</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400</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400</w:t>
            </w: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Subordinated notes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731</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793</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Junior subordinated debt owed to unconsolidated trusts</w:t>
            </w:r>
          </w:p>
        </w:tc>
        <w:tc>
          <w:tcPr>
            <w:tcW w:w="3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914</w:t>
            </w:r>
          </w:p>
        </w:tc>
        <w:tc>
          <w:tcPr>
            <w:tcW w:w="2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715</w:t>
            </w:r>
          </w:p>
        </w:tc>
      </w:tr>
      <w:tr>
        <w:trPr>
          <w:trHeight w:val="169"/>
        </w:trPr>
        <w:tc>
          <w:tcPr>
            <w:tcW w:w="5480" w:type="dxa"/>
            <w:vAlign w:val="bottom"/>
            <w:tcBorders>
              <w:bottom w:val="single" w:sz="8" w:color="CCEEFF"/>
            </w:tcBorders>
          </w:tcPr>
          <w:p>
            <w:pPr>
              <w:ind w:left="440"/>
              <w:spacing w:after="0" w:line="169" w:lineRule="exact"/>
              <w:rPr>
                <w:sz w:val="20"/>
                <w:szCs w:val="20"/>
                <w:color w:val="auto"/>
              </w:rPr>
            </w:pPr>
            <w:r>
              <w:rPr>
                <w:rFonts w:ascii="Arial" w:cs="Arial" w:eastAsia="Arial" w:hAnsi="Arial"/>
                <w:sz w:val="16"/>
                <w:szCs w:val="16"/>
                <w:color w:val="auto"/>
              </w:rPr>
              <w:t>Total interest expense</w:t>
            </w:r>
          </w:p>
        </w:tc>
        <w:tc>
          <w:tcPr>
            <w:tcW w:w="3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8"/>
              </w:rPr>
              <w:t>15,898</w:t>
            </w:r>
          </w:p>
        </w:tc>
        <w:tc>
          <w:tcPr>
            <w:tcW w:w="2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8,876</w:t>
            </w:r>
          </w:p>
        </w:tc>
      </w:tr>
      <w:tr>
        <w:trPr>
          <w:trHeight w:val="169"/>
        </w:trPr>
        <w:tc>
          <w:tcPr>
            <w:tcW w:w="5480" w:type="dxa"/>
            <w:vAlign w:val="bottom"/>
            <w:shd w:val="clear" w:color="auto" w:fill="CCEEFF"/>
          </w:tcPr>
          <w:p>
            <w:pPr>
              <w:ind w:left="440"/>
              <w:spacing w:after="0" w:line="169" w:lineRule="exact"/>
              <w:rPr>
                <w:sz w:val="20"/>
                <w:szCs w:val="20"/>
                <w:color w:val="auto"/>
              </w:rPr>
            </w:pPr>
            <w:r>
              <w:rPr>
                <w:rFonts w:ascii="Arial" w:cs="Arial" w:eastAsia="Arial" w:hAnsi="Arial"/>
                <w:sz w:val="16"/>
                <w:szCs w:val="16"/>
                <w:color w:val="auto"/>
              </w:rPr>
              <w:t>Net interest income</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w w:val="98"/>
              </w:rPr>
              <w:t>68,383</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59,757</w:t>
            </w:r>
          </w:p>
        </w:tc>
      </w:tr>
      <w:tr>
        <w:trPr>
          <w:trHeight w:val="176"/>
        </w:trPr>
        <w:tc>
          <w:tcPr>
            <w:tcW w:w="54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6"/>
                <w:szCs w:val="16"/>
                <w:color w:val="auto"/>
              </w:rPr>
              <w:t>Provision for loan losses</w:t>
            </w:r>
          </w:p>
        </w:tc>
        <w:tc>
          <w:tcPr>
            <w:tcW w:w="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2,111</w:t>
            </w:r>
          </w:p>
        </w:tc>
        <w:tc>
          <w:tcPr>
            <w:tcW w:w="2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1,008</w:t>
            </w:r>
          </w:p>
        </w:tc>
      </w:tr>
      <w:tr>
        <w:trPr>
          <w:trHeight w:val="169"/>
        </w:trPr>
        <w:tc>
          <w:tcPr>
            <w:tcW w:w="5480" w:type="dxa"/>
            <w:vAlign w:val="bottom"/>
            <w:shd w:val="clear" w:color="auto" w:fill="CCEEFF"/>
          </w:tcPr>
          <w:p>
            <w:pPr>
              <w:ind w:left="440"/>
              <w:spacing w:after="0" w:line="169" w:lineRule="exact"/>
              <w:rPr>
                <w:sz w:val="20"/>
                <w:szCs w:val="20"/>
                <w:color w:val="auto"/>
              </w:rPr>
            </w:pPr>
            <w:r>
              <w:rPr>
                <w:rFonts w:ascii="Arial" w:cs="Arial" w:eastAsia="Arial" w:hAnsi="Arial"/>
                <w:sz w:val="16"/>
                <w:szCs w:val="16"/>
                <w:color w:val="auto"/>
              </w:rPr>
              <w:t>Net interest income after provision for loan losses</w:t>
            </w:r>
          </w:p>
        </w:tc>
        <w:tc>
          <w:tcPr>
            <w:tcW w:w="34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w w:val="98"/>
              </w:rPr>
              <w:t>66,272</w:t>
            </w:r>
          </w:p>
        </w:tc>
        <w:tc>
          <w:tcPr>
            <w:tcW w:w="24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58,749</w:t>
            </w:r>
          </w:p>
        </w:tc>
      </w:tr>
      <w:tr>
        <w:trPr>
          <w:trHeight w:val="169"/>
        </w:trPr>
        <w:tc>
          <w:tcPr>
            <w:tcW w:w="5480" w:type="dxa"/>
            <w:vAlign w:val="bottom"/>
          </w:tcPr>
          <w:p>
            <w:pPr>
              <w:spacing w:after="0" w:line="169" w:lineRule="exact"/>
              <w:rPr>
                <w:sz w:val="20"/>
                <w:szCs w:val="20"/>
                <w:color w:val="auto"/>
              </w:rPr>
            </w:pPr>
            <w:r>
              <w:rPr>
                <w:rFonts w:ascii="Arial" w:cs="Arial" w:eastAsia="Arial" w:hAnsi="Arial"/>
                <w:sz w:val="16"/>
                <w:szCs w:val="16"/>
                <w:b w:val="1"/>
                <w:bCs w:val="1"/>
                <w:color w:val="auto"/>
              </w:rPr>
              <w:t>Non-interest income:</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Trust fees</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8,115</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7,514</w:t>
            </w: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Commissions and brokers’ fees, net</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914</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1,096</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Remittance processing</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3,780</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3,392</w:t>
            </w: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Fees for customer services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8,097</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6,946</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Mortgage revenue</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1,945</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1,643</w:t>
            </w: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Security gains, net</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42</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3,052</w:t>
            </w:r>
          </w:p>
        </w:tc>
        <w:tc>
          <w:tcPr>
            <w:tcW w:w="2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1,895</w:t>
            </w:r>
          </w:p>
        </w:tc>
      </w:tr>
      <w:tr>
        <w:trPr>
          <w:trHeight w:val="169"/>
        </w:trPr>
        <w:tc>
          <w:tcPr>
            <w:tcW w:w="5480" w:type="dxa"/>
            <w:vAlign w:val="bottom"/>
            <w:tcBorders>
              <w:bottom w:val="single" w:sz="8" w:color="CCEEFF"/>
            </w:tcBorders>
          </w:tcPr>
          <w:p>
            <w:pPr>
              <w:ind w:left="440"/>
              <w:spacing w:after="0" w:line="169" w:lineRule="exact"/>
              <w:rPr>
                <w:sz w:val="20"/>
                <w:szCs w:val="20"/>
                <w:color w:val="auto"/>
              </w:rPr>
            </w:pPr>
            <w:r>
              <w:rPr>
                <w:rFonts w:ascii="Arial" w:cs="Arial" w:eastAsia="Arial" w:hAnsi="Arial"/>
                <w:sz w:val="16"/>
                <w:szCs w:val="16"/>
                <w:color w:val="auto"/>
              </w:rPr>
              <w:t>Total non-interest income</w:t>
            </w:r>
          </w:p>
        </w:tc>
        <w:tc>
          <w:tcPr>
            <w:tcW w:w="3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8"/>
              </w:rPr>
              <w:t>25,945</w:t>
            </w:r>
          </w:p>
        </w:tc>
        <w:tc>
          <w:tcPr>
            <w:tcW w:w="2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22,486</w:t>
            </w:r>
          </w:p>
        </w:tc>
      </w:tr>
      <w:tr>
        <w:trPr>
          <w:trHeight w:val="169"/>
        </w:trPr>
        <w:tc>
          <w:tcPr>
            <w:tcW w:w="54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Non-interest expense:</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Salaries, wages and employee benefits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98"/>
              </w:rPr>
              <w:t>32,341</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28,819</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Net occupancy expense of premises</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4,202</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3,821</w:t>
            </w: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Furniture and equipment expenses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2,095</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1,913</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Data processing</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4,401</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4,345</w:t>
            </w: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2,094</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1,515</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Other expense</w:t>
            </w:r>
          </w:p>
        </w:tc>
        <w:tc>
          <w:tcPr>
            <w:tcW w:w="3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w w:val="98"/>
              </w:rPr>
              <w:t>12,030</w:t>
            </w:r>
          </w:p>
        </w:tc>
        <w:tc>
          <w:tcPr>
            <w:tcW w:w="2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10,627</w:t>
            </w:r>
          </w:p>
        </w:tc>
      </w:tr>
      <w:tr>
        <w:trPr>
          <w:trHeight w:val="169"/>
        </w:trPr>
        <w:tc>
          <w:tcPr>
            <w:tcW w:w="5480" w:type="dxa"/>
            <w:vAlign w:val="bottom"/>
            <w:tcBorders>
              <w:bottom w:val="single" w:sz="8" w:color="CCEEFF"/>
            </w:tcBorders>
          </w:tcPr>
          <w:p>
            <w:pPr>
              <w:ind w:left="440"/>
              <w:spacing w:after="0" w:line="169" w:lineRule="exact"/>
              <w:rPr>
                <w:sz w:val="20"/>
                <w:szCs w:val="20"/>
                <w:color w:val="auto"/>
              </w:rPr>
            </w:pPr>
            <w:r>
              <w:rPr>
                <w:rFonts w:ascii="Arial" w:cs="Arial" w:eastAsia="Arial" w:hAnsi="Arial"/>
                <w:sz w:val="16"/>
                <w:szCs w:val="16"/>
                <w:color w:val="auto"/>
              </w:rPr>
              <w:t>Total non-interest expense</w:t>
            </w:r>
          </w:p>
        </w:tc>
        <w:tc>
          <w:tcPr>
            <w:tcW w:w="3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8"/>
              </w:rPr>
              <w:t>57,163</w:t>
            </w:r>
          </w:p>
        </w:tc>
        <w:tc>
          <w:tcPr>
            <w:tcW w:w="2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51,040</w:t>
            </w:r>
          </w:p>
        </w:tc>
      </w:tr>
      <w:tr>
        <w:trPr>
          <w:trHeight w:val="169"/>
        </w:trPr>
        <w:tc>
          <w:tcPr>
            <w:tcW w:w="5480" w:type="dxa"/>
            <w:vAlign w:val="bottom"/>
            <w:shd w:val="clear" w:color="auto" w:fill="CCEEFF"/>
          </w:tcPr>
          <w:p>
            <w:pPr>
              <w:ind w:left="440"/>
              <w:spacing w:after="0" w:line="169" w:lineRule="exact"/>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w w:val="98"/>
              </w:rPr>
              <w:t>35,054</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30,195</w:t>
            </w:r>
          </w:p>
        </w:tc>
      </w:tr>
      <w:tr>
        <w:trPr>
          <w:trHeight w:val="176"/>
        </w:trPr>
        <w:tc>
          <w:tcPr>
            <w:tcW w:w="54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6"/>
                <w:szCs w:val="16"/>
                <w:color w:val="auto"/>
              </w:rPr>
              <w:t>Income taxes</w:t>
            </w:r>
          </w:p>
        </w:tc>
        <w:tc>
          <w:tcPr>
            <w:tcW w:w="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9,585</w:t>
            </w:r>
          </w:p>
        </w:tc>
        <w:tc>
          <w:tcPr>
            <w:tcW w:w="2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8,278</w:t>
            </w:r>
          </w:p>
        </w:tc>
      </w:tr>
      <w:tr>
        <w:trPr>
          <w:trHeight w:val="176"/>
        </w:trPr>
        <w:tc>
          <w:tcPr>
            <w:tcW w:w="5480" w:type="dxa"/>
            <w:vAlign w:val="bottom"/>
            <w:tcBorders>
              <w:bottom w:val="single" w:sz="8" w:color="CCEEFF"/>
            </w:tcBorders>
            <w:shd w:val="clear" w:color="auto" w:fill="CCEEFF"/>
          </w:tcPr>
          <w:p>
            <w:pPr>
              <w:ind w:left="440"/>
              <w:spacing w:after="0" w:line="169" w:lineRule="exact"/>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86"/>
              <w:spacing w:after="0" w:line="169" w:lineRule="exact"/>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w w:val="98"/>
              </w:rPr>
              <w:t>25,469</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84"/>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21,917</w:t>
            </w:r>
          </w:p>
        </w:tc>
      </w:tr>
      <w:tr>
        <w:trPr>
          <w:trHeight w:val="176"/>
        </w:trPr>
        <w:tc>
          <w:tcPr>
            <w:tcW w:w="5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6"/>
        </w:trPr>
        <w:tc>
          <w:tcPr>
            <w:tcW w:w="54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Basic earnings per common share</w:t>
            </w:r>
          </w:p>
        </w:tc>
        <w:tc>
          <w:tcPr>
            <w:tcW w:w="1280" w:type="dxa"/>
            <w:vAlign w:val="bottom"/>
            <w:gridSpan w:val="2"/>
            <w:shd w:val="clear" w:color="auto" w:fill="CCEEFF"/>
          </w:tcPr>
          <w:p>
            <w:pPr>
              <w:jc w:val="right"/>
              <w:ind w:right="786"/>
              <w:spacing w:after="0" w:line="176" w:lineRule="exact"/>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0.48</w:t>
            </w:r>
          </w:p>
        </w:tc>
        <w:tc>
          <w:tcPr>
            <w:tcW w:w="1180" w:type="dxa"/>
            <w:vAlign w:val="bottom"/>
            <w:gridSpan w:val="2"/>
            <w:shd w:val="clear" w:color="auto" w:fill="CCEEFF"/>
          </w:tcPr>
          <w:p>
            <w:pPr>
              <w:jc w:val="right"/>
              <w:ind w:right="784"/>
              <w:spacing w:after="0" w:line="176"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0.45</w:t>
            </w:r>
          </w:p>
        </w:tc>
      </w:tr>
      <w:tr>
        <w:trPr>
          <w:trHeight w:val="170"/>
        </w:trPr>
        <w:tc>
          <w:tcPr>
            <w:tcW w:w="5480" w:type="dxa"/>
            <w:vAlign w:val="bottom"/>
            <w:tcBorders>
              <w:top w:val="single" w:sz="8" w:color="CCEEFF"/>
              <w:bottom w:val="single" w:sz="8" w:color="CCEEFF"/>
            </w:tcBorders>
          </w:tcPr>
          <w:p>
            <w:pPr>
              <w:spacing w:after="0" w:line="163" w:lineRule="exact"/>
              <w:rPr>
                <w:sz w:val="20"/>
                <w:szCs w:val="20"/>
                <w:color w:val="auto"/>
              </w:rPr>
            </w:pPr>
            <w:r>
              <w:rPr>
                <w:rFonts w:ascii="Arial" w:cs="Arial" w:eastAsia="Arial" w:hAnsi="Arial"/>
                <w:sz w:val="16"/>
                <w:szCs w:val="16"/>
                <w:b w:val="1"/>
                <w:bCs w:val="1"/>
                <w:color w:val="auto"/>
              </w:rPr>
              <w:t>Diluted earnings per common share</w:t>
            </w:r>
          </w:p>
        </w:tc>
        <w:tc>
          <w:tcPr>
            <w:tcW w:w="340" w:type="dxa"/>
            <w:vAlign w:val="bottom"/>
            <w:tcBorders>
              <w:top w:val="single" w:sz="8" w:color="CCEEFF"/>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786"/>
              <w:spacing w:after="0" w:line="163" w:lineRule="exact"/>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6"/>
                <w:szCs w:val="16"/>
                <w:b w:val="1"/>
                <w:bCs w:val="1"/>
                <w:color w:val="auto"/>
              </w:rPr>
              <w:t>0.48</w:t>
            </w:r>
          </w:p>
        </w:tc>
        <w:tc>
          <w:tcPr>
            <w:tcW w:w="240" w:type="dxa"/>
            <w:vAlign w:val="bottom"/>
            <w:tcBorders>
              <w:top w:val="single" w:sz="8" w:color="CCEEFF"/>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784"/>
              <w:spacing w:after="0" w:line="163"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6"/>
                <w:szCs w:val="16"/>
                <w:color w:val="auto"/>
              </w:rPr>
              <w:t>0.45</w:t>
            </w:r>
          </w:p>
        </w:tc>
      </w:tr>
      <w:tr>
        <w:trPr>
          <w:trHeight w:val="183"/>
        </w:trPr>
        <w:tc>
          <w:tcPr>
            <w:tcW w:w="54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Dividends declared per share of common stock</w:t>
            </w: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0.21</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0.20</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line="218" w:lineRule="auto"/>
        <w:rPr>
          <w:sz w:val="20"/>
          <w:szCs w:val="20"/>
          <w:color w:val="auto"/>
        </w:rPr>
      </w:pPr>
      <w:r>
        <w:rPr>
          <w:rFonts w:ascii="Arial" w:cs="Arial" w:eastAsia="Arial" w:hAnsi="Arial"/>
          <w:sz w:val="18"/>
          <w:szCs w:val="18"/>
          <w:b w:val="1"/>
          <w:bCs w:val="1"/>
          <w:color w:val="auto"/>
        </w:rPr>
        <w:t>FIRST BUSEY CORPORATION and Subsidiaries CONSOLIDATED STATEMENTS OF COMPREHENSIVE INCOME (Unaudited)</w:t>
      </w:r>
    </w:p>
    <w:tbl>
      <w:tblPr>
        <w:tblLayout w:type="fixed"/>
        <w:tblInd w:w="0" w:type="dxa"/>
        <w:tblCellMar>
          <w:top w:w="0" w:type="dxa"/>
          <w:left w:w="0" w:type="dxa"/>
          <w:bottom w:w="0" w:type="dxa"/>
          <w:right w:w="0" w:type="dxa"/>
        </w:tblCellMar>
      </w:tblPr>
      <w:tr>
        <w:trPr>
          <w:trHeight w:val="134"/>
        </w:trPr>
        <w:tc>
          <w:tcPr>
            <w:tcW w:w="6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gridSpan w:val="4"/>
          </w:tcPr>
          <w:p>
            <w:pPr>
              <w:jc w:val="center"/>
              <w:ind w:right="172"/>
              <w:spacing w:after="0" w:line="134" w:lineRule="exact"/>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left="496"/>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4"/>
          </w:tcPr>
          <w:p>
            <w:pPr>
              <w:jc w:val="center"/>
              <w:ind w:right="172"/>
              <w:spacing w:after="0" w:line="142"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CCEEFF"/>
          </w:tcPr>
          <w:p>
            <w:pPr>
              <w:jc w:val="right"/>
              <w:ind w:right="105"/>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25,469</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21,917</w:t>
            </w:r>
          </w:p>
        </w:tc>
        <w:tc>
          <w:tcPr>
            <w:tcW w:w="0" w:type="dxa"/>
            <w:vAlign w:val="bottom"/>
          </w:tcPr>
          <w:p>
            <w:pPr>
              <w:spacing w:after="0"/>
              <w:rPr>
                <w:sz w:val="1"/>
                <w:szCs w:val="1"/>
                <w:color w:val="auto"/>
              </w:rPr>
            </w:pPr>
          </w:p>
        </w:tc>
      </w:tr>
      <w:tr>
        <w:trPr>
          <w:trHeight w:val="183"/>
        </w:trPr>
        <w:tc>
          <w:tcPr>
            <w:tcW w:w="6380" w:type="dxa"/>
            <w:vAlign w:val="bottom"/>
          </w:tcPr>
          <w:p>
            <w:pPr>
              <w:spacing w:after="0" w:line="182" w:lineRule="exact"/>
              <w:rPr>
                <w:sz w:val="20"/>
                <w:szCs w:val="20"/>
                <w:color w:val="auto"/>
              </w:rPr>
            </w:pPr>
            <w:r>
              <w:rPr>
                <w:rFonts w:ascii="Arial" w:cs="Arial" w:eastAsia="Arial" w:hAnsi="Arial"/>
                <w:sz w:val="18"/>
                <w:szCs w:val="18"/>
                <w:color w:val="auto"/>
              </w:rPr>
              <w:t>Other comprehensive income (loss), before tax:</w:t>
            </w:r>
          </w:p>
        </w:tc>
        <w:tc>
          <w:tcPr>
            <w:tcW w:w="3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Securities available for sale:</w:t>
            </w: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80" w:type="dxa"/>
            <w:vAlign w:val="bottom"/>
          </w:tcPr>
          <w:p>
            <w:pPr>
              <w:ind w:left="320"/>
              <w:spacing w:after="0" w:line="189" w:lineRule="exact"/>
              <w:rPr>
                <w:sz w:val="20"/>
                <w:szCs w:val="20"/>
                <w:color w:val="auto"/>
              </w:rPr>
            </w:pPr>
            <w:r>
              <w:rPr>
                <w:rFonts w:ascii="Arial" w:cs="Arial" w:eastAsia="Arial" w:hAnsi="Arial"/>
                <w:sz w:val="18"/>
                <w:szCs w:val="18"/>
                <w:color w:val="auto"/>
              </w:rPr>
              <w:t>Unrealized net gains/(losses) on securities: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Unrealized net holding gains (losses) arising during period</w:t>
            </w: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6,799</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(8,754)</w:t>
            </w:r>
          </w:p>
        </w:tc>
        <w:tc>
          <w:tcPr>
            <w:tcW w:w="0" w:type="dxa"/>
            <w:vAlign w:val="bottom"/>
          </w:tcPr>
          <w:p>
            <w:pPr>
              <w:spacing w:after="0"/>
              <w:rPr>
                <w:sz w:val="1"/>
                <w:szCs w:val="1"/>
                <w:color w:val="auto"/>
              </w:rPr>
            </w:pPr>
          </w:p>
        </w:tc>
      </w:tr>
      <w:tr>
        <w:trPr>
          <w:trHeight w:val="161"/>
        </w:trPr>
        <w:tc>
          <w:tcPr>
            <w:tcW w:w="6380" w:type="dxa"/>
            <w:vAlign w:val="bottom"/>
          </w:tcPr>
          <w:p>
            <w:pPr>
              <w:ind w:left="440"/>
              <w:spacing w:after="0" w:line="161" w:lineRule="exact"/>
              <w:rPr>
                <w:sz w:val="20"/>
                <w:szCs w:val="20"/>
                <w:color w:val="auto"/>
              </w:rPr>
            </w:pPr>
            <w:r>
              <w:rPr>
                <w:rFonts w:ascii="Arial" w:cs="Arial" w:eastAsia="Arial" w:hAnsi="Arial"/>
                <w:sz w:val="18"/>
                <w:szCs w:val="18"/>
                <w:color w:val="auto"/>
                <w:w w:val="96"/>
              </w:rPr>
              <w:t>Unrealized gains on investment securities transferred from held to maturity to</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4,780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380" w:type="dxa"/>
            <w:vAlign w:val="bottom"/>
          </w:tcPr>
          <w:p>
            <w:pPr>
              <w:ind w:left="440"/>
              <w:spacing w:after="0"/>
              <w:rPr>
                <w:sz w:val="20"/>
                <w:szCs w:val="20"/>
                <w:color w:val="auto"/>
              </w:rPr>
            </w:pPr>
            <w:r>
              <w:rPr>
                <w:rFonts w:ascii="Arial" w:cs="Arial" w:eastAsia="Arial" w:hAnsi="Arial"/>
                <w:sz w:val="18"/>
                <w:szCs w:val="18"/>
                <w:color w:val="auto"/>
              </w:rPr>
              <w:t>available for sale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Reclassification adjustment for losses included in net income</w:t>
            </w:r>
          </w:p>
        </w:tc>
        <w:tc>
          <w:tcPr>
            <w:tcW w:w="3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184</w:t>
            </w:r>
          </w:p>
        </w:tc>
        <w:tc>
          <w:tcPr>
            <w:tcW w:w="2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6380" w:type="dxa"/>
            <w:vAlign w:val="bottom"/>
          </w:tcPr>
          <w:p>
            <w:pPr>
              <w:spacing w:after="0" w:line="182" w:lineRule="exact"/>
              <w:rPr>
                <w:sz w:val="20"/>
                <w:szCs w:val="20"/>
                <w:color w:val="auto"/>
              </w:rPr>
            </w:pPr>
            <w:r>
              <w:rPr>
                <w:rFonts w:ascii="Arial" w:cs="Arial" w:eastAsia="Arial" w:hAnsi="Arial"/>
                <w:sz w:val="18"/>
                <w:szCs w:val="18"/>
                <w:color w:val="auto"/>
              </w:rPr>
              <w:t>Other comprehensive income (loss), before tax</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11,763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(8,754)</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w w:val="98"/>
              </w:rPr>
              <w:t>Income tax expense (benefit) related to items of other comprehensive income</w:t>
            </w:r>
          </w:p>
        </w:tc>
        <w:tc>
          <w:tcPr>
            <w:tcW w:w="3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3,356</w:t>
            </w:r>
          </w:p>
        </w:tc>
        <w:tc>
          <w:tcPr>
            <w:tcW w:w="2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183"/>
        </w:trPr>
        <w:tc>
          <w:tcPr>
            <w:tcW w:w="6380" w:type="dxa"/>
            <w:vAlign w:val="bottom"/>
            <w:tcBorders>
              <w:bottom w:val="single" w:sz="8" w:color="CCEEFF"/>
            </w:tcBorders>
          </w:tcPr>
          <w:p>
            <w:pPr>
              <w:ind w:left="320"/>
              <w:spacing w:after="0" w:line="182" w:lineRule="exact"/>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8,407</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shd w:val="clear" w:color="auto" w:fill="CCEEFF"/>
          </w:tcPr>
          <w:p>
            <w:pPr>
              <w:ind w:left="320"/>
              <w:spacing w:after="0" w:line="182" w:lineRule="exact"/>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33,876</w:t>
            </w: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15,658</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line="204"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5"/>
                <w:szCs w:val="15"/>
                <w:color w:val="auto"/>
              </w:rPr>
            </w:pPr>
          </w:p>
        </w:tc>
        <w:tc>
          <w:tcPr>
            <w:tcW w:w="780" w:type="dxa"/>
            <w:vAlign w:val="bottom"/>
          </w:tcPr>
          <w:p>
            <w:pPr>
              <w:jc w:val="right"/>
              <w:ind w:right="81"/>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Treasury</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9"/>
              </w:rPr>
              <w:t>(Deficit)</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8"/>
              </w:rPr>
              <w:t>Income (loss)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Stock</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Balance, December 31, 2017</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4"/>
              </w:rPr>
              <w:t>48,684,943</w:t>
            </w:r>
          </w:p>
        </w:tc>
        <w:tc>
          <w:tcPr>
            <w:tcW w:w="2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49</w:t>
            </w:r>
          </w:p>
        </w:tc>
        <w:tc>
          <w:tcPr>
            <w:tcW w:w="9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$1,084,889</w:t>
            </w:r>
          </w:p>
        </w:tc>
        <w:tc>
          <w:tcPr>
            <w:tcW w:w="2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9"/>
              </w:rPr>
              <w:t>(132,122)</w:t>
            </w:r>
          </w:p>
        </w:tc>
        <w:tc>
          <w:tcPr>
            <w:tcW w:w="340" w:type="dxa"/>
            <w:vAlign w:val="bottom"/>
            <w:gridSpan w:val="2"/>
            <w:shd w:val="clear" w:color="auto" w:fill="CCEEFF"/>
          </w:tcPr>
          <w:p>
            <w:pPr>
              <w:jc w:val="right"/>
              <w:ind w:right="55"/>
              <w:spacing w:after="0" w:line="169"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(2,810)</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0"/>
              </w:rPr>
              <w:t>(15,003)</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935,003</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income</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21,917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21,917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tcPr>
          <w:p>
            <w:pPr>
              <w:spacing w:after="0" w:line="176" w:lineRule="exact"/>
              <w:rPr>
                <w:sz w:val="20"/>
                <w:szCs w:val="20"/>
                <w:color w:val="auto"/>
              </w:rPr>
            </w:pPr>
            <w:r>
              <w:rPr>
                <w:rFonts w:ascii="Arial" w:cs="Arial" w:eastAsia="Arial" w:hAnsi="Arial"/>
                <w:sz w:val="16"/>
                <w:szCs w:val="16"/>
                <w:color w:val="auto"/>
              </w:rPr>
              <w:t>Other comprehensive loss</w:t>
            </w:r>
          </w:p>
        </w:tc>
        <w:tc>
          <w:tcPr>
            <w:tcW w:w="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(6,259)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(6,259)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9"/>
              </w:rPr>
              <w:t>Tax Cuts and Jobs Act of 2017 reclassification</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605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(605)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80" w:type="dxa"/>
            <w:vAlign w:val="bottom"/>
          </w:tcPr>
          <w:p>
            <w:pPr>
              <w:spacing w:after="0" w:line="152" w:lineRule="exact"/>
              <w:rPr>
                <w:sz w:val="20"/>
                <w:szCs w:val="20"/>
                <w:color w:val="auto"/>
              </w:rPr>
            </w:pPr>
            <w:r>
              <w:rPr>
                <w:rFonts w:ascii="Arial" w:cs="Arial" w:eastAsia="Arial" w:hAnsi="Arial"/>
                <w:sz w:val="16"/>
                <w:szCs w:val="16"/>
                <w:color w:val="auto"/>
              </w:rPr>
              <w:t>Issuance of treasury stock for employee stock</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300" w:type="dxa"/>
            <w:vAlign w:val="bottom"/>
            <w:gridSpan w:val="2"/>
          </w:tcPr>
          <w:p>
            <w:pPr>
              <w:spacing w:after="0"/>
              <w:rPr>
                <w:sz w:val="20"/>
                <w:szCs w:val="20"/>
                <w:color w:val="auto"/>
              </w:rPr>
            </w:pPr>
            <w:r>
              <w:rPr>
                <w:rFonts w:ascii="Arial" w:cs="Arial" w:eastAsia="Arial" w:hAnsi="Arial"/>
                <w:sz w:val="16"/>
                <w:szCs w:val="16"/>
                <w:color w:val="auto"/>
              </w:rPr>
              <w:t>purchase plan</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8,718</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8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97"/>
              </w:rPr>
              <w:t>Net issuance of treasury stock for stock options</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8"/>
              </w:rPr>
              <w:t>exercised, net of shares redeemed and related</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tax</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23,578</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80" w:type="dxa"/>
            <w:vAlign w:val="bottom"/>
          </w:tcPr>
          <w:p>
            <w:pPr>
              <w:spacing w:after="0" w:line="152" w:lineRule="exact"/>
              <w:rPr>
                <w:sz w:val="20"/>
                <w:szCs w:val="20"/>
                <w:color w:val="auto"/>
              </w:rPr>
            </w:pPr>
            <w:r>
              <w:rPr>
                <w:rFonts w:ascii="Arial" w:cs="Arial" w:eastAsia="Arial" w:hAnsi="Arial"/>
                <w:sz w:val="16"/>
                <w:szCs w:val="16"/>
                <w:color w:val="auto"/>
              </w:rPr>
              <w:t>Cash dividends common stock at $0.20 per</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300" w:type="dxa"/>
            <w:vAlign w:val="bottom"/>
            <w:gridSpan w:val="2"/>
          </w:tcPr>
          <w:p>
            <w:pPr>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(9,739)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(9,739)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8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Stock dividend equivalents restricted stock</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units at $0.20 per share</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tcPr>
          <w:p>
            <w:pPr>
              <w:spacing w:after="0" w:line="176" w:lineRule="exact"/>
              <w:rPr>
                <w:sz w:val="20"/>
                <w:szCs w:val="20"/>
                <w:color w:val="auto"/>
              </w:rPr>
            </w:pPr>
            <w:r>
              <w:rPr>
                <w:rFonts w:ascii="Arial" w:cs="Arial" w:eastAsia="Arial" w:hAnsi="Arial"/>
                <w:sz w:val="16"/>
                <w:szCs w:val="16"/>
                <w:color w:val="auto"/>
              </w:rPr>
              <w:t>Stock-based compensation</w:t>
            </w:r>
          </w:p>
        </w:tc>
        <w:tc>
          <w:tcPr>
            <w:tcW w:w="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848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Balance, March 31, 2018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4"/>
              </w:rPr>
              <w:t>48,717,239</w:t>
            </w:r>
          </w:p>
        </w:tc>
        <w:tc>
          <w:tcPr>
            <w:tcW w:w="2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1,084,411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9"/>
              </w:rPr>
              <w:t>(119,467)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(9,674)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0"/>
              </w:rPr>
              <w:t>(13,173)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942,146</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Balance, December 31, 2018</w:t>
            </w:r>
          </w:p>
        </w:tc>
        <w:tc>
          <w:tcPr>
            <w:tcW w:w="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w w:val="87"/>
              </w:rPr>
              <w:t>48,874,836</w:t>
            </w:r>
          </w:p>
        </w:tc>
        <w:tc>
          <w:tcPr>
            <w:tcW w:w="2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49</w:t>
            </w:r>
          </w:p>
        </w:tc>
        <w:tc>
          <w:tcPr>
            <w:tcW w:w="9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$1,080,084</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(72,167)</w:t>
            </w:r>
          </w:p>
        </w:tc>
        <w:tc>
          <w:tcPr>
            <w:tcW w:w="340" w:type="dxa"/>
            <w:vAlign w:val="bottom"/>
            <w:gridSpan w:val="2"/>
            <w:shd w:val="clear" w:color="auto" w:fill="CCEEFF"/>
          </w:tcPr>
          <w:p>
            <w:pPr>
              <w:jc w:val="right"/>
              <w:ind w:right="55"/>
              <w:spacing w:after="0" w:line="176"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(6,812)</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(6,190)</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994,964</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income</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25,469</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25,469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tcPr>
          <w:p>
            <w:pPr>
              <w:spacing w:after="0" w:line="176" w:lineRule="exact"/>
              <w:rPr>
                <w:sz w:val="20"/>
                <w:szCs w:val="20"/>
                <w:color w:val="auto"/>
              </w:rPr>
            </w:pPr>
            <w:r>
              <w:rPr>
                <w:rFonts w:ascii="Arial" w:cs="Arial" w:eastAsia="Arial" w:hAnsi="Arial"/>
                <w:sz w:val="16"/>
                <w:szCs w:val="16"/>
                <w:color w:val="auto"/>
              </w:rPr>
              <w:t>Other comprehensive income</w:t>
            </w:r>
          </w:p>
        </w:tc>
        <w:tc>
          <w:tcPr>
            <w:tcW w:w="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8,407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8,407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8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Stock issued in acquisition of Banc Ed, net of</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stock issuance costs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6,725,152</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166,274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166,281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80" w:type="dxa"/>
            <w:vAlign w:val="bottom"/>
          </w:tcPr>
          <w:p>
            <w:pPr>
              <w:spacing w:after="0" w:line="152" w:lineRule="exact"/>
              <w:rPr>
                <w:sz w:val="20"/>
                <w:szCs w:val="20"/>
                <w:color w:val="auto"/>
              </w:rPr>
            </w:pPr>
            <w:r>
              <w:rPr>
                <w:rFonts w:ascii="Arial" w:cs="Arial" w:eastAsia="Arial" w:hAnsi="Arial"/>
                <w:sz w:val="16"/>
                <w:szCs w:val="16"/>
                <w:color w:val="auto"/>
              </w:rPr>
              <w:t>Issuance of treasury stock for employee stock</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300" w:type="dxa"/>
            <w:vAlign w:val="bottom"/>
            <w:gridSpan w:val="2"/>
          </w:tcPr>
          <w:p>
            <w:pPr>
              <w:spacing w:after="0"/>
              <w:rPr>
                <w:sz w:val="20"/>
                <w:szCs w:val="20"/>
                <w:color w:val="auto"/>
              </w:rPr>
            </w:pPr>
            <w:r>
              <w:rPr>
                <w:rFonts w:ascii="Arial" w:cs="Arial" w:eastAsia="Arial" w:hAnsi="Arial"/>
                <w:sz w:val="16"/>
                <w:szCs w:val="16"/>
                <w:color w:val="auto"/>
              </w:rPr>
              <w:t>purchase plan</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11,731</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8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Net issuance of treasury stock for</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5"/>
              </w:rPr>
              <w:t>restricted/deferred stock unit vesting and related</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tax</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9,070</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80" w:type="dxa"/>
            <w:vAlign w:val="bottom"/>
          </w:tcPr>
          <w:p>
            <w:pPr>
              <w:spacing w:after="0" w:line="152" w:lineRule="exact"/>
              <w:rPr>
                <w:sz w:val="20"/>
                <w:szCs w:val="20"/>
                <w:color w:val="auto"/>
              </w:rPr>
            </w:pPr>
            <w:r>
              <w:rPr>
                <w:rFonts w:ascii="Arial" w:cs="Arial" w:eastAsia="Arial" w:hAnsi="Arial"/>
                <w:sz w:val="16"/>
                <w:szCs w:val="16"/>
                <w:color w:val="auto"/>
                <w:w w:val="97"/>
              </w:rPr>
              <w:t>Net issuance of treasury stock for stock options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line="176" w:lineRule="exact"/>
              <w:rPr>
                <w:sz w:val="20"/>
                <w:szCs w:val="20"/>
                <w:color w:val="auto"/>
              </w:rPr>
            </w:pPr>
            <w:r>
              <w:rPr>
                <w:rFonts w:ascii="Arial" w:cs="Arial" w:eastAsia="Arial" w:hAnsi="Arial"/>
                <w:sz w:val="16"/>
                <w:szCs w:val="16"/>
                <w:color w:val="auto"/>
                <w:w w:val="99"/>
              </w:rPr>
              <w:t>exercised, net of shares redeemed and related</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300" w:type="dxa"/>
            <w:vAlign w:val="bottom"/>
            <w:gridSpan w:val="2"/>
          </w:tcPr>
          <w:p>
            <w:pPr>
              <w:spacing w:after="0"/>
              <w:rPr>
                <w:sz w:val="20"/>
                <w:szCs w:val="20"/>
                <w:color w:val="auto"/>
              </w:rPr>
            </w:pPr>
            <w:r>
              <w:rPr>
                <w:rFonts w:ascii="Arial" w:cs="Arial" w:eastAsia="Arial" w:hAnsi="Arial"/>
                <w:sz w:val="16"/>
                <w:szCs w:val="16"/>
                <w:color w:val="auto"/>
              </w:rPr>
              <w:t>tax</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3,838</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8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Cash dividends common stock at $0.21 per</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share</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80" w:type="dxa"/>
            <w:vAlign w:val="bottom"/>
          </w:tcPr>
          <w:p>
            <w:pPr>
              <w:spacing w:after="0" w:line="152" w:lineRule="exact"/>
              <w:rPr>
                <w:sz w:val="20"/>
                <w:szCs w:val="20"/>
                <w:color w:val="auto"/>
              </w:rPr>
            </w:pPr>
            <w:r>
              <w:rPr>
                <w:rFonts w:ascii="Arial" w:cs="Arial" w:eastAsia="Arial" w:hAnsi="Arial"/>
                <w:sz w:val="16"/>
                <w:szCs w:val="16"/>
                <w:color w:val="auto"/>
              </w:rPr>
              <w:t>Stock dividend equivalents restricted stock</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300" w:type="dxa"/>
            <w:vAlign w:val="bottom"/>
            <w:gridSpan w:val="2"/>
          </w:tcPr>
          <w:p>
            <w:pPr>
              <w:spacing w:after="0"/>
              <w:rPr>
                <w:sz w:val="20"/>
                <w:szCs w:val="20"/>
                <w:color w:val="auto"/>
              </w:rPr>
            </w:pPr>
            <w:r>
              <w:rPr>
                <w:rFonts w:ascii="Arial" w:cs="Arial" w:eastAsia="Arial" w:hAnsi="Arial"/>
                <w:sz w:val="16"/>
                <w:szCs w:val="16"/>
                <w:color w:val="auto"/>
              </w:rPr>
              <w:t>units at $0.21 per share</w:t>
            </w: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Stock-based compensation</w:t>
            </w:r>
          </w:p>
        </w:tc>
        <w:tc>
          <w:tcPr>
            <w:tcW w:w="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1,014</w:t>
            </w: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line="169" w:lineRule="exact"/>
              <w:rPr>
                <w:sz w:val="20"/>
                <w:szCs w:val="20"/>
                <w:color w:val="auto"/>
              </w:rPr>
            </w:pPr>
            <w:r>
              <w:rPr>
                <w:rFonts w:ascii="Arial" w:cs="Arial" w:eastAsia="Arial" w:hAnsi="Arial"/>
                <w:sz w:val="16"/>
                <w:szCs w:val="16"/>
                <w:color w:val="auto"/>
              </w:rPr>
              <w:t>Balance, March 31, 2019</w:t>
            </w: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84"/>
              </w:rPr>
              <w:t>55,624,627</w:t>
            </w:r>
          </w:p>
        </w:tc>
        <w:tc>
          <w:tcPr>
            <w:tcW w:w="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56</w:t>
            </w:r>
          </w:p>
        </w:tc>
        <w:tc>
          <w:tcPr>
            <w:tcW w:w="9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$1,247,340</w:t>
            </w:r>
          </w:p>
        </w:tc>
        <w:tc>
          <w:tcPr>
            <w:tcW w:w="26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(57,125)</w:t>
            </w:r>
          </w:p>
        </w:tc>
        <w:tc>
          <w:tcPr>
            <w:tcW w:w="340" w:type="dxa"/>
            <w:vAlign w:val="bottom"/>
            <w:tcBorders>
              <w:bottom w:val="single" w:sz="8" w:color="auto"/>
            </w:tcBorders>
            <w:gridSpan w:val="2"/>
          </w:tcPr>
          <w:p>
            <w:pPr>
              <w:jc w:val="right"/>
              <w:ind w:right="55"/>
              <w:spacing w:after="0" w:line="169" w:lineRule="exact"/>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1,595</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(5,725)</w:t>
            </w:r>
          </w:p>
        </w:tc>
        <w:tc>
          <w:tcPr>
            <w:tcW w:w="2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89"/>
              </w:rPr>
              <w:t>1,186,141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60972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600"/>
          </w:cols>
          <w:pgMar w:left="1160" w:top="111" w:right="11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line="222"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340" w:type="dxa"/>
            <w:vAlign w:val="bottom"/>
            <w:gridSpan w:val="5"/>
          </w:tcPr>
          <w:p>
            <w:pPr>
              <w:ind w:left="60"/>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169"/>
        </w:trPr>
        <w:tc>
          <w:tcPr>
            <w:tcW w:w="67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9"/>
              <w:spacing w:after="0" w:line="169" w:lineRule="exact"/>
              <w:rPr>
                <w:sz w:val="20"/>
                <w:szCs w:val="20"/>
                <w:color w:val="auto"/>
              </w:rPr>
            </w:pPr>
            <w:r>
              <w:rPr>
                <w:rFonts w:ascii="Arial" w:cs="Arial" w:eastAsia="Arial" w:hAnsi="Arial"/>
                <w:sz w:val="16"/>
                <w:szCs w:val="16"/>
                <w:b w:val="1"/>
                <w:bCs w:val="1"/>
                <w:color w:val="auto"/>
              </w:rPr>
              <w:t>2019</w:t>
            </w:r>
          </w:p>
        </w:tc>
        <w:tc>
          <w:tcPr>
            <w:tcW w:w="3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4"/>
                <w:szCs w:val="14"/>
                <w:color w:val="auto"/>
              </w:rPr>
            </w:pPr>
          </w:p>
        </w:tc>
      </w:tr>
      <w:tr>
        <w:trPr>
          <w:trHeight w:val="169"/>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3"/>
          </w:tcPr>
          <w:p>
            <w:pPr>
              <w:jc w:val="right"/>
              <w:ind w:right="359"/>
              <w:spacing w:after="0" w:line="169" w:lineRule="exact"/>
              <w:rPr>
                <w:sz w:val="20"/>
                <w:szCs w:val="20"/>
                <w:color w:val="auto"/>
              </w:rPr>
            </w:pPr>
            <w:r>
              <w:rPr>
                <w:rFonts w:ascii="Arial" w:cs="Arial" w:eastAsia="Arial" w:hAnsi="Arial"/>
                <w:sz w:val="16"/>
                <w:szCs w:val="16"/>
                <w:i w:val="1"/>
                <w:iCs w:val="1"/>
                <w:color w:val="auto"/>
              </w:rPr>
              <w:t>(dollars in thousands)</w:t>
            </w:r>
          </w:p>
        </w:tc>
        <w:tc>
          <w:tcPr>
            <w:tcW w:w="20" w:type="dxa"/>
            <w:vAlign w:val="bottom"/>
          </w:tcPr>
          <w:p>
            <w:pPr>
              <w:spacing w:after="0"/>
              <w:rPr>
                <w:sz w:val="14"/>
                <w:szCs w:val="14"/>
                <w:color w:val="auto"/>
              </w:rPr>
            </w:pPr>
          </w:p>
        </w:tc>
      </w:tr>
      <w:tr>
        <w:trPr>
          <w:trHeight w:val="176"/>
        </w:trPr>
        <w:tc>
          <w:tcPr>
            <w:tcW w:w="674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740" w:type="dxa"/>
            <w:vAlign w:val="bottom"/>
          </w:tcPr>
          <w:p>
            <w:pPr>
              <w:ind w:left="220"/>
              <w:spacing w:after="0" w:line="176" w:lineRule="exact"/>
              <w:rPr>
                <w:sz w:val="20"/>
                <w:szCs w:val="20"/>
                <w:color w:val="auto"/>
              </w:rPr>
            </w:pPr>
            <w:r>
              <w:rPr>
                <w:rFonts w:ascii="Arial" w:cs="Arial" w:eastAsia="Arial" w:hAnsi="Arial"/>
                <w:sz w:val="16"/>
                <w:szCs w:val="16"/>
                <w:color w:val="auto"/>
              </w:rPr>
              <w:t>Net income</w:t>
            </w: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b w:val="1"/>
                <w:bCs w:val="1"/>
                <w:color w:val="auto"/>
              </w:rPr>
              <w:t>25,469</w:t>
            </w:r>
          </w:p>
        </w:tc>
        <w:tc>
          <w:tcPr>
            <w:tcW w:w="3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21,917</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Stock-based and non-cash compensation</w:t>
            </w:r>
          </w:p>
        </w:tc>
        <w:tc>
          <w:tcPr>
            <w:tcW w:w="240" w:type="dxa"/>
            <w:vAlign w:val="bottom"/>
          </w:tcPr>
          <w:p>
            <w:pPr>
              <w:spacing w:after="0"/>
              <w:rPr>
                <w:sz w:val="15"/>
                <w:szCs w:val="15"/>
                <w:color w:val="auto"/>
              </w:rPr>
            </w:pP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b w:val="1"/>
                <w:bCs w:val="1"/>
                <w:color w:val="auto"/>
              </w:rPr>
              <w:t>1,014</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848</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Depreciation</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
              <w:spacing w:after="0" w:line="176" w:lineRule="exact"/>
              <w:rPr>
                <w:sz w:val="20"/>
                <w:szCs w:val="20"/>
                <w:color w:val="auto"/>
              </w:rPr>
            </w:pPr>
            <w:r>
              <w:rPr>
                <w:rFonts w:ascii="Arial" w:cs="Arial" w:eastAsia="Arial" w:hAnsi="Arial"/>
                <w:sz w:val="16"/>
                <w:szCs w:val="16"/>
                <w:b w:val="1"/>
                <w:bCs w:val="1"/>
                <w:color w:val="auto"/>
              </w:rPr>
              <w:t>2,671</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2,384</w:t>
            </w: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5"/>
                <w:szCs w:val="15"/>
                <w:color w:val="auto"/>
              </w:rPr>
            </w:pP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b w:val="1"/>
                <w:bCs w:val="1"/>
                <w:color w:val="auto"/>
              </w:rPr>
              <w:t>2,094</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1,515</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Provision for loan losses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
              <w:spacing w:after="0" w:line="176" w:lineRule="exact"/>
              <w:rPr>
                <w:sz w:val="20"/>
                <w:szCs w:val="20"/>
                <w:color w:val="auto"/>
              </w:rPr>
            </w:pPr>
            <w:r>
              <w:rPr>
                <w:rFonts w:ascii="Arial" w:cs="Arial" w:eastAsia="Arial" w:hAnsi="Arial"/>
                <w:sz w:val="16"/>
                <w:szCs w:val="16"/>
                <w:b w:val="1"/>
                <w:bCs w:val="1"/>
                <w:color w:val="auto"/>
              </w:rPr>
              <w:t>2,111</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1,008</w:t>
            </w: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Provision for deferred income taxes</w:t>
            </w:r>
          </w:p>
        </w:tc>
        <w:tc>
          <w:tcPr>
            <w:tcW w:w="240" w:type="dxa"/>
            <w:vAlign w:val="bottom"/>
          </w:tcPr>
          <w:p>
            <w:pPr>
              <w:spacing w:after="0"/>
              <w:rPr>
                <w:sz w:val="15"/>
                <w:szCs w:val="15"/>
                <w:color w:val="auto"/>
              </w:rPr>
            </w:pP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b w:val="1"/>
                <w:bCs w:val="1"/>
                <w:color w:val="auto"/>
              </w:rPr>
              <w:t>1,751</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3,172</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Amortization of security premiums and discounts, net</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
              <w:spacing w:after="0" w:line="176" w:lineRule="exact"/>
              <w:rPr>
                <w:sz w:val="20"/>
                <w:szCs w:val="20"/>
                <w:color w:val="auto"/>
              </w:rPr>
            </w:pPr>
            <w:r>
              <w:rPr>
                <w:rFonts w:ascii="Arial" w:cs="Arial" w:eastAsia="Arial" w:hAnsi="Arial"/>
                <w:sz w:val="16"/>
                <w:szCs w:val="16"/>
                <w:b w:val="1"/>
                <w:bCs w:val="1"/>
                <w:color w:val="auto"/>
              </w:rPr>
              <w:t>1,355</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2,324</w:t>
            </w: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Accretion of premiums and discounts on time deposits and trust preferred securities, net</w:t>
            </w:r>
          </w:p>
        </w:tc>
        <w:tc>
          <w:tcPr>
            <w:tcW w:w="240" w:type="dxa"/>
            <w:vAlign w:val="bottom"/>
          </w:tcPr>
          <w:p>
            <w:pPr>
              <w:spacing w:after="0"/>
              <w:rPr>
                <w:sz w:val="15"/>
                <w:szCs w:val="15"/>
                <w:color w:val="auto"/>
              </w:rPr>
            </w:pPr>
          </w:p>
        </w:tc>
        <w:tc>
          <w:tcPr>
            <w:tcW w:w="940" w:type="dxa"/>
            <w:vAlign w:val="bottom"/>
          </w:tcPr>
          <w:p>
            <w:pPr>
              <w:jc w:val="right"/>
              <w:ind w:right="19"/>
              <w:spacing w:after="0" w:line="176" w:lineRule="exact"/>
              <w:rPr>
                <w:sz w:val="20"/>
                <w:szCs w:val="20"/>
                <w:color w:val="auto"/>
              </w:rPr>
            </w:pPr>
            <w:r>
              <w:rPr>
                <w:rFonts w:ascii="Arial" w:cs="Arial" w:eastAsia="Arial" w:hAnsi="Arial"/>
                <w:sz w:val="16"/>
                <w:szCs w:val="16"/>
                <w:b w:val="1"/>
                <w:bCs w:val="1"/>
                <w:color w:val="auto"/>
              </w:rPr>
              <w:t>(263)</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Accretion of premiums and discounts on portfolio loans, net</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9"/>
              <w:spacing w:after="0" w:line="176" w:lineRule="exact"/>
              <w:rPr>
                <w:sz w:val="20"/>
                <w:szCs w:val="20"/>
                <w:color w:val="auto"/>
              </w:rPr>
            </w:pPr>
            <w:r>
              <w:rPr>
                <w:rFonts w:ascii="Arial" w:cs="Arial" w:eastAsia="Arial" w:hAnsi="Arial"/>
                <w:sz w:val="16"/>
                <w:szCs w:val="16"/>
                <w:b w:val="1"/>
                <w:bCs w:val="1"/>
                <w:color w:val="auto"/>
              </w:rPr>
              <w:t>(2,694)</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(3,398)</w:t>
            </w: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Amortization of discount on FHLB advances</w:t>
            </w:r>
          </w:p>
        </w:tc>
        <w:tc>
          <w:tcPr>
            <w:tcW w:w="240" w:type="dxa"/>
            <w:vAlign w:val="bottom"/>
          </w:tcPr>
          <w:p>
            <w:pPr>
              <w:spacing w:after="0"/>
              <w:rPr>
                <w:sz w:val="15"/>
                <w:szCs w:val="15"/>
                <w:color w:val="auto"/>
              </w:rPr>
            </w:pPr>
          </w:p>
        </w:tc>
        <w:tc>
          <w:tcPr>
            <w:tcW w:w="940" w:type="dxa"/>
            <w:vAlign w:val="bottom"/>
          </w:tcPr>
          <w:p>
            <w:pPr>
              <w:jc w:val="right"/>
              <w:ind w:right="19"/>
              <w:spacing w:after="0" w:line="176" w:lineRule="exact"/>
              <w:rPr>
                <w:sz w:val="20"/>
                <w:szCs w:val="20"/>
                <w:color w:val="auto"/>
              </w:rPr>
            </w:pPr>
            <w:r>
              <w:rPr>
                <w:rFonts w:ascii="Arial" w:cs="Arial" w:eastAsia="Arial" w:hAnsi="Arial"/>
                <w:sz w:val="16"/>
                <w:szCs w:val="16"/>
                <w:b w:val="1"/>
                <w:bCs w:val="1"/>
                <w:color w:val="auto"/>
              </w:rPr>
              <w:t>(4)</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Security loss (gain), net</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
              <w:spacing w:after="0" w:line="176" w:lineRule="exact"/>
              <w:rPr>
                <w:sz w:val="20"/>
                <w:szCs w:val="20"/>
                <w:color w:val="auto"/>
              </w:rPr>
            </w:pPr>
            <w:r>
              <w:rPr>
                <w:rFonts w:ascii="Arial" w:cs="Arial" w:eastAsia="Arial" w:hAnsi="Arial"/>
                <w:sz w:val="16"/>
                <w:szCs w:val="16"/>
                <w:b w:val="1"/>
                <w:bCs w:val="1"/>
                <w:color w:val="auto"/>
              </w:rPr>
              <w:t>175</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Unrealized (gain) on equity securities</w:t>
            </w:r>
          </w:p>
        </w:tc>
        <w:tc>
          <w:tcPr>
            <w:tcW w:w="240" w:type="dxa"/>
            <w:vAlign w:val="bottom"/>
          </w:tcPr>
          <w:p>
            <w:pPr>
              <w:spacing w:after="0"/>
              <w:rPr>
                <w:sz w:val="15"/>
                <w:szCs w:val="15"/>
                <w:color w:val="auto"/>
              </w:rPr>
            </w:pPr>
          </w:p>
        </w:tc>
        <w:tc>
          <w:tcPr>
            <w:tcW w:w="940" w:type="dxa"/>
            <w:vAlign w:val="bottom"/>
          </w:tcPr>
          <w:p>
            <w:pPr>
              <w:jc w:val="right"/>
              <w:ind w:right="19"/>
              <w:spacing w:after="0" w:line="176" w:lineRule="exact"/>
              <w:rPr>
                <w:sz w:val="20"/>
                <w:szCs w:val="20"/>
                <w:color w:val="auto"/>
              </w:rPr>
            </w:pPr>
            <w:r>
              <w:rPr>
                <w:rFonts w:ascii="Arial" w:cs="Arial" w:eastAsia="Arial" w:hAnsi="Arial"/>
                <w:sz w:val="16"/>
                <w:szCs w:val="16"/>
                <w:b w:val="1"/>
                <w:bCs w:val="1"/>
                <w:color w:val="auto"/>
              </w:rPr>
              <w:t>(216)</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Change in equity securities, net</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
              <w:spacing w:after="0" w:line="176" w:lineRule="exact"/>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350</w:t>
            </w: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Gain on sales of mortgage loans, net of origination costs</w:t>
            </w:r>
          </w:p>
        </w:tc>
        <w:tc>
          <w:tcPr>
            <w:tcW w:w="240" w:type="dxa"/>
            <w:vAlign w:val="bottom"/>
          </w:tcPr>
          <w:p>
            <w:pPr>
              <w:spacing w:after="0"/>
              <w:rPr>
                <w:sz w:val="15"/>
                <w:szCs w:val="15"/>
                <w:color w:val="auto"/>
              </w:rPr>
            </w:pPr>
          </w:p>
        </w:tc>
        <w:tc>
          <w:tcPr>
            <w:tcW w:w="940" w:type="dxa"/>
            <w:vAlign w:val="bottom"/>
          </w:tcPr>
          <w:p>
            <w:pPr>
              <w:jc w:val="right"/>
              <w:ind w:right="19"/>
              <w:spacing w:after="0" w:line="176" w:lineRule="exact"/>
              <w:rPr>
                <w:sz w:val="20"/>
                <w:szCs w:val="20"/>
                <w:color w:val="auto"/>
              </w:rPr>
            </w:pPr>
            <w:r>
              <w:rPr>
                <w:rFonts w:ascii="Arial" w:cs="Arial" w:eastAsia="Arial" w:hAnsi="Arial"/>
                <w:sz w:val="16"/>
                <w:szCs w:val="16"/>
                <w:b w:val="1"/>
                <w:bCs w:val="1"/>
                <w:color w:val="auto"/>
              </w:rPr>
              <w:t>(2,141)</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(2,093)</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Mortgage loans originated for sale</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9"/>
              <w:spacing w:after="0" w:line="176" w:lineRule="exact"/>
              <w:rPr>
                <w:sz w:val="20"/>
                <w:szCs w:val="20"/>
                <w:color w:val="auto"/>
              </w:rPr>
            </w:pPr>
            <w:r>
              <w:rPr>
                <w:rFonts w:ascii="Arial" w:cs="Arial" w:eastAsia="Arial" w:hAnsi="Arial"/>
                <w:sz w:val="16"/>
                <w:szCs w:val="16"/>
                <w:b w:val="1"/>
                <w:bCs w:val="1"/>
                <w:color w:val="auto"/>
              </w:rPr>
              <w:t>(83,950)</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(97,138)</w:t>
            </w: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Proceeds from sales of mortgage loans</w:t>
            </w:r>
          </w:p>
        </w:tc>
        <w:tc>
          <w:tcPr>
            <w:tcW w:w="240" w:type="dxa"/>
            <w:vAlign w:val="bottom"/>
          </w:tcPr>
          <w:p>
            <w:pPr>
              <w:spacing w:after="0"/>
              <w:rPr>
                <w:sz w:val="15"/>
                <w:szCs w:val="15"/>
                <w:color w:val="auto"/>
              </w:rPr>
            </w:pP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b w:val="1"/>
                <w:bCs w:val="1"/>
                <w:color w:val="auto"/>
              </w:rPr>
              <w:t>93,463</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165,045</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Net losses on disposition of premises and equipment</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
              <w:spacing w:after="0" w:line="176" w:lineRule="exact"/>
              <w:rPr>
                <w:sz w:val="20"/>
                <w:szCs w:val="20"/>
                <w:color w:val="auto"/>
              </w:rPr>
            </w:pPr>
            <w:r>
              <w:rPr>
                <w:rFonts w:ascii="Arial" w:cs="Arial" w:eastAsia="Arial" w:hAnsi="Arial"/>
                <w:sz w:val="16"/>
                <w:szCs w:val="16"/>
                <w:b w:val="1"/>
                <w:bCs w:val="1"/>
                <w:color w:val="auto"/>
              </w:rPr>
              <w:t>24</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52</w:t>
            </w: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Decrease in deferred compensation</w:t>
            </w:r>
          </w:p>
        </w:tc>
        <w:tc>
          <w:tcPr>
            <w:tcW w:w="240" w:type="dxa"/>
            <w:vAlign w:val="bottom"/>
          </w:tcPr>
          <w:p>
            <w:pPr>
              <w:spacing w:after="0"/>
              <w:rPr>
                <w:sz w:val="15"/>
                <w:szCs w:val="15"/>
                <w:color w:val="auto"/>
              </w:rPr>
            </w:pPr>
          </w:p>
        </w:tc>
        <w:tc>
          <w:tcPr>
            <w:tcW w:w="940" w:type="dxa"/>
            <w:vAlign w:val="bottom"/>
          </w:tcPr>
          <w:p>
            <w:pPr>
              <w:jc w:val="right"/>
              <w:ind w:right="19"/>
              <w:spacing w:after="0" w:line="176" w:lineRule="exact"/>
              <w:rPr>
                <w:sz w:val="20"/>
                <w:szCs w:val="20"/>
                <w:color w:val="auto"/>
              </w:rPr>
            </w:pPr>
            <w:r>
              <w:rPr>
                <w:rFonts w:ascii="Arial" w:cs="Arial" w:eastAsia="Arial" w:hAnsi="Arial"/>
                <w:sz w:val="16"/>
                <w:szCs w:val="16"/>
                <w:b w:val="1"/>
                <w:bCs w:val="1"/>
                <w:color w:val="auto"/>
              </w:rPr>
              <w:t>(3,339)</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Increase in cash surrender value of bank owned life insurance</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9"/>
              <w:spacing w:after="0" w:line="176" w:lineRule="exact"/>
              <w:rPr>
                <w:sz w:val="20"/>
                <w:szCs w:val="20"/>
                <w:color w:val="auto"/>
              </w:rPr>
            </w:pPr>
            <w:r>
              <w:rPr>
                <w:rFonts w:ascii="Arial" w:cs="Arial" w:eastAsia="Arial" w:hAnsi="Arial"/>
                <w:sz w:val="16"/>
                <w:szCs w:val="16"/>
                <w:b w:val="1"/>
                <w:bCs w:val="1"/>
                <w:color w:val="auto"/>
              </w:rPr>
              <w:t>(884)</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(726)</w:t>
            </w: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Change in assets and liabilities: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440"/>
              <w:spacing w:after="0" w:line="176" w:lineRule="exact"/>
              <w:rPr>
                <w:sz w:val="20"/>
                <w:szCs w:val="20"/>
                <w:color w:val="auto"/>
              </w:rPr>
            </w:pPr>
            <w:r>
              <w:rPr>
                <w:rFonts w:ascii="Arial" w:cs="Arial" w:eastAsia="Arial" w:hAnsi="Arial"/>
                <w:sz w:val="16"/>
                <w:szCs w:val="16"/>
                <w:color w:val="auto"/>
              </w:rPr>
              <w:t>(Increase) decrease in other assets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9"/>
              <w:spacing w:after="0" w:line="176" w:lineRule="exact"/>
              <w:rPr>
                <w:sz w:val="20"/>
                <w:szCs w:val="20"/>
                <w:color w:val="auto"/>
              </w:rPr>
            </w:pPr>
            <w:r>
              <w:rPr>
                <w:rFonts w:ascii="Arial" w:cs="Arial" w:eastAsia="Arial" w:hAnsi="Arial"/>
                <w:sz w:val="16"/>
                <w:szCs w:val="16"/>
                <w:b w:val="1"/>
                <w:bCs w:val="1"/>
                <w:color w:val="auto"/>
              </w:rPr>
              <w:t>(3,121)</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2,845</w:t>
            </w:r>
          </w:p>
        </w:tc>
        <w:tc>
          <w:tcPr>
            <w:tcW w:w="20" w:type="dxa"/>
            <w:vAlign w:val="bottom"/>
          </w:tcPr>
          <w:p>
            <w:pPr>
              <w:spacing w:after="0"/>
              <w:rPr>
                <w:sz w:val="15"/>
                <w:szCs w:val="15"/>
                <w:color w:val="auto"/>
              </w:rPr>
            </w:pPr>
          </w:p>
        </w:tc>
      </w:tr>
      <w:tr>
        <w:trPr>
          <w:trHeight w:val="176"/>
        </w:trPr>
        <w:tc>
          <w:tcPr>
            <w:tcW w:w="6740" w:type="dxa"/>
            <w:vAlign w:val="bottom"/>
          </w:tcPr>
          <w:p>
            <w:pPr>
              <w:ind w:left="440"/>
              <w:spacing w:after="0" w:line="176" w:lineRule="exact"/>
              <w:rPr>
                <w:sz w:val="20"/>
                <w:szCs w:val="20"/>
                <w:color w:val="auto"/>
              </w:rPr>
            </w:pPr>
            <w:r>
              <w:rPr>
                <w:rFonts w:ascii="Arial" w:cs="Arial" w:eastAsia="Arial" w:hAnsi="Arial"/>
                <w:sz w:val="16"/>
                <w:szCs w:val="16"/>
                <w:color w:val="auto"/>
              </w:rPr>
              <w:t>(Decrease) in other liabilities</w:t>
            </w:r>
          </w:p>
        </w:tc>
        <w:tc>
          <w:tcPr>
            <w:tcW w:w="240" w:type="dxa"/>
            <w:vAlign w:val="bottom"/>
          </w:tcPr>
          <w:p>
            <w:pPr>
              <w:spacing w:after="0"/>
              <w:rPr>
                <w:sz w:val="15"/>
                <w:szCs w:val="15"/>
                <w:color w:val="auto"/>
              </w:rPr>
            </w:pPr>
          </w:p>
        </w:tc>
        <w:tc>
          <w:tcPr>
            <w:tcW w:w="940" w:type="dxa"/>
            <w:vAlign w:val="bottom"/>
          </w:tcPr>
          <w:p>
            <w:pPr>
              <w:jc w:val="right"/>
              <w:ind w:right="19"/>
              <w:spacing w:after="0" w:line="176" w:lineRule="exact"/>
              <w:rPr>
                <w:sz w:val="20"/>
                <w:szCs w:val="20"/>
                <w:color w:val="auto"/>
              </w:rPr>
            </w:pPr>
            <w:r>
              <w:rPr>
                <w:rFonts w:ascii="Arial" w:cs="Arial" w:eastAsia="Arial" w:hAnsi="Arial"/>
                <w:sz w:val="16"/>
                <w:szCs w:val="16"/>
                <w:b w:val="1"/>
                <w:bCs w:val="1"/>
                <w:color w:val="auto"/>
              </w:rPr>
              <w:t>(3,427)</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(10,401)</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440"/>
              <w:spacing w:after="0" w:line="176" w:lineRule="exact"/>
              <w:rPr>
                <w:sz w:val="20"/>
                <w:szCs w:val="20"/>
                <w:color w:val="auto"/>
              </w:rPr>
            </w:pPr>
            <w:r>
              <w:rPr>
                <w:rFonts w:ascii="Arial" w:cs="Arial" w:eastAsia="Arial" w:hAnsi="Arial"/>
                <w:sz w:val="16"/>
                <w:szCs w:val="16"/>
                <w:color w:val="auto"/>
              </w:rPr>
              <w:t>Increase in interest payable</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
              <w:spacing w:after="0" w:line="176" w:lineRule="exact"/>
              <w:rPr>
                <w:sz w:val="20"/>
                <w:szCs w:val="20"/>
                <w:color w:val="auto"/>
              </w:rPr>
            </w:pPr>
            <w:r>
              <w:rPr>
                <w:rFonts w:ascii="Arial" w:cs="Arial" w:eastAsia="Arial" w:hAnsi="Arial"/>
                <w:sz w:val="16"/>
                <w:szCs w:val="16"/>
                <w:b w:val="1"/>
                <w:bCs w:val="1"/>
                <w:color w:val="auto"/>
              </w:rPr>
              <w:t>357</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1,550</w:t>
            </w:r>
          </w:p>
        </w:tc>
        <w:tc>
          <w:tcPr>
            <w:tcW w:w="20" w:type="dxa"/>
            <w:vAlign w:val="bottom"/>
          </w:tcPr>
          <w:p>
            <w:pPr>
              <w:spacing w:after="0"/>
              <w:rPr>
                <w:sz w:val="15"/>
                <w:szCs w:val="15"/>
                <w:color w:val="auto"/>
              </w:rPr>
            </w:pPr>
          </w:p>
        </w:tc>
      </w:tr>
      <w:tr>
        <w:trPr>
          <w:trHeight w:val="176"/>
        </w:trPr>
        <w:tc>
          <w:tcPr>
            <w:tcW w:w="6740" w:type="dxa"/>
            <w:vAlign w:val="bottom"/>
            <w:tcBorders>
              <w:bottom w:val="single" w:sz="8" w:color="CCEEFF"/>
            </w:tcBorders>
          </w:tcPr>
          <w:p>
            <w:pPr>
              <w:ind w:left="440"/>
              <w:spacing w:after="0" w:line="176" w:lineRule="exact"/>
              <w:rPr>
                <w:sz w:val="20"/>
                <w:szCs w:val="20"/>
                <w:color w:val="auto"/>
              </w:rPr>
            </w:pPr>
            <w:r>
              <w:rPr>
                <w:rFonts w:ascii="Arial" w:cs="Arial" w:eastAsia="Arial" w:hAnsi="Arial"/>
                <w:sz w:val="16"/>
                <w:szCs w:val="16"/>
                <w:color w:val="auto"/>
              </w:rPr>
              <w:t>Increase in income taxes receivable</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b w:val="1"/>
                <w:bCs w:val="1"/>
                <w:color w:val="auto"/>
              </w:rPr>
              <w:t>5,824</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4,421</w:t>
            </w:r>
          </w:p>
        </w:tc>
        <w:tc>
          <w:tcPr>
            <w:tcW w:w="20" w:type="dxa"/>
            <w:vAlign w:val="bottom"/>
          </w:tcPr>
          <w:p>
            <w:pPr>
              <w:spacing w:after="0"/>
              <w:rPr>
                <w:sz w:val="15"/>
                <w:szCs w:val="15"/>
                <w:color w:val="auto"/>
              </w:rPr>
            </w:pPr>
          </w:p>
        </w:tc>
      </w:tr>
      <w:tr>
        <w:trPr>
          <w:trHeight w:val="169"/>
        </w:trPr>
        <w:tc>
          <w:tcPr>
            <w:tcW w:w="6740" w:type="dxa"/>
            <w:vAlign w:val="bottom"/>
            <w:shd w:val="clear" w:color="auto" w:fill="CCEEFF"/>
          </w:tcPr>
          <w:p>
            <w:pPr>
              <w:ind w:left="660"/>
              <w:spacing w:after="0" w:line="169" w:lineRule="exact"/>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shd w:val="clear" w:color="auto" w:fill="CCEEFF"/>
          </w:tcPr>
          <w:p>
            <w:pPr>
              <w:jc w:val="right"/>
              <w:ind w:right="83"/>
              <w:spacing w:after="0" w:line="169" w:lineRule="exact"/>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ind w:right="79"/>
              <w:spacing w:after="0" w:line="169" w:lineRule="exact"/>
              <w:rPr>
                <w:sz w:val="20"/>
                <w:szCs w:val="20"/>
                <w:color w:val="auto"/>
              </w:rPr>
            </w:pPr>
            <w:r>
              <w:rPr>
                <w:rFonts w:ascii="Arial" w:cs="Arial" w:eastAsia="Arial" w:hAnsi="Arial"/>
                <w:sz w:val="16"/>
                <w:szCs w:val="16"/>
                <w:b w:val="1"/>
                <w:bCs w:val="1"/>
                <w:color w:val="auto"/>
              </w:rPr>
              <w:t>36,269</w:t>
            </w:r>
          </w:p>
        </w:tc>
        <w:tc>
          <w:tcPr>
            <w:tcW w:w="300" w:type="dxa"/>
            <w:vAlign w:val="bottom"/>
            <w:tcBorders>
              <w:bottom w:val="single" w:sz="8" w:color="auto"/>
            </w:tcBorders>
            <w:shd w:val="clear" w:color="auto" w:fill="CCEEFF"/>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93,663</w:t>
            </w:r>
          </w:p>
        </w:tc>
        <w:tc>
          <w:tcPr>
            <w:tcW w:w="20" w:type="dxa"/>
            <w:vAlign w:val="bottom"/>
          </w:tcPr>
          <w:p>
            <w:pPr>
              <w:spacing w:after="0"/>
              <w:rPr>
                <w:sz w:val="14"/>
                <w:szCs w:val="14"/>
                <w:color w:val="auto"/>
              </w:rPr>
            </w:pPr>
          </w:p>
        </w:tc>
      </w:tr>
      <w:tr>
        <w:trPr>
          <w:trHeight w:val="169"/>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674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Proceeds from sales of securities classified available for sale</w:t>
            </w:r>
          </w:p>
        </w:tc>
        <w:tc>
          <w:tcPr>
            <w:tcW w:w="240" w:type="dxa"/>
            <w:vAlign w:val="bottom"/>
          </w:tcPr>
          <w:p>
            <w:pPr>
              <w:spacing w:after="0"/>
              <w:rPr>
                <w:sz w:val="15"/>
                <w:szCs w:val="15"/>
                <w:color w:val="auto"/>
              </w:rPr>
            </w:pP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b w:val="1"/>
                <w:bCs w:val="1"/>
                <w:color w:val="auto"/>
              </w:rPr>
              <w:t>141,798</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Proceeds from sales of securities classified equity</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
              <w:spacing w:after="0" w:line="176" w:lineRule="exact"/>
              <w:rPr>
                <w:sz w:val="20"/>
                <w:szCs w:val="20"/>
                <w:color w:val="auto"/>
              </w:rPr>
            </w:pPr>
            <w:r>
              <w:rPr>
                <w:rFonts w:ascii="Arial" w:cs="Arial" w:eastAsia="Arial" w:hAnsi="Arial"/>
                <w:sz w:val="16"/>
                <w:szCs w:val="16"/>
                <w:b w:val="1"/>
                <w:bCs w:val="1"/>
                <w:color w:val="auto"/>
              </w:rPr>
              <w:t>958</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Proceeds from maturities of securities classified available for sale</w:t>
            </w:r>
          </w:p>
        </w:tc>
        <w:tc>
          <w:tcPr>
            <w:tcW w:w="240" w:type="dxa"/>
            <w:vAlign w:val="bottom"/>
          </w:tcPr>
          <w:p>
            <w:pPr>
              <w:spacing w:after="0"/>
              <w:rPr>
                <w:sz w:val="15"/>
                <w:szCs w:val="15"/>
                <w:color w:val="auto"/>
              </w:rPr>
            </w:pP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b w:val="1"/>
                <w:bCs w:val="1"/>
                <w:color w:val="auto"/>
              </w:rPr>
              <w:t>43,435</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43,066</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Proceeds from sales of securities classified held to maturity</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
              <w:spacing w:after="0" w:line="176" w:lineRule="exact"/>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Proceeds from maturities of securities classified held to maturity</w:t>
            </w:r>
          </w:p>
        </w:tc>
        <w:tc>
          <w:tcPr>
            <w:tcW w:w="240" w:type="dxa"/>
            <w:vAlign w:val="bottom"/>
          </w:tcPr>
          <w:p>
            <w:pPr>
              <w:spacing w:after="0"/>
              <w:rPr>
                <w:sz w:val="15"/>
                <w:szCs w:val="15"/>
                <w:color w:val="auto"/>
              </w:rPr>
            </w:pP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b w:val="1"/>
                <w:bCs w:val="1"/>
                <w:color w:val="auto"/>
              </w:rPr>
              <w:t>13,822</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8,012</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Purchases of securities classified available for sale</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9"/>
              <w:spacing w:after="0" w:line="176" w:lineRule="exact"/>
              <w:rPr>
                <w:sz w:val="20"/>
                <w:szCs w:val="20"/>
                <w:color w:val="auto"/>
              </w:rPr>
            </w:pPr>
            <w:r>
              <w:rPr>
                <w:rFonts w:ascii="Arial" w:cs="Arial" w:eastAsia="Arial" w:hAnsi="Arial"/>
                <w:sz w:val="16"/>
                <w:szCs w:val="16"/>
                <w:b w:val="1"/>
                <w:bCs w:val="1"/>
                <w:color w:val="auto"/>
              </w:rPr>
              <w:t>(125,464)</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(2,164)</w:t>
            </w: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Purchases of securities classified held to maturity</w:t>
            </w:r>
          </w:p>
        </w:tc>
        <w:tc>
          <w:tcPr>
            <w:tcW w:w="240" w:type="dxa"/>
            <w:vAlign w:val="bottom"/>
          </w:tcPr>
          <w:p>
            <w:pPr>
              <w:spacing w:after="0"/>
              <w:rPr>
                <w:sz w:val="15"/>
                <w:szCs w:val="15"/>
                <w:color w:val="auto"/>
              </w:rPr>
            </w:pP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(24,868)</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Net increase in loans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9"/>
              <w:spacing w:after="0" w:line="176" w:lineRule="exact"/>
              <w:rPr>
                <w:sz w:val="20"/>
                <w:szCs w:val="20"/>
                <w:color w:val="auto"/>
              </w:rPr>
            </w:pPr>
            <w:r>
              <w:rPr>
                <w:rFonts w:ascii="Arial" w:cs="Arial" w:eastAsia="Arial" w:hAnsi="Arial"/>
                <w:sz w:val="16"/>
                <w:szCs w:val="16"/>
                <w:b w:val="1"/>
                <w:bCs w:val="1"/>
                <w:color w:val="auto"/>
              </w:rPr>
              <w:t>(72,655)</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(10,844)</w:t>
            </w: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Proceeds from sale of OREO properties</w:t>
            </w:r>
          </w:p>
        </w:tc>
        <w:tc>
          <w:tcPr>
            <w:tcW w:w="240" w:type="dxa"/>
            <w:vAlign w:val="bottom"/>
          </w:tcPr>
          <w:p>
            <w:pPr>
              <w:spacing w:after="0"/>
              <w:rPr>
                <w:sz w:val="15"/>
                <w:szCs w:val="15"/>
                <w:color w:val="auto"/>
              </w:rPr>
            </w:pP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b w:val="1"/>
                <w:bCs w:val="1"/>
                <w:color w:val="auto"/>
              </w:rPr>
              <w:t>147</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639</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Purchases of premises and equipment</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9"/>
              <w:spacing w:after="0" w:line="176" w:lineRule="exact"/>
              <w:rPr>
                <w:sz w:val="20"/>
                <w:szCs w:val="20"/>
                <w:color w:val="auto"/>
              </w:rPr>
            </w:pPr>
            <w:r>
              <w:rPr>
                <w:rFonts w:ascii="Arial" w:cs="Arial" w:eastAsia="Arial" w:hAnsi="Arial"/>
                <w:sz w:val="16"/>
                <w:szCs w:val="16"/>
                <w:b w:val="1"/>
                <w:bCs w:val="1"/>
                <w:color w:val="auto"/>
              </w:rPr>
              <w:t>(1,052)</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(4,508)</w:t>
            </w:r>
          </w:p>
        </w:tc>
        <w:tc>
          <w:tcPr>
            <w:tcW w:w="20" w:type="dxa"/>
            <w:vAlign w:val="bottom"/>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6"/>
                <w:szCs w:val="16"/>
                <w:color w:val="auto"/>
              </w:rPr>
              <w:t>Proceeds from the redemption of FHLB stock, net</w:t>
            </w:r>
          </w:p>
        </w:tc>
        <w:tc>
          <w:tcPr>
            <w:tcW w:w="240" w:type="dxa"/>
            <w:vAlign w:val="bottom"/>
          </w:tcPr>
          <w:p>
            <w:pPr>
              <w:spacing w:after="0"/>
              <w:rPr>
                <w:sz w:val="15"/>
                <w:szCs w:val="15"/>
                <w:color w:val="auto"/>
              </w:rPr>
            </w:pPr>
          </w:p>
        </w:tc>
        <w:tc>
          <w:tcPr>
            <w:tcW w:w="940" w:type="dxa"/>
            <w:vAlign w:val="bottom"/>
          </w:tcPr>
          <w:p>
            <w:pPr>
              <w:jc w:val="right"/>
              <w:ind w:right="79"/>
              <w:spacing w:after="0" w:line="176" w:lineRule="exact"/>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4,864</w:t>
            </w:r>
          </w:p>
        </w:tc>
        <w:tc>
          <w:tcPr>
            <w:tcW w:w="2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Net cash paid in acquisitions</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9"/>
              <w:spacing w:after="0" w:line="176" w:lineRule="exact"/>
              <w:rPr>
                <w:sz w:val="20"/>
                <w:szCs w:val="20"/>
                <w:color w:val="auto"/>
              </w:rPr>
            </w:pPr>
            <w:r>
              <w:rPr>
                <w:rFonts w:ascii="Arial" w:cs="Arial" w:eastAsia="Arial" w:hAnsi="Arial"/>
                <w:sz w:val="16"/>
                <w:szCs w:val="16"/>
                <w:b w:val="1"/>
                <w:bCs w:val="1"/>
                <w:color w:val="auto"/>
              </w:rPr>
              <w:t>(49,387)</w:t>
            </w:r>
          </w:p>
        </w:tc>
        <w:tc>
          <w:tcPr>
            <w:tcW w:w="3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69"/>
        </w:trPr>
        <w:tc>
          <w:tcPr>
            <w:tcW w:w="6740" w:type="dxa"/>
            <w:vAlign w:val="bottom"/>
          </w:tcPr>
          <w:p>
            <w:pPr>
              <w:ind w:left="660"/>
              <w:spacing w:after="0" w:line="169" w:lineRule="exact"/>
              <w:rPr>
                <w:sz w:val="20"/>
                <w:szCs w:val="20"/>
                <w:color w:val="auto"/>
              </w:rPr>
            </w:pPr>
            <w:r>
              <w:rPr>
                <w:rFonts w:ascii="Arial" w:cs="Arial" w:eastAsia="Arial" w:hAnsi="Arial"/>
                <w:sz w:val="16"/>
                <w:szCs w:val="16"/>
                <w:b w:val="1"/>
                <w:bCs w:val="1"/>
                <w:color w:val="auto"/>
              </w:rPr>
              <w:t>Net cash (used in) provided by investing activities</w:t>
            </w:r>
          </w:p>
        </w:tc>
        <w:tc>
          <w:tcPr>
            <w:tcW w:w="240" w:type="dxa"/>
            <w:vAlign w:val="bottom"/>
            <w:tcBorders>
              <w:bottom w:val="single" w:sz="8" w:color="auto"/>
            </w:tcBorders>
          </w:tcPr>
          <w:p>
            <w:pPr>
              <w:jc w:val="right"/>
              <w:ind w:right="83"/>
              <w:spacing w:after="0" w:line="169" w:lineRule="exact"/>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b w:val="1"/>
                <w:bCs w:val="1"/>
                <w:color w:val="auto"/>
              </w:rPr>
              <w:t>(48,398)</w:t>
            </w:r>
          </w:p>
        </w:tc>
        <w:tc>
          <w:tcPr>
            <w:tcW w:w="30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14,197</w:t>
            </w:r>
          </w:p>
        </w:tc>
        <w:tc>
          <w:tcPr>
            <w:tcW w:w="20" w:type="dxa"/>
            <w:vAlign w:val="bottom"/>
          </w:tcPr>
          <w:p>
            <w:pPr>
              <w:spacing w:after="0"/>
              <w:rPr>
                <w:sz w:val="14"/>
                <w:szCs w:val="14"/>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left="1440" w:right="1920"/>
        <w:spacing w:after="0" w:line="217" w:lineRule="auto"/>
        <w:rPr>
          <w:sz w:val="20"/>
          <w:szCs w:val="20"/>
          <w:color w:val="auto"/>
        </w:rPr>
      </w:pPr>
      <w:r>
        <w:rPr>
          <w:rFonts w:ascii="Arial" w:cs="Arial" w:eastAsia="Arial" w:hAnsi="Arial"/>
          <w:sz w:val="18"/>
          <w:szCs w:val="18"/>
          <w:b w:val="1"/>
          <w:bCs w:val="1"/>
          <w:color w:val="auto"/>
        </w:rPr>
        <w:t>FIRST BUSEY CORPORATION and Subsidiaries CONSOLIDATED STATEMENTS OF CASH FLOWS (Continued)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w w:val="94"/>
              </w:rPr>
              <w:t>Three Months Ended March 31,</w:t>
            </w:r>
          </w:p>
        </w:tc>
        <w:tc>
          <w:tcPr>
            <w:tcW w:w="0" w:type="dxa"/>
            <w:vAlign w:val="bottom"/>
          </w:tcPr>
          <w:p>
            <w:pPr>
              <w:spacing w:after="0"/>
              <w:rPr>
                <w:sz w:val="1"/>
                <w:szCs w:val="1"/>
                <w:color w:val="auto"/>
              </w:rPr>
            </w:pPr>
          </w:p>
        </w:tc>
      </w:tr>
      <w:tr>
        <w:trPr>
          <w:trHeight w:val="169"/>
        </w:trPr>
        <w:tc>
          <w:tcPr>
            <w:tcW w:w="6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9"/>
              <w:spacing w:after="0" w:line="169" w:lineRule="exact"/>
              <w:rPr>
                <w:sz w:val="20"/>
                <w:szCs w:val="20"/>
                <w:color w:val="auto"/>
              </w:rPr>
            </w:pPr>
            <w:r>
              <w:rPr>
                <w:rFonts w:ascii="Arial" w:cs="Arial" w:eastAsia="Arial" w:hAnsi="Arial"/>
                <w:sz w:val="16"/>
                <w:szCs w:val="16"/>
                <w:b w:val="1"/>
                <w:bCs w:val="1"/>
                <w:color w:val="auto"/>
              </w:rPr>
              <w:t>2019</w:t>
            </w: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3"/>
          </w:tcPr>
          <w:p>
            <w:pPr>
              <w:jc w:val="right"/>
              <w:ind w:right="359"/>
              <w:spacing w:after="0" w:line="169" w:lineRule="exact"/>
              <w:rPr>
                <w:sz w:val="20"/>
                <w:szCs w:val="20"/>
                <w:color w:val="auto"/>
              </w:rPr>
            </w:pPr>
            <w:r>
              <w:rPr>
                <w:rFonts w:ascii="Arial" w:cs="Arial" w:eastAsia="Arial" w:hAnsi="Arial"/>
                <w:sz w:val="16"/>
                <w:szCs w:val="16"/>
                <w:i w:val="1"/>
                <w:iCs w:val="1"/>
                <w:color w:val="auto"/>
              </w:rPr>
              <w:t>(dollars 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20"/>
              <w:spacing w:after="0" w:line="176" w:lineRule="exact"/>
              <w:rPr>
                <w:sz w:val="20"/>
                <w:szCs w:val="20"/>
                <w:color w:val="auto"/>
              </w:rPr>
            </w:pPr>
            <w:r>
              <w:rPr>
                <w:rFonts w:ascii="Arial" w:cs="Arial" w:eastAsia="Arial" w:hAnsi="Arial"/>
                <w:sz w:val="16"/>
                <w:szCs w:val="16"/>
                <w:color w:val="auto"/>
              </w:rPr>
              <w:t>Net increase (decrease) in certificates of deposit</w:t>
            </w:r>
          </w:p>
        </w:tc>
        <w:tc>
          <w:tcPr>
            <w:tcW w:w="560" w:type="dxa"/>
            <w:vAlign w:val="bottom"/>
            <w:gridSpan w:val="2"/>
          </w:tcPr>
          <w:p>
            <w:pPr>
              <w:jc w:val="right"/>
              <w:ind w:right="62"/>
              <w:spacing w:after="0" w:line="176" w:lineRule="exact"/>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(25,958)</w:t>
            </w:r>
          </w:p>
        </w:tc>
        <w:tc>
          <w:tcPr>
            <w:tcW w:w="3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72,764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Net (decrease) increase in demand deposits, money market and savings accounts</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9"/>
              <w:spacing w:after="0" w:line="176" w:lineRule="exact"/>
              <w:rPr>
                <w:sz w:val="20"/>
                <w:szCs w:val="20"/>
                <w:color w:val="auto"/>
              </w:rPr>
            </w:pPr>
            <w:r>
              <w:rPr>
                <w:rFonts w:ascii="Arial" w:cs="Arial" w:eastAsia="Arial" w:hAnsi="Arial"/>
                <w:sz w:val="16"/>
                <w:szCs w:val="16"/>
                <w:b w:val="1"/>
                <w:bCs w:val="1"/>
                <w:color w:val="auto"/>
              </w:rPr>
              <w:t>100,960</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132,493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420" w:type="dxa"/>
            <w:vAlign w:val="bottom"/>
          </w:tcPr>
          <w:p>
            <w:pPr>
              <w:ind w:left="220"/>
              <w:spacing w:after="0" w:line="152" w:lineRule="exact"/>
              <w:rPr>
                <w:sz w:val="20"/>
                <w:szCs w:val="20"/>
                <w:color w:val="auto"/>
              </w:rPr>
            </w:pPr>
            <w:r>
              <w:rPr>
                <w:rFonts w:ascii="Arial" w:cs="Arial" w:eastAsia="Arial" w:hAnsi="Arial"/>
                <w:sz w:val="16"/>
                <w:szCs w:val="16"/>
                <w:color w:val="auto"/>
                <w:w w:val="94"/>
              </w:rPr>
              <w:t>Net (decrease) increase in federal funds purchased and securities sold under agreements to</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(19,318)</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420" w:type="dxa"/>
            <w:vAlign w:val="bottom"/>
          </w:tcPr>
          <w:p>
            <w:pPr>
              <w:ind w:left="220"/>
              <w:spacing w:after="0"/>
              <w:rPr>
                <w:sz w:val="20"/>
                <w:szCs w:val="20"/>
                <w:color w:val="auto"/>
              </w:rPr>
            </w:pPr>
            <w:r>
              <w:rPr>
                <w:rFonts w:ascii="Arial" w:cs="Arial" w:eastAsia="Arial" w:hAnsi="Arial"/>
                <w:sz w:val="16"/>
                <w:szCs w:val="16"/>
                <w:color w:val="auto"/>
              </w:rPr>
              <w:t>repurchase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(69,255)</w:t>
            </w: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200"/>
              <w:spacing w:after="0" w:line="176" w:lineRule="exact"/>
              <w:rPr>
                <w:sz w:val="20"/>
                <w:szCs w:val="20"/>
                <w:color w:val="auto"/>
              </w:rPr>
            </w:pPr>
            <w:r>
              <w:rPr>
                <w:rFonts w:ascii="Arial" w:cs="Arial" w:eastAsia="Arial" w:hAnsi="Arial"/>
                <w:sz w:val="16"/>
                <w:szCs w:val="16"/>
                <w:color w:val="auto"/>
              </w:rPr>
              <w:t>Repayment of FHLB advances, net</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(1,121)</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20"/>
              <w:spacing w:after="0" w:line="176" w:lineRule="exact"/>
              <w:rPr>
                <w:sz w:val="20"/>
                <w:szCs w:val="20"/>
                <w:color w:val="auto"/>
              </w:rPr>
            </w:pPr>
            <w:r>
              <w:rPr>
                <w:rFonts w:ascii="Arial" w:cs="Arial" w:eastAsia="Arial" w:hAnsi="Arial"/>
                <w:sz w:val="16"/>
                <w:szCs w:val="16"/>
                <w:color w:val="auto"/>
              </w:rPr>
              <w:t>Repayment of short-term borrowings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59"/>
              <w:spacing w:after="0" w:line="176" w:lineRule="exact"/>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(220,000)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Net proceeds from short-term and long-term debt</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9"/>
              <w:spacing w:after="0" w:line="176" w:lineRule="exact"/>
              <w:rPr>
                <w:sz w:val="20"/>
                <w:szCs w:val="20"/>
                <w:color w:val="auto"/>
              </w:rPr>
            </w:pPr>
            <w:r>
              <w:rPr>
                <w:rFonts w:ascii="Arial" w:cs="Arial" w:eastAsia="Arial" w:hAnsi="Arial"/>
                <w:sz w:val="16"/>
                <w:szCs w:val="16"/>
                <w:b w:val="1"/>
                <w:bCs w:val="1"/>
                <w:color w:val="auto"/>
              </w:rPr>
              <w:t>60,000</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20"/>
              <w:spacing w:after="0" w:line="176" w:lineRule="exact"/>
              <w:rPr>
                <w:sz w:val="20"/>
                <w:szCs w:val="20"/>
                <w:color w:val="auto"/>
              </w:rPr>
            </w:pPr>
            <w:r>
              <w:rPr>
                <w:rFonts w:ascii="Arial" w:cs="Arial" w:eastAsia="Arial" w:hAnsi="Arial"/>
                <w:sz w:val="16"/>
                <w:szCs w:val="16"/>
                <w:color w:val="auto"/>
              </w:rPr>
              <w:t>Cash dividends paid</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(10,266)</w:t>
            </w:r>
          </w:p>
        </w:tc>
        <w:tc>
          <w:tcPr>
            <w:tcW w:w="3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(9,739)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Repayment of long-term debt</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(1,500)</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20"/>
              <w:spacing w:after="0" w:line="176" w:lineRule="exact"/>
              <w:rPr>
                <w:sz w:val="20"/>
                <w:szCs w:val="20"/>
                <w:color w:val="auto"/>
              </w:rPr>
            </w:pPr>
            <w:r>
              <w:rPr>
                <w:rFonts w:ascii="Arial" w:cs="Arial" w:eastAsia="Arial" w:hAnsi="Arial"/>
                <w:sz w:val="16"/>
                <w:szCs w:val="16"/>
                <w:color w:val="auto"/>
              </w:rPr>
              <w:t>Proceeds from stock options exercised</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59"/>
              <w:spacing w:after="0" w:line="176" w:lineRule="exact"/>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Common stock issuance costs</w:t>
            </w:r>
          </w:p>
        </w:tc>
        <w:tc>
          <w:tcPr>
            <w:tcW w:w="3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(234)</w:t>
            </w: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b w:val="1"/>
                <w:bCs w:val="1"/>
                <w:color w:val="auto"/>
              </w:rPr>
              <w:t>Net cash provided by (used in) financing activities</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62"/>
              <w:spacing w:after="0" w:line="169" w:lineRule="exact"/>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b w:val="1"/>
                <w:bCs w:val="1"/>
                <w:color w:val="auto"/>
              </w:rPr>
              <w:t>102,563</w:t>
            </w:r>
          </w:p>
        </w:tc>
        <w:tc>
          <w:tcPr>
            <w:tcW w:w="32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(93,607)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20" w:type="dxa"/>
            <w:vAlign w:val="bottom"/>
          </w:tcPr>
          <w:p>
            <w:pPr>
              <w:spacing w:after="0" w:line="176" w:lineRule="exact"/>
              <w:rPr>
                <w:sz w:val="20"/>
                <w:szCs w:val="20"/>
                <w:color w:val="auto"/>
              </w:rPr>
            </w:pPr>
            <w:r>
              <w:rPr>
                <w:rFonts w:ascii="Arial" w:cs="Arial" w:eastAsia="Arial" w:hAnsi="Arial"/>
                <w:sz w:val="16"/>
                <w:szCs w:val="16"/>
                <w:b w:val="1"/>
                <w:bCs w:val="1"/>
                <w:color w:val="auto"/>
              </w:rPr>
              <w:t>Net increase in cash and cash equivalents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59"/>
              <w:spacing w:after="0" w:line="176" w:lineRule="exact"/>
              <w:rPr>
                <w:sz w:val="20"/>
                <w:szCs w:val="20"/>
                <w:color w:val="auto"/>
              </w:rPr>
            </w:pPr>
            <w:r>
              <w:rPr>
                <w:rFonts w:ascii="Arial" w:cs="Arial" w:eastAsia="Arial" w:hAnsi="Arial"/>
                <w:sz w:val="16"/>
                <w:szCs w:val="16"/>
                <w:b w:val="1"/>
                <w:bCs w:val="1"/>
                <w:color w:val="auto"/>
              </w:rPr>
              <w:t>90,434</w:t>
            </w:r>
          </w:p>
        </w:tc>
        <w:tc>
          <w:tcPr>
            <w:tcW w:w="3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14,253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and cash equivalents, beginning of period</w:t>
            </w:r>
          </w:p>
        </w:tc>
        <w:tc>
          <w:tcPr>
            <w:tcW w:w="3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59"/>
              <w:spacing w:after="0" w:line="176" w:lineRule="exact"/>
              <w:rPr>
                <w:sz w:val="20"/>
                <w:szCs w:val="20"/>
                <w:color w:val="auto"/>
              </w:rPr>
            </w:pPr>
            <w:r>
              <w:rPr>
                <w:rFonts w:ascii="Arial" w:cs="Arial" w:eastAsia="Arial" w:hAnsi="Arial"/>
                <w:sz w:val="16"/>
                <w:szCs w:val="16"/>
                <w:b w:val="1"/>
                <w:bCs w:val="1"/>
                <w:color w:val="auto"/>
              </w:rPr>
              <w:t>239,973</w:t>
            </w: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353,272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2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and cash equivalents, ending of period</w:t>
            </w:r>
          </w:p>
        </w:tc>
        <w:tc>
          <w:tcPr>
            <w:tcW w:w="560" w:type="dxa"/>
            <w:vAlign w:val="bottom"/>
            <w:gridSpan w:val="2"/>
            <w:shd w:val="clear" w:color="auto" w:fill="CCEEFF"/>
          </w:tcPr>
          <w:p>
            <w:pPr>
              <w:jc w:val="right"/>
              <w:ind w:right="62"/>
              <w:spacing w:after="0" w:line="176" w:lineRule="exact"/>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59"/>
              <w:spacing w:after="0" w:line="176" w:lineRule="exact"/>
              <w:rPr>
                <w:sz w:val="20"/>
                <w:szCs w:val="20"/>
                <w:color w:val="auto"/>
              </w:rPr>
            </w:pPr>
            <w:r>
              <w:rPr>
                <w:rFonts w:ascii="Arial" w:cs="Arial" w:eastAsia="Arial" w:hAnsi="Arial"/>
                <w:sz w:val="16"/>
                <w:szCs w:val="16"/>
                <w:b w:val="1"/>
                <w:bCs w:val="1"/>
                <w:color w:val="auto"/>
              </w:rPr>
              <w:t>330,407</w:t>
            </w:r>
          </w:p>
        </w:tc>
        <w:tc>
          <w:tcPr>
            <w:tcW w:w="320" w:type="dxa"/>
            <w:vAlign w:val="bottom"/>
            <w:shd w:val="clear" w:color="auto" w:fill="CCEEFF"/>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367,525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Payments for:</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20"/>
              <w:spacing w:after="0" w:line="176" w:lineRule="exact"/>
              <w:rPr>
                <w:sz w:val="20"/>
                <w:szCs w:val="20"/>
                <w:color w:val="auto"/>
              </w:rPr>
            </w:pPr>
            <w:r>
              <w:rPr>
                <w:rFonts w:ascii="Arial" w:cs="Arial" w:eastAsia="Arial" w:hAnsi="Arial"/>
                <w:sz w:val="16"/>
                <w:szCs w:val="16"/>
                <w:color w:val="auto"/>
              </w:rPr>
              <w:t>Interest</w:t>
            </w:r>
          </w:p>
        </w:tc>
        <w:tc>
          <w:tcPr>
            <w:tcW w:w="560" w:type="dxa"/>
            <w:vAlign w:val="bottom"/>
            <w:gridSpan w:val="2"/>
          </w:tcPr>
          <w:p>
            <w:pPr>
              <w:jc w:val="right"/>
              <w:ind w:right="62"/>
              <w:spacing w:after="0" w:line="176" w:lineRule="exact"/>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59"/>
              <w:spacing w:after="0" w:line="176" w:lineRule="exact"/>
              <w:rPr>
                <w:sz w:val="20"/>
                <w:szCs w:val="20"/>
                <w:color w:val="auto"/>
              </w:rPr>
            </w:pPr>
            <w:r>
              <w:rPr>
                <w:rFonts w:ascii="Arial" w:cs="Arial" w:eastAsia="Arial" w:hAnsi="Arial"/>
                <w:sz w:val="16"/>
                <w:szCs w:val="16"/>
                <w:b w:val="1"/>
                <w:bCs w:val="1"/>
                <w:color w:val="auto"/>
              </w:rPr>
              <w:t>14,876</w:t>
            </w:r>
          </w:p>
        </w:tc>
        <w:tc>
          <w:tcPr>
            <w:tcW w:w="3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7,325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Income taxes</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9"/>
              <w:spacing w:after="0" w:line="176" w:lineRule="exact"/>
              <w:rPr>
                <w:sz w:val="20"/>
                <w:szCs w:val="20"/>
                <w:color w:val="auto"/>
              </w:rPr>
            </w:pPr>
            <w:r>
              <w:rPr>
                <w:rFonts w:ascii="Arial" w:cs="Arial" w:eastAsia="Arial" w:hAnsi="Arial"/>
                <w:sz w:val="16"/>
                <w:szCs w:val="16"/>
                <w:b w:val="1"/>
                <w:bCs w:val="1"/>
                <w:color w:val="auto"/>
              </w:rPr>
              <w:t>690</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Non-cash Investing and Financing Activities:</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20"/>
              <w:spacing w:after="0" w:line="176" w:lineRule="exact"/>
              <w:rPr>
                <w:sz w:val="20"/>
                <w:szCs w:val="20"/>
                <w:color w:val="auto"/>
              </w:rPr>
            </w:pPr>
            <w:r>
              <w:rPr>
                <w:rFonts w:ascii="Arial" w:cs="Arial" w:eastAsia="Arial" w:hAnsi="Arial"/>
                <w:sz w:val="16"/>
                <w:szCs w:val="16"/>
                <w:color w:val="auto"/>
              </w:rPr>
              <w:t>Other real estate acquired in settlement of loans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59"/>
              <w:spacing w:after="0" w:line="176" w:lineRule="exact"/>
              <w:rPr>
                <w:sz w:val="20"/>
                <w:szCs w:val="20"/>
                <w:color w:val="auto"/>
              </w:rPr>
            </w:pPr>
            <w:r>
              <w:rPr>
                <w:rFonts w:ascii="Arial" w:cs="Arial" w:eastAsia="Arial" w:hAnsi="Arial"/>
                <w:sz w:val="16"/>
                <w:szCs w:val="16"/>
                <w:b w:val="1"/>
                <w:bCs w:val="1"/>
                <w:color w:val="auto"/>
              </w:rPr>
              <w:t>577</w:t>
            </w:r>
          </w:p>
        </w:tc>
        <w:tc>
          <w:tcPr>
            <w:tcW w:w="3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348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Transfer of investment securities held to maturity to available for sale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573,639</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Financial Statement Presentation</w:t>
      </w:r>
    </w:p>
    <w:p>
      <w:pPr>
        <w:spacing w:after="0" w:line="144"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When preparing these unaudited consolidated financial statements of First Busey Corporation and its subsidiaries (“First Busey,” “Company,” “we,” or “our”), a Nevada corporation, we have assumed that you have read the audited consolidated financial statements included in our 2018 Form 10-K. These interim unaudited consolidated financial statements serve to update our 2018 Form 10-K and may not include all information and notes necessary to constitute a complete set of financial statements.</w:t>
      </w:r>
    </w:p>
    <w:p>
      <w:pPr>
        <w:spacing w:after="0" w:line="122"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We prepared these unaudited consolidated financial statements in accordance with accounting principles generally accepted in the United States of America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22" w:lineRule="exact"/>
        <w:rPr>
          <w:sz w:val="20"/>
          <w:szCs w:val="20"/>
          <w:color w:val="auto"/>
        </w:rPr>
      </w:pPr>
    </w:p>
    <w:p>
      <w:pPr>
        <w:jc w:val="both"/>
        <w:ind w:right="260"/>
        <w:spacing w:after="0" w:line="224" w:lineRule="auto"/>
        <w:rPr>
          <w:sz w:val="20"/>
          <w:szCs w:val="20"/>
          <w:color w:val="auto"/>
        </w:rPr>
      </w:pPr>
      <w:r>
        <w:rPr>
          <w:rFonts w:ascii="Arial" w:cs="Arial" w:eastAsia="Arial" w:hAnsi="Arial"/>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23"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Company has evaluated subsequent events for potential recognition and/or disclosure through the date the unaudited consolidated financial statements included in this Quarterly Report on Form 10-Q were issued. There were no significant subsequent events for the quarter ended March 31, 2019 through the issuance date of these unaudited consolidated financial statements that warranted adjustment to or disclosure in the unaudited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44"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In preparing the accompanying unaudited consolidated financial statements in conformity with GAAP, the Company’s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investment securities, fair value of assets acquired and liabilities assumed in business combinations, goodwill, and the determination of the allowance for loan losses.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determination is made at inception if an arrangement contains a lease. For arrangements that contain a lease, the Company recognizes the lease on the balance sheet as a right of use asset and corresponding lease liability. Lease-related assets, or right of use assets, are recognized on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Operating lease expense is recognized on a straight-line basis over the lease term, while variable lease payments are expensed as incurred.</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Topic 842 requires the use of the rate implicit in the lease whenever this rate is readily determinable. If not readily determinable, the Company utilizes its incremental borrowing rate at lease inception, on a collateralized basis, over a similar term. For operating leases existing prior to January 1, 2019, the Company used a borrowing rate that corresponded to the remaining lease term.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 Company’s lease agreements often include one or more options to renew at the Company’s discretion. If at lease inception, the Company considers the exercising of a renewal option to be reasonably certain, the Company will include the extended term in the calculation of the right-of-use asset and lease liability.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recently adopted accounting standards</w:t>
      </w:r>
    </w:p>
    <w:p>
      <w:pPr>
        <w:spacing w:after="0" w:line="144" w:lineRule="exact"/>
        <w:rPr>
          <w:sz w:val="20"/>
          <w:szCs w:val="20"/>
          <w:color w:val="auto"/>
        </w:rPr>
      </w:pPr>
    </w:p>
    <w:p>
      <w:pPr>
        <w:ind w:right="80"/>
        <w:spacing w:after="0" w:line="225" w:lineRule="auto"/>
        <w:rPr>
          <w:sz w:val="20"/>
          <w:szCs w:val="20"/>
          <w:color w:val="auto"/>
        </w:rPr>
      </w:pPr>
      <w:r>
        <w:rPr>
          <w:rFonts w:ascii="Arial" w:cs="Arial" w:eastAsia="Arial" w:hAnsi="Arial"/>
          <w:sz w:val="17"/>
          <w:szCs w:val="17"/>
          <w:i w:val="1"/>
          <w:iCs w:val="1"/>
          <w:color w:val="auto"/>
        </w:rPr>
        <w:t xml:space="preserve">Accounting Standards Update (“ASU”) 2016-02, "Leases (Topic 842)." </w:t>
      </w:r>
      <w:r>
        <w:rPr>
          <w:rFonts w:ascii="Arial" w:cs="Arial" w:eastAsia="Arial" w:hAnsi="Arial"/>
          <w:sz w:val="17"/>
          <w:szCs w:val="17"/>
          <w:color w:val="auto"/>
        </w:rPr>
        <w:t>ASU 2016-02 intends to increase transparency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comparability among organizations by recognizing all lease transactions (with original terms in excess of 12 months) on the Consolidated Balance Sheet as a lease liability and a right-of-use asset. The guidance also requires qualitative and quantitative disclosures of the amount, timing and uncertainty of cash flows arising from leases. In July 2018, </w:t>
      </w:r>
      <w:r>
        <w:rPr>
          <w:rFonts w:ascii="Arial" w:cs="Arial" w:eastAsia="Arial" w:hAnsi="Arial"/>
          <w:sz w:val="17"/>
          <w:szCs w:val="17"/>
          <w:i w:val="1"/>
          <w:iCs w:val="1"/>
          <w:color w:val="auto"/>
        </w:rPr>
        <w:t>ASU 2018-11,</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"Leases (Topic 842): Targeted Improvements" </w:t>
      </w:r>
      <w:r>
        <w:rPr>
          <w:rFonts w:ascii="Arial" w:cs="Arial" w:eastAsia="Arial" w:hAnsi="Arial"/>
          <w:sz w:val="17"/>
          <w:szCs w:val="17"/>
          <w:color w:val="auto"/>
        </w:rPr>
        <w:t>was issued to allow companies to choose to recognize the cumulative effect of</w:t>
      </w:r>
      <w:r>
        <w:rPr>
          <w:rFonts w:ascii="Arial" w:cs="Arial" w:eastAsia="Arial" w:hAnsi="Arial"/>
          <w:sz w:val="17"/>
          <w:szCs w:val="17"/>
          <w:i w:val="1"/>
          <w:iCs w:val="1"/>
          <w:color w:val="auto"/>
        </w:rPr>
        <w:t xml:space="preserve"> </w:t>
      </w:r>
      <w:r>
        <w:rPr>
          <w:rFonts w:ascii="Arial" w:cs="Arial" w:eastAsia="Arial" w:hAnsi="Arial"/>
          <w:sz w:val="17"/>
          <w:szCs w:val="17"/>
          <w:color w:val="auto"/>
        </w:rPr>
        <w:t>applying the new standard to leased assets and liabilities as an adjustment to the opening balance of retained earnings rather than recasting prior year results upon adoption of the standard.</w:t>
      </w:r>
    </w:p>
    <w:p>
      <w:pPr>
        <w:spacing w:after="0" w:line="122" w:lineRule="exact"/>
        <w:rPr>
          <w:sz w:val="20"/>
          <w:szCs w:val="20"/>
          <w:color w:val="auto"/>
        </w:rPr>
      </w:pPr>
    </w:p>
    <w:p>
      <w:pPr>
        <w:spacing w:after="0" w:line="225" w:lineRule="auto"/>
        <w:rPr>
          <w:sz w:val="20"/>
          <w:szCs w:val="20"/>
          <w:color w:val="auto"/>
        </w:rPr>
      </w:pPr>
      <w:r>
        <w:rPr>
          <w:rFonts w:ascii="Arial" w:cs="Arial" w:eastAsia="Arial" w:hAnsi="Arial"/>
          <w:sz w:val="17"/>
          <w:szCs w:val="17"/>
          <w:i w:val="1"/>
          <w:iCs w:val="1"/>
          <w:color w:val="auto"/>
        </w:rPr>
        <w:t xml:space="preserve">ASU 2019-01, "Leases (Topic 842): Codification Improvements." </w:t>
      </w:r>
      <w:r>
        <w:rPr>
          <w:rFonts w:ascii="Arial" w:cs="Arial" w:eastAsia="Arial" w:hAnsi="Arial"/>
          <w:sz w:val="17"/>
          <w:szCs w:val="17"/>
          <w:color w:val="auto"/>
        </w:rPr>
        <w:t>In 2016, The FASB issued ASU 2016- 02, “</w:t>
      </w:r>
      <w:r>
        <w:rPr>
          <w:rFonts w:ascii="Arial" w:cs="Arial" w:eastAsia="Arial" w:hAnsi="Arial"/>
          <w:sz w:val="17"/>
          <w:szCs w:val="17"/>
          <w:i w:val="1"/>
          <w:iCs w:val="1"/>
          <w:color w:val="auto"/>
        </w:rPr>
        <w:t>Leases (Topic 842)”</w:t>
      </w:r>
      <w:r>
        <w:rPr>
          <w:rFonts w:ascii="Arial" w:cs="Arial" w:eastAsia="Arial" w:hAnsi="Arial"/>
          <w:sz w:val="17"/>
          <w:szCs w:val="17"/>
          <w:color w:val="auto"/>
        </w:rPr>
        <w:t>, to increase transparency and comparability among organizations by recognizing lease assets and lease liabilities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and disclosing essential information about leasing transactions. ASU 2019-01 clarifies the guidance in ASU 2016-02 and/or corrects unintended application of the guidance. For public business entities, this guidance is effective for annual reporting periods beginning after December 15, 2019, including interim periods within those fiscal years. Early adoption is permitted and the Company adopted this guidance during the first quarter of 2019. The adoption of this guidance did not have a material impact on the Company’s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January 1, 2019, the Company adopted </w:t>
      </w:r>
      <w:r>
        <w:rPr>
          <w:rFonts w:ascii="Arial" w:cs="Arial" w:eastAsia="Arial" w:hAnsi="Arial"/>
          <w:sz w:val="16"/>
          <w:szCs w:val="16"/>
          <w:i w:val="1"/>
          <w:iCs w:val="1"/>
          <w:color w:val="auto"/>
        </w:rPr>
        <w:t>ASU No. 2016-02 “Leases (Topic 842)</w:t>
      </w:r>
      <w:r>
        <w:rPr>
          <w:rFonts w:ascii="Arial" w:cs="Arial" w:eastAsia="Arial" w:hAnsi="Arial"/>
          <w:sz w:val="16"/>
          <w:szCs w:val="16"/>
          <w:color w:val="auto"/>
        </w:rPr>
        <w:t xml:space="preserve"> and all subsequent ASUs that modified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Topic 842. The Company made the following elections for all leases in connection with the adoption of this guidance:</w:t>
      </w:r>
    </w:p>
    <w:p>
      <w:pPr>
        <w:spacing w:after="0" w:line="72" w:lineRule="exact"/>
        <w:rPr>
          <w:sz w:val="20"/>
          <w:szCs w:val="20"/>
          <w:color w:val="auto"/>
        </w:rPr>
      </w:pPr>
    </w:p>
    <w:p>
      <w:pPr>
        <w:ind w:left="660" w:right="460" w:hanging="333"/>
        <w:spacing w:after="0" w:line="21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the package of practical expedients to not reassess prior conclusions related to contracts containing leases, lease classification and initial direct costs;</w:t>
      </w:r>
    </w:p>
    <w:p>
      <w:pPr>
        <w:spacing w:after="0" w:line="1" w:lineRule="exact"/>
        <w:rPr>
          <w:rFonts w:ascii="Arial" w:cs="Arial" w:eastAsia="Arial" w:hAnsi="Arial"/>
          <w:sz w:val="18"/>
          <w:szCs w:val="18"/>
          <w:color w:val="auto"/>
        </w:rPr>
      </w:pP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did not elect the hindsight practical expedient;</w:t>
      </w:r>
    </w:p>
    <w:p>
      <w:pPr>
        <w:ind w:left="660" w:right="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the optional transition method that allows companies to use the effective date as the date of initial application on transition. As a result, the Company did not adjust comparative period financial information or make the newly required lease disclosures for periods before the effective date;</w:t>
      </w:r>
    </w:p>
    <w:p>
      <w:pPr>
        <w:spacing w:after="0" w:line="1" w:lineRule="exact"/>
        <w:rPr>
          <w:rFonts w:ascii="Arial" w:cs="Arial" w:eastAsia="Arial" w:hAnsi="Arial"/>
          <w:sz w:val="18"/>
          <w:szCs w:val="18"/>
          <w:color w:val="auto"/>
        </w:rPr>
      </w:pP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not to apply the above guidance to short-term leases;</w:t>
      </w:r>
    </w:p>
    <w:p>
      <w:pPr>
        <w:ind w:left="660" w:right="32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to separate the lease components from the nonlease components and exclude the nonlease components from the right-of-use asset and lease liability; and</w:t>
      </w: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did not elect the land easement practical expedient.</w:t>
      </w:r>
    </w:p>
    <w:p>
      <w:pPr>
        <w:spacing w:after="0" w:line="128"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At the date of adoption, the Company recorded approximately $11.6 million on its Consolidated Balance Sheets to reflect the right of use asset and associated lease liability. The Company utilized its incremental borrowing rate, on a collateralized basis, for the remaining contractual lease term.</w:t>
      </w:r>
    </w:p>
    <w:p>
      <w:pPr>
        <w:spacing w:after="0" w:line="123"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i w:val="1"/>
          <w:iCs w:val="1"/>
          <w:color w:val="auto"/>
        </w:rPr>
        <w:t xml:space="preserve">ASU 2017-08, "Receivables - Nonrefundable Fees and Other Costs (Subtopic 310-20), Premium Amortization on Purchased Callable Debt Securities." </w:t>
      </w:r>
      <w:r>
        <w:rPr>
          <w:rFonts w:ascii="Arial" w:cs="Arial" w:eastAsia="Arial" w:hAnsi="Arial"/>
          <w:sz w:val="16"/>
          <w:szCs w:val="16"/>
          <w:color w:val="auto"/>
        </w:rPr>
        <w:t>ASU 2017-08 shortens the amortization period for certain callable debt securities held at a</w:t>
      </w:r>
      <w:r>
        <w:rPr>
          <w:rFonts w:ascii="Arial" w:cs="Arial" w:eastAsia="Arial" w:hAnsi="Arial"/>
          <w:sz w:val="16"/>
          <w:szCs w:val="16"/>
          <w:i w:val="1"/>
          <w:iCs w:val="1"/>
          <w:color w:val="auto"/>
        </w:rPr>
        <w:t xml:space="preserve"> </w:t>
      </w:r>
      <w:r>
        <w:rPr>
          <w:rFonts w:ascii="Arial" w:cs="Arial" w:eastAsia="Arial" w:hAnsi="Arial"/>
          <w:sz w:val="16"/>
          <w:szCs w:val="16"/>
          <w:color w:val="auto"/>
        </w:rPr>
        <w:t>premium, requiring the premium to be amortized to the earliest call date. ASU 2017-08 does not require an accounting change for securities held at a discount; the discount continues to be amortized to maturity. This guidance was effective for annual reporting periods beginning after December 15, 2018, including interim periods within those fiscal years. The adoption of this guidance did not have a material impact on the Company’s consolidated financial statements.</w:t>
      </w:r>
    </w:p>
    <w:p>
      <w:pPr>
        <w:spacing w:after="0" w:line="120"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i w:val="1"/>
          <w:iCs w:val="1"/>
          <w:color w:val="auto"/>
        </w:rPr>
        <w:t xml:space="preserve">ASU 2017-12, "Derivatives and Hedging (Topic 815): Targeted Improvements to Accounting for Hedging Activities." </w:t>
      </w:r>
      <w:r>
        <w:rPr>
          <w:rFonts w:ascii="Arial" w:cs="Arial" w:eastAsia="Arial" w:hAnsi="Arial"/>
          <w:sz w:val="17"/>
          <w:szCs w:val="17"/>
          <w:color w:val="auto"/>
        </w:rPr>
        <w:t>ASU</w:t>
      </w:r>
      <w:r>
        <w:rPr>
          <w:rFonts w:ascii="Arial" w:cs="Arial" w:eastAsia="Arial" w:hAnsi="Arial"/>
          <w:sz w:val="17"/>
          <w:szCs w:val="17"/>
          <w:i w:val="1"/>
          <w:iCs w:val="1"/>
          <w:color w:val="auto"/>
        </w:rPr>
        <w:t xml:space="preserve"> </w:t>
      </w:r>
      <w:r>
        <w:rPr>
          <w:rFonts w:ascii="Arial" w:cs="Arial" w:eastAsia="Arial" w:hAnsi="Arial"/>
          <w:sz w:val="17"/>
          <w:szCs w:val="17"/>
          <w:color w:val="auto"/>
        </w:rPr>
        <w:t>2017-12 amends Topic 815 to reduce the cost and complexity of applying hedge accounting and expands the types of relationships that qualify for hedge accounting. The guidance eliminates the requirement to separately measure and report hedge ineffectiveness, requires all items that affect earnings to be presented in the same income statement line as the hedged item, provides for applying hedge accounting to additional hedging strategies,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provides for new approaches to measuring the hedged item in fair value hedges of interest rate risk, and eases the requirements for effective testing and hedge documentation. This guidance was effective for annual reporting periods beginning after December 15, 2018, including interim periods within those fiscal years. During the first quarter of 2019, when the Company adopted this guidance and reassessed classification of certain investments and transferred $573.6 million of securities from held to maturity to available for sale.</w:t>
      </w:r>
    </w:p>
    <w:p>
      <w:pPr>
        <w:spacing w:after="0" w:line="122"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i w:val="1"/>
          <w:iCs w:val="1"/>
          <w:color w:val="auto"/>
        </w:rPr>
        <w:t xml:space="preserve">ASU 2018-07, "Compensation-Stock Compensation (Topic 718): Improvements to Nonemployee Share-Based Payment Accounting." </w:t>
      </w:r>
      <w:r>
        <w:rPr>
          <w:rFonts w:ascii="Arial" w:cs="Arial" w:eastAsia="Arial" w:hAnsi="Arial"/>
          <w:sz w:val="18"/>
          <w:szCs w:val="18"/>
          <w:color w:val="auto"/>
        </w:rPr>
        <w:t>ASU 2018-07 expands the scope of Topic 718 to include share-based payment transactions for acquiring goods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services from nonemployees. This guidance was effective for annual reporting periods beginning after December 15, 2018, including interim periods within those fiscal years. The adoption of this guidance did not have a material impact on the Company’s consolidated financial statements.</w:t>
      </w:r>
    </w:p>
    <w:p>
      <w:pPr>
        <w:spacing w:after="0" w:line="122"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i w:val="1"/>
          <w:iCs w:val="1"/>
          <w:color w:val="auto"/>
        </w:rPr>
        <w:t xml:space="preserve">ASU 2016-13, "Financial Instruments - Credit Losses (Topic 326): Measurement of Credit Losses on Financial Instruments." </w:t>
      </w:r>
      <w:r>
        <w:rPr>
          <w:rFonts w:ascii="Arial" w:cs="Arial" w:eastAsia="Arial" w:hAnsi="Arial"/>
          <w:sz w:val="16"/>
          <w:szCs w:val="16"/>
          <w:color w:val="auto"/>
        </w:rPr>
        <w:t>ASU 2016-13 implements a change from the current impaired loss model to an expected credit loss model over the life of an instrument, including loans and securities held to maturity. The expected credit loss model is expected to result in earlier recognition of losses. ASU 2016-13 is effective for fiscal years beginning after December 15, 2019 including interim periods with those years. The Company has developed and is executing a project plan to implement this guidance. The project plan includes an assessment of data, development of CECL methodologies, model validation, and parallel runs to assess the impact of CECL calculations on its consolidated financial statements and evaluation of related disclosures.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Banc Ed Corp.</w:t>
      </w:r>
    </w:p>
    <w:p>
      <w:pPr>
        <w:spacing w:after="0" w:line="144" w:lineRule="exact"/>
        <w:rPr>
          <w:sz w:val="20"/>
          <w:szCs w:val="20"/>
          <w:color w:val="auto"/>
        </w:rPr>
      </w:pPr>
    </w:p>
    <w:p>
      <w:pPr>
        <w:ind w:right="360"/>
        <w:spacing w:after="0" w:line="219" w:lineRule="auto"/>
        <w:rPr>
          <w:sz w:val="20"/>
          <w:szCs w:val="20"/>
          <w:color w:val="auto"/>
        </w:rPr>
      </w:pPr>
      <w:r>
        <w:rPr>
          <w:rFonts w:ascii="Arial" w:cs="Arial" w:eastAsia="Arial" w:hAnsi="Arial"/>
          <w:sz w:val="18"/>
          <w:szCs w:val="18"/>
          <w:color w:val="auto"/>
        </w:rPr>
        <w:t>On January 31, 2019, the Company completed its acquisition of The Banc Ed Corp. (“Banc Ed”). TheBANK of Edwardsville (“TheBANK”), Banc Ed’s wholly-owned bank subsidiary, will be merged with and into First Busey’s bank subsidiary, Busey Bank, which is expected to occur in the fourth quarter of 2019. At the time of the bank merger, TheBANK’s banking offices will become branches of Busey Bank.</w:t>
      </w:r>
    </w:p>
    <w:p>
      <w:pPr>
        <w:spacing w:after="0" w:line="55"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Under the terms of the Merger Agreement with Banc Ed, at the effective time of the acquisition, each share of Banc Ed common stock issued and outstanding was converted into the right to receive 8.2067 shares of the Company’s common stock, cash in lieu of fractional shares and $111.53 cash consideration per share. The market value of the 6.7 million shares of First Busey common stock issued at the effective time of the acquisition was approximately $166.5 million based on First Busey’s closing stock price of $24.76 on January 31, 2019.</w:t>
      </w:r>
    </w:p>
    <w:p>
      <w:pPr>
        <w:spacing w:after="0" w:line="54"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was recorded at estimated fair values on the date of acquisition. Fair values are considered provisional until final fair values are determined or the measurement period has passed, but no later than one year from the acquisition date. Reviews of third party valuations are still being performed by management. Therefore amounts are subject to change and could change materially from the provisional amounts disclosed below.</w:t>
      </w:r>
    </w:p>
    <w:p>
      <w:pPr>
        <w:spacing w:after="0" w:line="51"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First Busey incurred $1.0 million in pre-tax expenses related to the acquisition of Banc Ed for the three months ended March 31, 2019, primarily for professional and legal fees, all of which are reported as a component of non-interest expense in the accompanying unaudited Consolidated Statement of Income.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 xml:space="preserve">The following table presents the estimated fair value of Banc Ed’s assets acquired and liabilities assumed as of January 31, 2019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6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right"/>
              <w:ind w:right="452"/>
              <w:spacing w:after="0"/>
              <w:rPr>
                <w:sz w:val="20"/>
                <w:szCs w:val="20"/>
                <w:color w:val="auto"/>
              </w:rPr>
            </w:pPr>
            <w:r>
              <w:rPr>
                <w:rFonts w:ascii="Arial" w:cs="Arial" w:eastAsia="Arial" w:hAnsi="Arial"/>
                <w:sz w:val="14"/>
                <w:szCs w:val="14"/>
                <w:b w:val="1"/>
                <w:bCs w:val="1"/>
                <w:color w:val="auto"/>
              </w:rPr>
              <w:t>Estimated 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First Busey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Assets acquired:</w:t>
            </w:r>
          </w:p>
        </w:tc>
        <w:tc>
          <w:tcPr>
            <w:tcW w:w="1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80"/>
              <w:spacing w:after="0" w:line="189" w:lineRule="exact"/>
              <w:rPr>
                <w:sz w:val="20"/>
                <w:szCs w:val="20"/>
                <w:color w:val="auto"/>
              </w:rPr>
            </w:pPr>
            <w:r>
              <w:rPr>
                <w:rFonts w:ascii="Arial" w:cs="Arial" w:eastAsia="Arial" w:hAnsi="Arial"/>
                <w:sz w:val="18"/>
                <w:szCs w:val="18"/>
                <w:color w:val="auto"/>
              </w:rPr>
              <w:t>Cash and cash equivalents</w:t>
            </w:r>
          </w:p>
        </w:tc>
        <w:tc>
          <w:tcPr>
            <w:tcW w:w="1980" w:type="dxa"/>
            <w:vAlign w:val="bottom"/>
            <w:gridSpan w:val="2"/>
          </w:tcPr>
          <w:p>
            <w:pPr>
              <w:jc w:val="right"/>
              <w:ind w:right="145"/>
              <w:spacing w:after="0" w:line="189"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42,013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Securities</w:t>
            </w:r>
          </w:p>
        </w:tc>
        <w:tc>
          <w:tcPr>
            <w:tcW w:w="1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692,684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80"/>
              <w:spacing w:after="0" w:line="189" w:lineRule="exact"/>
              <w:rPr>
                <w:sz w:val="20"/>
                <w:szCs w:val="20"/>
                <w:color w:val="auto"/>
              </w:rPr>
            </w:pPr>
            <w:r>
              <w:rPr>
                <w:rFonts w:ascii="Arial" w:cs="Arial" w:eastAsia="Arial" w:hAnsi="Arial"/>
                <w:sz w:val="18"/>
                <w:szCs w:val="18"/>
                <w:color w:val="auto"/>
              </w:rPr>
              <w:t>Loans held for sale</w:t>
            </w: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Portfolio loans</w:t>
            </w:r>
          </w:p>
        </w:tc>
        <w:tc>
          <w:tcPr>
            <w:tcW w:w="1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873,336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80"/>
              <w:spacing w:after="0" w:line="189" w:lineRule="exact"/>
              <w:rPr>
                <w:sz w:val="20"/>
                <w:szCs w:val="20"/>
                <w:color w:val="auto"/>
              </w:rPr>
            </w:pPr>
            <w:r>
              <w:rPr>
                <w:rFonts w:ascii="Arial" w:cs="Arial" w:eastAsia="Arial" w:hAnsi="Arial"/>
                <w:sz w:val="18"/>
                <w:szCs w:val="18"/>
                <w:color w:val="auto"/>
              </w:rPr>
              <w:t>Premises and equipment</w:t>
            </w: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31,929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Other intangible assets</w:t>
            </w:r>
          </w:p>
        </w:tc>
        <w:tc>
          <w:tcPr>
            <w:tcW w:w="1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32,617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80"/>
              <w:spacing w:after="0" w:line="189" w:lineRule="exact"/>
              <w:rPr>
                <w:sz w:val="20"/>
                <w:szCs w:val="20"/>
                <w:color w:val="auto"/>
              </w:rPr>
            </w:pPr>
            <w:r>
              <w:rPr>
                <w:rFonts w:ascii="Arial" w:cs="Arial" w:eastAsia="Arial" w:hAnsi="Arial"/>
                <w:sz w:val="18"/>
                <w:szCs w:val="18"/>
                <w:color w:val="auto"/>
              </w:rPr>
              <w:t>Mortgage servicing rights</w:t>
            </w: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Other assets</w:t>
            </w:r>
          </w:p>
        </w:tc>
        <w:tc>
          <w:tcPr>
            <w:tcW w:w="16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57,296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tcBorders>
              <w:bottom w:val="single" w:sz="8" w:color="CCEEFF"/>
            </w:tcBorders>
          </w:tcPr>
          <w:p>
            <w:pPr>
              <w:ind w:left="200"/>
              <w:spacing w:after="0" w:line="182" w:lineRule="exact"/>
              <w:rPr>
                <w:sz w:val="20"/>
                <w:szCs w:val="20"/>
                <w:color w:val="auto"/>
              </w:rPr>
            </w:pPr>
            <w:r>
              <w:rPr>
                <w:rFonts w:ascii="Arial" w:cs="Arial" w:eastAsia="Arial" w:hAnsi="Arial"/>
                <w:sz w:val="18"/>
                <w:szCs w:val="18"/>
                <w:color w:val="auto"/>
              </w:rPr>
              <w:t>Total assets acquired</w:t>
            </w:r>
          </w:p>
        </w:tc>
        <w:tc>
          <w:tcPr>
            <w:tcW w:w="16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1,738,978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60" w:type="dxa"/>
            <w:vAlign w:val="bottom"/>
          </w:tcPr>
          <w:p>
            <w:pPr>
              <w:spacing w:after="0" w:line="189" w:lineRule="exact"/>
              <w:rPr>
                <w:sz w:val="20"/>
                <w:szCs w:val="20"/>
                <w:color w:val="auto"/>
              </w:rPr>
            </w:pPr>
            <w:r>
              <w:rPr>
                <w:rFonts w:ascii="Arial" w:cs="Arial" w:eastAsia="Arial" w:hAnsi="Arial"/>
                <w:sz w:val="18"/>
                <w:szCs w:val="18"/>
                <w:color w:val="auto"/>
              </w:rPr>
              <w:t>Liabilities assumed:</w:t>
            </w: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Deposits</w:t>
            </w:r>
          </w:p>
        </w:tc>
        <w:tc>
          <w:tcPr>
            <w:tcW w:w="1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1,439,203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80"/>
              <w:spacing w:after="0" w:line="189" w:lineRule="exact"/>
              <w:rPr>
                <w:sz w:val="20"/>
                <w:szCs w:val="20"/>
                <w:color w:val="auto"/>
              </w:rPr>
            </w:pPr>
            <w:r>
              <w:rPr>
                <w:rFonts w:ascii="Arial" w:cs="Arial" w:eastAsia="Arial" w:hAnsi="Arial"/>
                <w:sz w:val="18"/>
                <w:szCs w:val="18"/>
                <w:color w:val="auto"/>
              </w:rPr>
              <w:t>Other borrowings</w:t>
            </w: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63,439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Other liabilities</w:t>
            </w:r>
          </w:p>
        </w:tc>
        <w:tc>
          <w:tcPr>
            <w:tcW w:w="16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25,079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tcBorders>
              <w:bottom w:val="single" w:sz="8" w:color="CCEEFF"/>
            </w:tcBorders>
          </w:tcPr>
          <w:p>
            <w:pPr>
              <w:ind w:left="200"/>
              <w:spacing w:after="0" w:line="182" w:lineRule="exact"/>
              <w:rPr>
                <w:sz w:val="20"/>
                <w:szCs w:val="20"/>
                <w:color w:val="auto"/>
              </w:rPr>
            </w:pPr>
            <w:r>
              <w:rPr>
                <w:rFonts w:ascii="Arial" w:cs="Arial" w:eastAsia="Arial" w:hAnsi="Arial"/>
                <w:sz w:val="18"/>
                <w:szCs w:val="18"/>
                <w:color w:val="auto"/>
              </w:rPr>
              <w:t>Total liabilities assumed</w:t>
            </w:r>
          </w:p>
        </w:tc>
        <w:tc>
          <w:tcPr>
            <w:tcW w:w="16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1,527,721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60" w:type="dxa"/>
            <w:vAlign w:val="bottom"/>
          </w:tcPr>
          <w:p>
            <w:pPr>
              <w:spacing w:after="0" w:line="189" w:lineRule="exact"/>
              <w:rPr>
                <w:sz w:val="20"/>
                <w:szCs w:val="20"/>
                <w:color w:val="auto"/>
              </w:rPr>
            </w:pPr>
            <w:r>
              <w:rPr>
                <w:rFonts w:ascii="Arial" w:cs="Arial" w:eastAsia="Arial" w:hAnsi="Arial"/>
                <w:sz w:val="18"/>
                <w:szCs w:val="18"/>
                <w:color w:val="auto"/>
              </w:rPr>
              <w:t>Net assets acquired</w:t>
            </w:r>
          </w:p>
        </w:tc>
        <w:tc>
          <w:tcPr>
            <w:tcW w:w="1980" w:type="dxa"/>
            <w:vAlign w:val="bottom"/>
            <w:gridSpan w:val="2"/>
          </w:tcPr>
          <w:p>
            <w:pPr>
              <w:jc w:val="right"/>
              <w:ind w:right="145"/>
              <w:spacing w:after="0" w:line="189"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211,257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66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60" w:type="dxa"/>
            <w:vAlign w:val="bottom"/>
          </w:tcPr>
          <w:p>
            <w:pPr>
              <w:spacing w:after="0" w:line="189" w:lineRule="exact"/>
              <w:rPr>
                <w:sz w:val="20"/>
                <w:szCs w:val="20"/>
                <w:color w:val="auto"/>
              </w:rPr>
            </w:pPr>
            <w:r>
              <w:rPr>
                <w:rFonts w:ascii="Arial" w:cs="Arial" w:eastAsia="Arial" w:hAnsi="Arial"/>
                <w:sz w:val="18"/>
                <w:szCs w:val="18"/>
                <w:color w:val="auto"/>
              </w:rPr>
              <w:t>Consideration paid:</w:t>
            </w: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Cash</w:t>
            </w:r>
          </w:p>
        </w:tc>
        <w:tc>
          <w:tcPr>
            <w:tcW w:w="1980" w:type="dxa"/>
            <w:vAlign w:val="bottom"/>
            <w:gridSpan w:val="2"/>
            <w:shd w:val="clear" w:color="auto" w:fill="CCEEFF"/>
          </w:tcPr>
          <w:p>
            <w:pPr>
              <w:jc w:val="right"/>
              <w:ind w:right="145"/>
              <w:spacing w:after="0" w:line="189"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91,400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Borders>
              <w:bottom w:val="single" w:sz="8" w:color="CCEEFF"/>
            </w:tcBorders>
          </w:tcPr>
          <w:p>
            <w:pPr>
              <w:ind w:left="80"/>
              <w:spacing w:after="0" w:line="189" w:lineRule="exact"/>
              <w:rPr>
                <w:sz w:val="20"/>
                <w:szCs w:val="20"/>
                <w:color w:val="auto"/>
              </w:rPr>
            </w:pPr>
            <w:r>
              <w:rPr>
                <w:rFonts w:ascii="Arial" w:cs="Arial" w:eastAsia="Arial" w:hAnsi="Arial"/>
                <w:sz w:val="18"/>
                <w:szCs w:val="18"/>
                <w:color w:val="auto"/>
              </w:rPr>
              <w:t>Common stock</w:t>
            </w:r>
          </w:p>
        </w:tc>
        <w:tc>
          <w:tcPr>
            <w:tcW w:w="1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166,515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tcBorders>
              <w:bottom w:val="single" w:sz="8" w:color="CCEEFF"/>
            </w:tcBorders>
            <w:shd w:val="clear" w:color="auto" w:fill="CCEEFF"/>
          </w:tcPr>
          <w:p>
            <w:pPr>
              <w:ind w:left="200"/>
              <w:spacing w:after="0" w:line="182" w:lineRule="exact"/>
              <w:rPr>
                <w:sz w:val="20"/>
                <w:szCs w:val="20"/>
                <w:color w:val="auto"/>
              </w:rPr>
            </w:pPr>
            <w:r>
              <w:rPr>
                <w:rFonts w:ascii="Arial" w:cs="Arial" w:eastAsia="Arial" w:hAnsi="Arial"/>
                <w:sz w:val="18"/>
                <w:szCs w:val="18"/>
                <w:color w:val="auto"/>
              </w:rPr>
              <w:t>Total consideration paid</w:t>
            </w:r>
          </w:p>
        </w:tc>
        <w:tc>
          <w:tcPr>
            <w:tcW w:w="16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257,915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6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Goodwill</w:t>
            </w:r>
          </w:p>
        </w:tc>
        <w:tc>
          <w:tcPr>
            <w:tcW w:w="1980" w:type="dxa"/>
            <w:vAlign w:val="bottom"/>
            <w:gridSpan w:val="2"/>
            <w:shd w:val="clear" w:color="auto" w:fill="CCEEFF"/>
          </w:tcPr>
          <w:p>
            <w:pPr>
              <w:jc w:val="right"/>
              <w:ind w:right="145"/>
              <w:spacing w:after="0" w:line="189"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The loans acquired in this transaction were recorded at fair value with no carryover of any existing allowance for loan losses. Loans that were not deemed to be credit-impaired at the acquisition date were accounted for under FASB ASC 310-20, Receivables-Nonrefundable Fees and Other Costs, and were subsequently considered as part of the Company’s determination of the adequacy of the allowance for loan losses. Purchased credit impaired (“PCI”) loans were accounted for under ASC</w:t>
      </w:r>
    </w:p>
    <w:p>
      <w:pPr>
        <w:spacing w:after="0" w:line="1"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310-30, Receivables — Loans and Debt Securities Acquired with Deteriorated Credit Quality. As of the acquisition date, the aggregate principal balance outstanding and aggregate fair value of the acquired performing loans, including loans held for sale, were $889.3 and $871.0 million, respectively. The difference between the carrying value and aggregate fair value of $17.0 million will be accreted over the estimated remaining life of the respective loans in a manner that approximates the level yield method. As of the acquisition date, the aggregate principal balance outstanding of PCI loans totaled $3.9 million and the aggregate fair value of PCI loans totaled $2.3 million. The accretable discount of $0.2 million on PCI loans represents the amount by which the undiscounted expected cash flows on such loans exceed their carrying value. The amount by which the contractual payments exceeds the undiscounted expected cash flows represents the non-accretable difference. The difference between contractually required payments at the acquisition date and the cash flow expected to be collected is referred to as the non-accretable difference. Further, the excess of cash flows expected at acquisition over the fair value is referred to as the accretable yield. At March 31, 2019, the carrying value of PCI loans acquired from Banc Ed was $2.3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Since the acquisition date, Banc Ed earned total revenues of $12.3 million and net income of $3.6 million, which are included in the Company’s Consolidated Statements of Income for the three months ended March 31, 2019. The following table provides the unaudited pro forma information for the results of operations for the three months ended March 31, 2019 and 2018, as if the acquisition had occurred January 1, 2018. The pro forma results combine the historical results of Banc Ed into the Company’s Consolidated Statements of Income, including the impact of purchase accounting adjustments including loan discount accretion, intangible assets amortization, deposit accretion and premises accretion, net of taxes. The pro forma results have been prepared for comparative purposes only and are not necessarily indicative of the results that would have been obtained had the acquisition actually occurred on January 1, 2018. No assumptions have been applied to the pro forma results of operations regarding possible revenue enhancements, expense efficiencies or asset dispositions. Only the merger related expenses that have been recognized are included in net income in the table below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Pro Forma</w:t>
            </w:r>
          </w:p>
        </w:tc>
        <w:tc>
          <w:tcPr>
            <w:tcW w:w="880" w:type="dxa"/>
            <w:vAlign w:val="bottom"/>
          </w:tcPr>
          <w:p>
            <w:pPr>
              <w:spacing w:after="0"/>
              <w:rPr>
                <w:sz w:val="14"/>
                <w:szCs w:val="14"/>
                <w:color w:val="auto"/>
              </w:rPr>
            </w:pPr>
          </w:p>
        </w:tc>
      </w:tr>
      <w:tr>
        <w:trPr>
          <w:trHeight w:val="149"/>
        </w:trPr>
        <w:tc>
          <w:tcPr>
            <w:tcW w:w="6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4"/>
          </w:tcPr>
          <w:p>
            <w:pPr>
              <w:jc w:val="right"/>
              <w:ind w:right="274"/>
              <w:spacing w:after="0" w:line="149" w:lineRule="exact"/>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6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183"/>
        </w:trPr>
        <w:tc>
          <w:tcPr>
            <w:tcW w:w="6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revenues (net interest income plus non-interest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100,652</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101,119</w:t>
            </w:r>
          </w:p>
        </w:tc>
      </w:tr>
      <w:tr>
        <w:trPr>
          <w:trHeight w:val="189"/>
        </w:trPr>
        <w:tc>
          <w:tcPr>
            <w:tcW w:w="638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27,390</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25,813</w:t>
            </w:r>
          </w:p>
        </w:tc>
      </w:tr>
      <w:tr>
        <w:trPr>
          <w:trHeight w:val="189"/>
        </w:trPr>
        <w:tc>
          <w:tcPr>
            <w:tcW w:w="6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Diluted earnings per common share</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0.49</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0.47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Securities</w:t>
      </w:r>
    </w:p>
    <w:p>
      <w:pPr>
        <w:spacing w:after="0" w:line="148"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 xml:space="preserve">The table below provides the amortized cost, unrealized gains and losses and fair values of securities summarized by major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34"/>
        </w:trPr>
        <w:tc>
          <w:tcPr>
            <w:tcW w:w="10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9"/>
              </w:rPr>
              <w:t>Amortized</w:t>
            </w:r>
          </w:p>
        </w:tc>
        <w:tc>
          <w:tcPr>
            <w:tcW w:w="260" w:type="dxa"/>
            <w:vAlign w:val="bottom"/>
          </w:tcPr>
          <w:p>
            <w:pPr>
              <w:spacing w:after="0"/>
              <w:rPr>
                <w:sz w:val="11"/>
                <w:szCs w:val="11"/>
                <w:color w:val="auto"/>
              </w:rPr>
            </w:pPr>
          </w:p>
        </w:tc>
        <w:tc>
          <w:tcPr>
            <w:tcW w:w="940" w:type="dxa"/>
            <w:vAlign w:val="bottom"/>
          </w:tcPr>
          <w:p>
            <w:pPr>
              <w:jc w:val="center"/>
              <w:ind w:right="135"/>
              <w:spacing w:after="0" w:line="134"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980" w:type="dxa"/>
            <w:vAlign w:val="bottom"/>
          </w:tcPr>
          <w:p>
            <w:pPr>
              <w:jc w:val="center"/>
              <w:ind w:right="155"/>
              <w:spacing w:after="0" w:line="134"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1"/>
                <w:szCs w:val="11"/>
                <w:color w:val="auto"/>
              </w:rPr>
            </w:pPr>
          </w:p>
        </w:tc>
        <w:tc>
          <w:tcPr>
            <w:tcW w:w="8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 2019:</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98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98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354"/>
              <w:spacing w:after="0" w:line="158" w:lineRule="exact"/>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3"/>
                <w:szCs w:val="13"/>
                <w:color w:val="auto"/>
              </w:rPr>
            </w:pPr>
          </w:p>
        </w:tc>
        <w:tc>
          <w:tcPr>
            <w:tcW w:w="94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3"/>
                <w:szCs w:val="13"/>
                <w:color w:val="auto"/>
              </w:rPr>
            </w:pPr>
          </w:p>
        </w:tc>
        <w:tc>
          <w:tcPr>
            <w:tcW w:w="980" w:type="dxa"/>
            <w:vAlign w:val="bottom"/>
          </w:tcPr>
          <w:p>
            <w:pPr>
              <w:jc w:val="center"/>
              <w:ind w:right="175"/>
              <w:spacing w:after="0" w:line="158" w:lineRule="exact"/>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3"/>
                <w:szCs w:val="13"/>
                <w:color w:val="auto"/>
              </w:rPr>
            </w:pPr>
          </w:p>
        </w:tc>
        <w:tc>
          <w:tcPr>
            <w:tcW w:w="860" w:type="dxa"/>
            <w:vAlign w:val="bottom"/>
          </w:tcPr>
          <w:p>
            <w:pPr>
              <w:jc w:val="right"/>
              <w:ind w:right="254"/>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Available for sale</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80" w:type="dxa"/>
            <w:vAlign w:val="bottom"/>
            <w:gridSpan w:val="2"/>
          </w:tcPr>
          <w:p>
            <w:pPr>
              <w:spacing w:after="0" w:line="189" w:lineRule="exact"/>
              <w:rPr>
                <w:sz w:val="20"/>
                <w:szCs w:val="20"/>
                <w:color w:val="auto"/>
              </w:rPr>
            </w:pPr>
            <w:r>
              <w:rPr>
                <w:rFonts w:ascii="Arial" w:cs="Arial" w:eastAsia="Arial" w:hAnsi="Arial"/>
                <w:sz w:val="18"/>
                <w:szCs w:val="18"/>
                <w:color w:val="auto"/>
              </w:rPr>
              <w:t>U.S. Treasury securities</w:t>
            </w:r>
          </w:p>
        </w:tc>
        <w:tc>
          <w:tcPr>
            <w:tcW w:w="5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line="189" w:lineRule="exact"/>
              <w:rPr>
                <w:sz w:val="20"/>
                <w:szCs w:val="20"/>
                <w:color w:val="auto"/>
              </w:rPr>
            </w:pPr>
            <w:r>
              <w:rPr>
                <w:rFonts w:ascii="Arial" w:cs="Arial" w:eastAsia="Arial" w:hAnsi="Arial"/>
                <w:sz w:val="18"/>
                <w:szCs w:val="18"/>
                <w:color w:val="auto"/>
              </w:rPr>
              <w:t>64,506</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line="189" w:lineRule="exact"/>
              <w:rPr>
                <w:sz w:val="20"/>
                <w:szCs w:val="20"/>
                <w:color w:val="auto"/>
              </w:rPr>
            </w:pPr>
            <w:r>
              <w:rPr>
                <w:rFonts w:ascii="Arial" w:cs="Arial" w:eastAsia="Arial" w:hAnsi="Arial"/>
                <w:sz w:val="18"/>
                <w:szCs w:val="18"/>
                <w:color w:val="auto"/>
              </w:rPr>
              <w:t>76</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line="189" w:lineRule="exact"/>
              <w:rPr>
                <w:sz w:val="20"/>
                <w:szCs w:val="20"/>
                <w:color w:val="auto"/>
              </w:rPr>
            </w:pPr>
            <w:r>
              <w:rPr>
                <w:rFonts w:ascii="Arial" w:cs="Arial" w:eastAsia="Arial" w:hAnsi="Arial"/>
                <w:sz w:val="18"/>
                <w:szCs w:val="18"/>
                <w:color w:val="auto"/>
              </w:rPr>
              <w:t>(273)</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64,309</w:t>
            </w:r>
          </w:p>
        </w:tc>
        <w:tc>
          <w:tcPr>
            <w:tcW w:w="0" w:type="dxa"/>
            <w:vAlign w:val="bottom"/>
          </w:tcPr>
          <w:p>
            <w:pPr>
              <w:spacing w:after="0"/>
              <w:rPr>
                <w:sz w:val="1"/>
                <w:szCs w:val="1"/>
                <w:color w:val="auto"/>
              </w:rPr>
            </w:pPr>
          </w:p>
        </w:tc>
      </w:tr>
      <w:tr>
        <w:trPr>
          <w:trHeight w:val="161"/>
        </w:trPr>
        <w:tc>
          <w:tcPr>
            <w:tcW w:w="398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rPr>
              <w:t>Obligations of U.S. government corporations and</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323,686</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2,122</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325,420</w:t>
            </w:r>
          </w:p>
        </w:tc>
        <w:tc>
          <w:tcPr>
            <w:tcW w:w="0" w:type="dxa"/>
            <w:vAlign w:val="bottom"/>
          </w:tcPr>
          <w:p>
            <w:pPr>
              <w:spacing w:after="0"/>
              <w:rPr>
                <w:sz w:val="1"/>
                <w:szCs w:val="1"/>
                <w:color w:val="auto"/>
              </w:rPr>
            </w:pPr>
          </w:p>
        </w:tc>
      </w:tr>
      <w:tr>
        <w:trPr>
          <w:trHeight w:val="189"/>
        </w:trPr>
        <w:tc>
          <w:tcPr>
            <w:tcW w:w="3980" w:type="dxa"/>
            <w:vAlign w:val="bottom"/>
            <w:gridSpan w:val="2"/>
          </w:tcPr>
          <w:p>
            <w:pPr>
              <w:spacing w:after="0" w:line="189" w:lineRule="exact"/>
              <w:rPr>
                <w:sz w:val="20"/>
                <w:szCs w:val="20"/>
                <w:color w:val="auto"/>
              </w:rPr>
            </w:pPr>
            <w:r>
              <w:rPr>
                <w:rFonts w:ascii="Arial" w:cs="Arial" w:eastAsia="Arial" w:hAnsi="Arial"/>
                <w:sz w:val="18"/>
                <w:szCs w:val="18"/>
                <w:color w:val="auto"/>
              </w:rPr>
              <w:t>Obligations of states and political subdivisions</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34"/>
              <w:spacing w:after="0" w:line="189" w:lineRule="exact"/>
              <w:rPr>
                <w:sz w:val="20"/>
                <w:szCs w:val="20"/>
                <w:color w:val="auto"/>
              </w:rPr>
            </w:pPr>
            <w:r>
              <w:rPr>
                <w:rFonts w:ascii="Arial" w:cs="Arial" w:eastAsia="Arial" w:hAnsi="Arial"/>
                <w:sz w:val="18"/>
                <w:szCs w:val="18"/>
                <w:color w:val="auto"/>
              </w:rPr>
              <w:t>281,473</w:t>
            </w:r>
          </w:p>
        </w:tc>
        <w:tc>
          <w:tcPr>
            <w:tcW w:w="260" w:type="dxa"/>
            <w:vAlign w:val="bottom"/>
          </w:tcPr>
          <w:p>
            <w:pPr>
              <w:spacing w:after="0"/>
              <w:rPr>
                <w:sz w:val="16"/>
                <w:szCs w:val="16"/>
                <w:color w:val="auto"/>
              </w:rPr>
            </w:pPr>
          </w:p>
        </w:tc>
        <w:tc>
          <w:tcPr>
            <w:tcW w:w="940" w:type="dxa"/>
            <w:vAlign w:val="bottom"/>
          </w:tcPr>
          <w:p>
            <w:pPr>
              <w:jc w:val="right"/>
              <w:ind w:right="35"/>
              <w:spacing w:after="0" w:line="189" w:lineRule="exact"/>
              <w:rPr>
                <w:sz w:val="20"/>
                <w:szCs w:val="20"/>
                <w:color w:val="auto"/>
              </w:rPr>
            </w:pPr>
            <w:r>
              <w:rPr>
                <w:rFonts w:ascii="Arial" w:cs="Arial" w:eastAsia="Arial" w:hAnsi="Arial"/>
                <w:sz w:val="18"/>
                <w:szCs w:val="18"/>
                <w:color w:val="auto"/>
              </w:rPr>
              <w:t>2,357</w:t>
            </w:r>
          </w:p>
        </w:tc>
        <w:tc>
          <w:tcPr>
            <w:tcW w:w="260" w:type="dxa"/>
            <w:vAlign w:val="bottom"/>
          </w:tcPr>
          <w:p>
            <w:pPr>
              <w:spacing w:after="0"/>
              <w:rPr>
                <w:sz w:val="16"/>
                <w:szCs w:val="16"/>
                <w:color w:val="auto"/>
              </w:rPr>
            </w:pPr>
          </w:p>
        </w:tc>
        <w:tc>
          <w:tcPr>
            <w:tcW w:w="980" w:type="dxa"/>
            <w:vAlign w:val="bottom"/>
          </w:tcPr>
          <w:p>
            <w:pPr>
              <w:jc w:val="right"/>
              <w:ind w:right="15"/>
              <w:spacing w:after="0" w:line="189" w:lineRule="exact"/>
              <w:rPr>
                <w:sz w:val="20"/>
                <w:szCs w:val="20"/>
                <w:color w:val="auto"/>
              </w:rPr>
            </w:pPr>
            <w:r>
              <w:rPr>
                <w:rFonts w:ascii="Arial" w:cs="Arial" w:eastAsia="Arial" w:hAnsi="Arial"/>
                <w:sz w:val="18"/>
                <w:szCs w:val="18"/>
                <w:color w:val="auto"/>
              </w:rPr>
              <w:t>(352)</w:t>
            </w:r>
          </w:p>
        </w:tc>
        <w:tc>
          <w:tcPr>
            <w:tcW w:w="2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283,478</w:t>
            </w:r>
          </w:p>
        </w:tc>
        <w:tc>
          <w:tcPr>
            <w:tcW w:w="0" w:type="dxa"/>
            <w:vAlign w:val="bottom"/>
          </w:tcPr>
          <w:p>
            <w:pPr>
              <w:spacing w:after="0"/>
              <w:rPr>
                <w:sz w:val="1"/>
                <w:szCs w:val="1"/>
                <w:color w:val="auto"/>
              </w:rPr>
            </w:pPr>
          </w:p>
        </w:tc>
      </w:tr>
      <w:tr>
        <w:trPr>
          <w:trHeight w:val="189"/>
        </w:trPr>
        <w:tc>
          <w:tcPr>
            <w:tcW w:w="3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Commercial mortgage-backed securities</w:t>
            </w: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4"/>
              <w:spacing w:after="0" w:line="189" w:lineRule="exact"/>
              <w:rPr>
                <w:sz w:val="20"/>
                <w:szCs w:val="20"/>
                <w:color w:val="auto"/>
              </w:rPr>
            </w:pPr>
            <w:r>
              <w:rPr>
                <w:rFonts w:ascii="Arial" w:cs="Arial" w:eastAsia="Arial" w:hAnsi="Arial"/>
                <w:sz w:val="18"/>
                <w:szCs w:val="18"/>
                <w:color w:val="auto"/>
              </w:rPr>
              <w:t>55,926</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8"/>
                <w:szCs w:val="18"/>
                <w:color w:val="auto"/>
              </w:rPr>
              <w:t>(393)</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55,562</w:t>
            </w:r>
          </w:p>
        </w:tc>
        <w:tc>
          <w:tcPr>
            <w:tcW w:w="0" w:type="dxa"/>
            <w:vAlign w:val="bottom"/>
          </w:tcPr>
          <w:p>
            <w:pPr>
              <w:spacing w:after="0"/>
              <w:rPr>
                <w:sz w:val="1"/>
                <w:szCs w:val="1"/>
                <w:color w:val="auto"/>
              </w:rPr>
            </w:pPr>
          </w:p>
        </w:tc>
      </w:tr>
      <w:tr>
        <w:trPr>
          <w:trHeight w:val="189"/>
        </w:trPr>
        <w:tc>
          <w:tcPr>
            <w:tcW w:w="3980" w:type="dxa"/>
            <w:vAlign w:val="bottom"/>
            <w:gridSpan w:val="2"/>
          </w:tcPr>
          <w:p>
            <w:pPr>
              <w:spacing w:after="0" w:line="189" w:lineRule="exact"/>
              <w:rPr>
                <w:sz w:val="20"/>
                <w:szCs w:val="20"/>
                <w:color w:val="auto"/>
              </w:rPr>
            </w:pPr>
            <w:r>
              <w:rPr>
                <w:rFonts w:ascii="Arial" w:cs="Arial" w:eastAsia="Arial" w:hAnsi="Arial"/>
                <w:sz w:val="18"/>
                <w:szCs w:val="18"/>
                <w:color w:val="auto"/>
              </w:rPr>
              <w:t>Residential mortgage-backed securities</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34"/>
              <w:spacing w:after="0" w:line="189" w:lineRule="exact"/>
              <w:rPr>
                <w:sz w:val="20"/>
                <w:szCs w:val="20"/>
                <w:color w:val="auto"/>
              </w:rPr>
            </w:pPr>
            <w:r>
              <w:rPr>
                <w:rFonts w:ascii="Arial" w:cs="Arial" w:eastAsia="Arial" w:hAnsi="Arial"/>
                <w:sz w:val="18"/>
                <w:szCs w:val="18"/>
                <w:color w:val="auto"/>
              </w:rPr>
              <w:t>1,051,556</w:t>
            </w:r>
          </w:p>
        </w:tc>
        <w:tc>
          <w:tcPr>
            <w:tcW w:w="260" w:type="dxa"/>
            <w:vAlign w:val="bottom"/>
          </w:tcPr>
          <w:p>
            <w:pPr>
              <w:spacing w:after="0"/>
              <w:rPr>
                <w:sz w:val="16"/>
                <w:szCs w:val="16"/>
                <w:color w:val="auto"/>
              </w:rPr>
            </w:pPr>
          </w:p>
        </w:tc>
        <w:tc>
          <w:tcPr>
            <w:tcW w:w="940" w:type="dxa"/>
            <w:vAlign w:val="bottom"/>
          </w:tcPr>
          <w:p>
            <w:pPr>
              <w:jc w:val="right"/>
              <w:ind w:right="35"/>
              <w:spacing w:after="0" w:line="189" w:lineRule="exact"/>
              <w:rPr>
                <w:sz w:val="20"/>
                <w:szCs w:val="20"/>
                <w:color w:val="auto"/>
              </w:rPr>
            </w:pPr>
            <w:r>
              <w:rPr>
                <w:rFonts w:ascii="Arial" w:cs="Arial" w:eastAsia="Arial" w:hAnsi="Arial"/>
                <w:sz w:val="18"/>
                <w:szCs w:val="18"/>
                <w:color w:val="auto"/>
              </w:rPr>
              <w:t>4,512</w:t>
            </w:r>
          </w:p>
        </w:tc>
        <w:tc>
          <w:tcPr>
            <w:tcW w:w="260" w:type="dxa"/>
            <w:vAlign w:val="bottom"/>
          </w:tcPr>
          <w:p>
            <w:pPr>
              <w:spacing w:after="0"/>
              <w:rPr>
                <w:sz w:val="16"/>
                <w:szCs w:val="16"/>
                <w:color w:val="auto"/>
              </w:rPr>
            </w:pPr>
          </w:p>
        </w:tc>
        <w:tc>
          <w:tcPr>
            <w:tcW w:w="980" w:type="dxa"/>
            <w:vAlign w:val="bottom"/>
          </w:tcPr>
          <w:p>
            <w:pPr>
              <w:jc w:val="right"/>
              <w:ind w:right="15"/>
              <w:spacing w:after="0" w:line="189" w:lineRule="exact"/>
              <w:rPr>
                <w:sz w:val="20"/>
                <w:szCs w:val="20"/>
                <w:color w:val="auto"/>
              </w:rPr>
            </w:pPr>
            <w:r>
              <w:rPr>
                <w:rFonts w:ascii="Arial" w:cs="Arial" w:eastAsia="Arial" w:hAnsi="Arial"/>
                <w:sz w:val="18"/>
                <w:szCs w:val="18"/>
                <w:color w:val="auto"/>
              </w:rPr>
              <w:t>(6,307)</w:t>
            </w:r>
          </w:p>
        </w:tc>
        <w:tc>
          <w:tcPr>
            <w:tcW w:w="2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w w:val="99"/>
              </w:rPr>
              <w:t>1,049,761</w:t>
            </w:r>
          </w:p>
        </w:tc>
        <w:tc>
          <w:tcPr>
            <w:tcW w:w="0" w:type="dxa"/>
            <w:vAlign w:val="bottom"/>
          </w:tcPr>
          <w:p>
            <w:pPr>
              <w:spacing w:after="0"/>
              <w:rPr>
                <w:sz w:val="1"/>
                <w:szCs w:val="1"/>
                <w:color w:val="auto"/>
              </w:rPr>
            </w:pPr>
          </w:p>
        </w:tc>
      </w:tr>
      <w:tr>
        <w:trPr>
          <w:trHeight w:val="189"/>
        </w:trPr>
        <w:tc>
          <w:tcPr>
            <w:tcW w:w="3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Corporate debt securities</w:t>
            </w:r>
          </w:p>
        </w:tc>
        <w:tc>
          <w:tcPr>
            <w:tcW w:w="4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34"/>
              <w:spacing w:after="0" w:line="189" w:lineRule="exact"/>
              <w:rPr>
                <w:sz w:val="20"/>
                <w:szCs w:val="20"/>
                <w:color w:val="auto"/>
              </w:rPr>
            </w:pPr>
            <w:r>
              <w:rPr>
                <w:rFonts w:ascii="Arial" w:cs="Arial" w:eastAsia="Arial" w:hAnsi="Arial"/>
                <w:sz w:val="18"/>
                <w:szCs w:val="18"/>
                <w:color w:val="auto"/>
              </w:rPr>
              <w:t>138,913</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8"/>
                <w:szCs w:val="18"/>
                <w:color w:val="auto"/>
              </w:rPr>
              <w:t>933</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8"/>
                <w:szCs w:val="18"/>
                <w:color w:val="auto"/>
              </w:rPr>
              <w:t>(81)</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139,765</w:t>
            </w: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4"/>
              <w:spacing w:after="0" w:line="182" w:lineRule="exact"/>
              <w:rPr>
                <w:sz w:val="20"/>
                <w:szCs w:val="20"/>
                <w:color w:val="auto"/>
              </w:rPr>
            </w:pPr>
            <w:r>
              <w:rPr>
                <w:rFonts w:ascii="Arial" w:cs="Arial" w:eastAsia="Arial" w:hAnsi="Arial"/>
                <w:sz w:val="18"/>
                <w:szCs w:val="18"/>
                <w:color w:val="auto"/>
              </w:rPr>
              <w:t>1,916,060</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5"/>
              <w:spacing w:after="0" w:line="182" w:lineRule="exact"/>
              <w:rPr>
                <w:sz w:val="20"/>
                <w:szCs w:val="20"/>
                <w:color w:val="auto"/>
              </w:rPr>
            </w:pPr>
            <w:r>
              <w:rPr>
                <w:rFonts w:ascii="Arial" w:cs="Arial" w:eastAsia="Arial" w:hAnsi="Arial"/>
                <w:sz w:val="18"/>
                <w:szCs w:val="18"/>
                <w:color w:val="auto"/>
              </w:rPr>
              <w:t>10,029</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
              <w:spacing w:after="0" w:line="182" w:lineRule="exact"/>
              <w:rPr>
                <w:sz w:val="20"/>
                <w:szCs w:val="20"/>
                <w:color w:val="auto"/>
              </w:rPr>
            </w:pPr>
            <w:r>
              <w:rPr>
                <w:rFonts w:ascii="Arial" w:cs="Arial" w:eastAsia="Arial" w:hAnsi="Arial"/>
                <w:sz w:val="18"/>
                <w:szCs w:val="18"/>
                <w:color w:val="auto"/>
              </w:rPr>
              <w:t>(7,794)</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1,918,295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8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Held to maturity</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Obligations of states and political subdivisions</w:t>
            </w: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4"/>
              <w:spacing w:after="0" w:line="189" w:lineRule="exact"/>
              <w:rPr>
                <w:sz w:val="20"/>
                <w:szCs w:val="20"/>
                <w:color w:val="auto"/>
              </w:rPr>
            </w:pPr>
            <w:r>
              <w:rPr>
                <w:rFonts w:ascii="Arial" w:cs="Arial" w:eastAsia="Arial" w:hAnsi="Arial"/>
                <w:sz w:val="18"/>
                <w:szCs w:val="18"/>
                <w:color w:val="auto"/>
              </w:rPr>
              <w:t>15,846</w:t>
            </w:r>
          </w:p>
        </w:tc>
        <w:tc>
          <w:tcPr>
            <w:tcW w:w="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8"/>
                <w:szCs w:val="18"/>
                <w:color w:val="auto"/>
              </w:rPr>
              <w:t>132</w:t>
            </w:r>
          </w:p>
        </w:tc>
        <w:tc>
          <w:tcPr>
            <w:tcW w:w="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15,975</w:t>
            </w:r>
          </w:p>
        </w:tc>
        <w:tc>
          <w:tcPr>
            <w:tcW w:w="0" w:type="dxa"/>
            <w:vAlign w:val="bottom"/>
          </w:tcPr>
          <w:p>
            <w:pPr>
              <w:spacing w:after="0"/>
              <w:rPr>
                <w:sz w:val="1"/>
                <w:szCs w:val="1"/>
                <w:color w:val="auto"/>
              </w:rPr>
            </w:pPr>
          </w:p>
        </w:tc>
      </w:tr>
      <w:tr>
        <w:trPr>
          <w:trHeight w:val="810"/>
        </w:trPr>
        <w:tc>
          <w:tcPr>
            <w:tcW w:w="1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520" w:type="dxa"/>
            <w:vAlign w:val="bottom"/>
            <w:gridSpan w:val="3"/>
          </w:tcPr>
          <w:p>
            <w:pPr>
              <w:jc w:val="right"/>
              <w:ind w:right="794"/>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0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960" w:type="dxa"/>
            <w:vAlign w:val="bottom"/>
          </w:tcPr>
          <w:p>
            <w:pPr>
              <w:jc w:val="center"/>
              <w:ind w:right="114"/>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980" w:type="dxa"/>
            <w:vAlign w:val="bottom"/>
          </w:tcPr>
          <w:p>
            <w:pPr>
              <w:jc w:val="center"/>
              <w:ind w:right="134"/>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December 31, 2018:</w:t>
            </w:r>
          </w:p>
        </w:tc>
        <w:tc>
          <w:tcPr>
            <w:tcW w:w="31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98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53"/>
              <w:spacing w:after="0" w:line="158" w:lineRule="exact"/>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960" w:type="dxa"/>
            <w:vAlign w:val="bottom"/>
          </w:tcPr>
          <w:p>
            <w:pPr>
              <w:jc w:val="center"/>
              <w:ind w:right="114"/>
              <w:spacing w:after="0" w:line="158"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5"/>
                <w:szCs w:val="15"/>
                <w:color w:val="auto"/>
              </w:rPr>
            </w:pPr>
          </w:p>
        </w:tc>
        <w:tc>
          <w:tcPr>
            <w:tcW w:w="980" w:type="dxa"/>
            <w:vAlign w:val="bottom"/>
          </w:tcPr>
          <w:p>
            <w:pPr>
              <w:jc w:val="center"/>
              <w:ind w:right="134"/>
              <w:spacing w:after="0" w:line="158" w:lineRule="exact"/>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5"/>
                <w:szCs w:val="15"/>
                <w:color w:val="auto"/>
              </w:rPr>
            </w:pPr>
          </w:p>
        </w:tc>
        <w:tc>
          <w:tcPr>
            <w:tcW w:w="840" w:type="dxa"/>
            <w:vAlign w:val="bottom"/>
          </w:tcPr>
          <w:p>
            <w:pPr>
              <w:jc w:val="right"/>
              <w:ind w:right="273"/>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6"/>
        </w:trPr>
        <w:tc>
          <w:tcPr>
            <w:tcW w:w="44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Available for sale</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spacing w:after="0" w:line="189" w:lineRule="exact"/>
              <w:rPr>
                <w:sz w:val="20"/>
                <w:szCs w:val="20"/>
                <w:color w:val="auto"/>
              </w:rPr>
            </w:pPr>
            <w:r>
              <w:rPr>
                <w:rFonts w:ascii="Arial" w:cs="Arial" w:eastAsia="Arial" w:hAnsi="Arial"/>
                <w:sz w:val="18"/>
                <w:szCs w:val="18"/>
                <w:color w:val="auto"/>
              </w:rPr>
              <w:t>U.S. Treasury securities</w:t>
            </w:r>
          </w:p>
        </w:tc>
        <w:tc>
          <w:tcPr>
            <w:tcW w:w="14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
              <w:spacing w:after="0" w:line="189" w:lineRule="exact"/>
              <w:rPr>
                <w:sz w:val="20"/>
                <w:szCs w:val="20"/>
                <w:color w:val="auto"/>
              </w:rPr>
            </w:pPr>
            <w:r>
              <w:rPr>
                <w:rFonts w:ascii="Arial" w:cs="Arial" w:eastAsia="Arial" w:hAnsi="Arial"/>
                <w:sz w:val="18"/>
                <w:szCs w:val="18"/>
                <w:color w:val="auto"/>
              </w:rPr>
              <w:t>25,824</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line="189" w:lineRule="exact"/>
              <w:rPr>
                <w:sz w:val="20"/>
                <w:szCs w:val="20"/>
                <w:color w:val="auto"/>
              </w:rPr>
            </w:pPr>
            <w:r>
              <w:rPr>
                <w:rFonts w:ascii="Arial" w:cs="Arial" w:eastAsia="Arial" w:hAnsi="Arial"/>
                <w:sz w:val="18"/>
                <w:szCs w:val="18"/>
                <w:color w:val="auto"/>
              </w:rPr>
              <w:t>1</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(414)</w:t>
            </w:r>
          </w:p>
        </w:tc>
        <w:tc>
          <w:tcPr>
            <w:tcW w:w="300" w:type="dxa"/>
            <w:vAlign w:val="bottom"/>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3"/>
              </w:rPr>
              <w:t>Obligations of U.S. government corporations and agencies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
              <w:spacing w:after="0" w:line="189" w:lineRule="exact"/>
              <w:rPr>
                <w:sz w:val="20"/>
                <w:szCs w:val="20"/>
                <w:color w:val="auto"/>
              </w:rPr>
            </w:pPr>
            <w:r>
              <w:rPr>
                <w:rFonts w:ascii="Arial" w:cs="Arial" w:eastAsia="Arial" w:hAnsi="Arial"/>
                <w:sz w:val="18"/>
                <w:szCs w:val="18"/>
                <w:color w:val="auto"/>
              </w:rPr>
              <w:t>53,096</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
              <w:spacing w:after="0" w:line="189" w:lineRule="exact"/>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(761)</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52,342</w:t>
            </w:r>
          </w:p>
        </w:tc>
        <w:tc>
          <w:tcPr>
            <w:tcW w:w="0" w:type="dxa"/>
            <w:vAlign w:val="bottom"/>
          </w:tcPr>
          <w:p>
            <w:pPr>
              <w:spacing w:after="0"/>
              <w:rPr>
                <w:sz w:val="1"/>
                <w:szCs w:val="1"/>
                <w:color w:val="auto"/>
              </w:rPr>
            </w:pPr>
          </w:p>
        </w:tc>
      </w:tr>
      <w:tr>
        <w:trPr>
          <w:trHeight w:val="189"/>
        </w:trPr>
        <w:tc>
          <w:tcPr>
            <w:tcW w:w="4400" w:type="dxa"/>
            <w:vAlign w:val="bottom"/>
            <w:gridSpan w:val="2"/>
          </w:tcPr>
          <w:p>
            <w:pPr>
              <w:spacing w:after="0" w:line="189" w:lineRule="exact"/>
              <w:rPr>
                <w:sz w:val="20"/>
                <w:szCs w:val="20"/>
                <w:color w:val="auto"/>
              </w:rPr>
            </w:pPr>
            <w:r>
              <w:rPr>
                <w:rFonts w:ascii="Arial" w:cs="Arial" w:eastAsia="Arial" w:hAnsi="Arial"/>
                <w:sz w:val="18"/>
                <w:szCs w:val="18"/>
                <w:color w:val="auto"/>
              </w:rPr>
              <w:t>Obligations of states and political subdivisions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3"/>
              <w:spacing w:after="0" w:line="189" w:lineRule="exact"/>
              <w:rPr>
                <w:sz w:val="20"/>
                <w:szCs w:val="20"/>
                <w:color w:val="auto"/>
              </w:rPr>
            </w:pPr>
            <w:r>
              <w:rPr>
                <w:rFonts w:ascii="Arial" w:cs="Arial" w:eastAsia="Arial" w:hAnsi="Arial"/>
                <w:sz w:val="18"/>
                <w:szCs w:val="18"/>
                <w:color w:val="auto"/>
              </w:rPr>
              <w:t>171,131</w:t>
            </w:r>
          </w:p>
        </w:tc>
        <w:tc>
          <w:tcPr>
            <w:tcW w:w="240" w:type="dxa"/>
            <w:vAlign w:val="bottom"/>
          </w:tcPr>
          <w:p>
            <w:pPr>
              <w:spacing w:after="0"/>
              <w:rPr>
                <w:sz w:val="16"/>
                <w:szCs w:val="16"/>
                <w:color w:val="auto"/>
              </w:rPr>
            </w:pPr>
          </w:p>
        </w:tc>
        <w:tc>
          <w:tcPr>
            <w:tcW w:w="960" w:type="dxa"/>
            <w:vAlign w:val="bottom"/>
          </w:tcPr>
          <w:p>
            <w:pPr>
              <w:jc w:val="right"/>
              <w:ind w:right="14"/>
              <w:spacing w:after="0" w:line="189" w:lineRule="exact"/>
              <w:rPr>
                <w:sz w:val="20"/>
                <w:szCs w:val="20"/>
                <w:color w:val="auto"/>
              </w:rPr>
            </w:pPr>
            <w:r>
              <w:rPr>
                <w:rFonts w:ascii="Arial" w:cs="Arial" w:eastAsia="Arial" w:hAnsi="Arial"/>
                <w:sz w:val="18"/>
                <w:szCs w:val="18"/>
                <w:color w:val="auto"/>
              </w:rPr>
              <w:t>484</w:t>
            </w:r>
          </w:p>
        </w:tc>
        <w:tc>
          <w:tcPr>
            <w:tcW w:w="2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(1,571)</w:t>
            </w: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170,044</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Commercial mortgage-backed securities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
              <w:spacing w:after="0" w:line="189" w:lineRule="exact"/>
              <w:rPr>
                <w:sz w:val="20"/>
                <w:szCs w:val="20"/>
                <w:color w:val="auto"/>
              </w:rPr>
            </w:pPr>
            <w:r>
              <w:rPr>
                <w:rFonts w:ascii="Arial" w:cs="Arial" w:eastAsia="Arial" w:hAnsi="Arial"/>
                <w:sz w:val="18"/>
                <w:szCs w:val="18"/>
                <w:color w:val="auto"/>
              </w:rPr>
              <w:t>2,003</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189"/>
        </w:trPr>
        <w:tc>
          <w:tcPr>
            <w:tcW w:w="4400" w:type="dxa"/>
            <w:vAlign w:val="bottom"/>
            <w:gridSpan w:val="2"/>
          </w:tcPr>
          <w:p>
            <w:pPr>
              <w:spacing w:after="0" w:line="189" w:lineRule="exact"/>
              <w:rPr>
                <w:sz w:val="20"/>
                <w:szCs w:val="20"/>
                <w:color w:val="auto"/>
              </w:rPr>
            </w:pPr>
            <w:r>
              <w:rPr>
                <w:rFonts w:ascii="Arial" w:cs="Arial" w:eastAsia="Arial" w:hAnsi="Arial"/>
                <w:sz w:val="18"/>
                <w:szCs w:val="18"/>
                <w:color w:val="auto"/>
              </w:rPr>
              <w:t>Residential mortgage-backed 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3"/>
              <w:spacing w:after="0" w:line="189" w:lineRule="exact"/>
              <w:rPr>
                <w:sz w:val="20"/>
                <w:szCs w:val="20"/>
                <w:color w:val="auto"/>
              </w:rPr>
            </w:pPr>
            <w:r>
              <w:rPr>
                <w:rFonts w:ascii="Arial" w:cs="Arial" w:eastAsia="Arial" w:hAnsi="Arial"/>
                <w:sz w:val="18"/>
                <w:szCs w:val="18"/>
                <w:color w:val="auto"/>
              </w:rPr>
              <w:t>322,646</w:t>
            </w:r>
          </w:p>
        </w:tc>
        <w:tc>
          <w:tcPr>
            <w:tcW w:w="240" w:type="dxa"/>
            <w:vAlign w:val="bottom"/>
          </w:tcPr>
          <w:p>
            <w:pPr>
              <w:spacing w:after="0"/>
              <w:rPr>
                <w:sz w:val="16"/>
                <w:szCs w:val="16"/>
                <w:color w:val="auto"/>
              </w:rPr>
            </w:pPr>
          </w:p>
        </w:tc>
        <w:tc>
          <w:tcPr>
            <w:tcW w:w="960" w:type="dxa"/>
            <w:vAlign w:val="bottom"/>
          </w:tcPr>
          <w:p>
            <w:pPr>
              <w:jc w:val="right"/>
              <w:ind w:right="14"/>
              <w:spacing w:after="0" w:line="189" w:lineRule="exact"/>
              <w:rPr>
                <w:sz w:val="20"/>
                <w:szCs w:val="20"/>
                <w:color w:val="auto"/>
              </w:rPr>
            </w:pPr>
            <w:r>
              <w:rPr>
                <w:rFonts w:ascii="Arial" w:cs="Arial" w:eastAsia="Arial" w:hAnsi="Arial"/>
                <w:sz w:val="18"/>
                <w:szCs w:val="18"/>
                <w:color w:val="auto"/>
              </w:rPr>
              <w:t>245</w:t>
            </w:r>
          </w:p>
        </w:tc>
        <w:tc>
          <w:tcPr>
            <w:tcW w:w="2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(7,143)</w:t>
            </w: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315,748</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3"/>
              <w:spacing w:after="0" w:line="189" w:lineRule="exact"/>
              <w:rPr>
                <w:sz w:val="20"/>
                <w:szCs w:val="20"/>
                <w:color w:val="auto"/>
              </w:rPr>
            </w:pPr>
            <w:r>
              <w:rPr>
                <w:rFonts w:ascii="Arial" w:cs="Arial" w:eastAsia="Arial" w:hAnsi="Arial"/>
                <w:sz w:val="18"/>
                <w:szCs w:val="18"/>
                <w:color w:val="auto"/>
              </w:rPr>
              <w:t>132,513</w:t>
            </w: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4"/>
              <w:spacing w:after="0" w:line="189" w:lineRule="exact"/>
              <w:rPr>
                <w:sz w:val="20"/>
                <w:szCs w:val="20"/>
                <w:color w:val="auto"/>
              </w:rPr>
            </w:pPr>
            <w:r>
              <w:rPr>
                <w:rFonts w:ascii="Arial" w:cs="Arial" w:eastAsia="Arial" w:hAnsi="Arial"/>
                <w:sz w:val="18"/>
                <w:szCs w:val="18"/>
                <w:color w:val="auto"/>
              </w:rPr>
              <w:t>61</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(376)</w:t>
            </w: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132,198</w:t>
            </w: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3"/>
              <w:spacing w:after="0" w:line="182" w:lineRule="exact"/>
              <w:rPr>
                <w:sz w:val="20"/>
                <w:szCs w:val="20"/>
                <w:color w:val="auto"/>
              </w:rPr>
            </w:pPr>
            <w:r>
              <w:rPr>
                <w:rFonts w:ascii="Arial" w:cs="Arial" w:eastAsia="Arial" w:hAnsi="Arial"/>
                <w:sz w:val="18"/>
                <w:szCs w:val="18"/>
                <w:color w:val="auto"/>
              </w:rPr>
              <w:t>707,213</w:t>
            </w: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line="182" w:lineRule="exact"/>
              <w:rPr>
                <w:sz w:val="20"/>
                <w:szCs w:val="20"/>
                <w:color w:val="auto"/>
              </w:rPr>
            </w:pPr>
            <w:r>
              <w:rPr>
                <w:rFonts w:ascii="Arial" w:cs="Arial" w:eastAsia="Arial" w:hAnsi="Arial"/>
                <w:sz w:val="18"/>
                <w:szCs w:val="18"/>
                <w:color w:val="auto"/>
              </w:rPr>
              <w:t>798</w:t>
            </w: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(10,326)</w:t>
            </w:r>
          </w:p>
        </w:tc>
        <w:tc>
          <w:tcPr>
            <w:tcW w:w="30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697,685</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Held to maturity</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Obligations of states and political subdivisions</w:t>
            </w:r>
          </w:p>
        </w:tc>
        <w:tc>
          <w:tcPr>
            <w:tcW w:w="1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
              <w:spacing w:after="0" w:line="189" w:lineRule="exact"/>
              <w:rPr>
                <w:sz w:val="20"/>
                <w:szCs w:val="20"/>
                <w:color w:val="auto"/>
              </w:rPr>
            </w:pPr>
            <w:r>
              <w:rPr>
                <w:rFonts w:ascii="Arial" w:cs="Arial" w:eastAsia="Arial" w:hAnsi="Arial"/>
                <w:sz w:val="18"/>
                <w:szCs w:val="18"/>
                <w:color w:val="auto"/>
              </w:rPr>
              <w:t>33,947</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line="189" w:lineRule="exact"/>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33,928</w:t>
            </w:r>
          </w:p>
        </w:tc>
        <w:tc>
          <w:tcPr>
            <w:tcW w:w="0" w:type="dxa"/>
            <w:vAlign w:val="bottom"/>
          </w:tcPr>
          <w:p>
            <w:pPr>
              <w:spacing w:after="0"/>
              <w:rPr>
                <w:sz w:val="1"/>
                <w:szCs w:val="1"/>
                <w:color w:val="auto"/>
              </w:rPr>
            </w:pPr>
          </w:p>
        </w:tc>
      </w:tr>
      <w:tr>
        <w:trPr>
          <w:trHeight w:val="189"/>
        </w:trPr>
        <w:tc>
          <w:tcPr>
            <w:tcW w:w="4400" w:type="dxa"/>
            <w:vAlign w:val="bottom"/>
            <w:gridSpan w:val="2"/>
          </w:tcPr>
          <w:p>
            <w:pPr>
              <w:spacing w:after="0" w:line="189" w:lineRule="exact"/>
              <w:rPr>
                <w:sz w:val="20"/>
                <w:szCs w:val="20"/>
                <w:color w:val="auto"/>
              </w:rPr>
            </w:pPr>
            <w:r>
              <w:rPr>
                <w:rFonts w:ascii="Arial" w:cs="Arial" w:eastAsia="Arial" w:hAnsi="Arial"/>
                <w:sz w:val="18"/>
                <w:szCs w:val="18"/>
                <w:color w:val="auto"/>
              </w:rPr>
              <w:t>Commercial mortgage-backed 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3"/>
              <w:spacing w:after="0" w:line="189" w:lineRule="exact"/>
              <w:rPr>
                <w:sz w:val="20"/>
                <w:szCs w:val="20"/>
                <w:color w:val="auto"/>
              </w:rPr>
            </w:pPr>
            <w:r>
              <w:rPr>
                <w:rFonts w:ascii="Arial" w:cs="Arial" w:eastAsia="Arial" w:hAnsi="Arial"/>
                <w:sz w:val="18"/>
                <w:szCs w:val="18"/>
                <w:color w:val="auto"/>
              </w:rPr>
              <w:t>59,054</w:t>
            </w:r>
          </w:p>
        </w:tc>
        <w:tc>
          <w:tcPr>
            <w:tcW w:w="240" w:type="dxa"/>
            <w:vAlign w:val="bottom"/>
          </w:tcPr>
          <w:p>
            <w:pPr>
              <w:spacing w:after="0"/>
              <w:rPr>
                <w:sz w:val="16"/>
                <w:szCs w:val="16"/>
                <w:color w:val="auto"/>
              </w:rPr>
            </w:pPr>
          </w:p>
        </w:tc>
        <w:tc>
          <w:tcPr>
            <w:tcW w:w="960" w:type="dxa"/>
            <w:vAlign w:val="bottom"/>
          </w:tcPr>
          <w:p>
            <w:pPr>
              <w:jc w:val="right"/>
              <w:ind w:right="14"/>
              <w:spacing w:after="0" w:line="189"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(1,003)</w:t>
            </w: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58,062</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Residential mortgage-backed securities</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3"/>
              <w:spacing w:after="0" w:line="189" w:lineRule="exact"/>
              <w:rPr>
                <w:sz w:val="20"/>
                <w:szCs w:val="20"/>
                <w:color w:val="auto"/>
              </w:rPr>
            </w:pPr>
            <w:r>
              <w:rPr>
                <w:rFonts w:ascii="Arial" w:cs="Arial" w:eastAsia="Arial" w:hAnsi="Arial"/>
                <w:sz w:val="18"/>
                <w:szCs w:val="18"/>
                <w:color w:val="auto"/>
              </w:rPr>
              <w:t>515,659</w:t>
            </w: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4"/>
              <w:spacing w:after="0" w:line="189" w:lineRule="exact"/>
              <w:rPr>
                <w:sz w:val="20"/>
                <w:szCs w:val="20"/>
                <w:color w:val="auto"/>
              </w:rPr>
            </w:pPr>
            <w:r>
              <w:rPr>
                <w:rFonts w:ascii="Arial" w:cs="Arial" w:eastAsia="Arial" w:hAnsi="Arial"/>
                <w:sz w:val="18"/>
                <w:szCs w:val="18"/>
                <w:color w:val="auto"/>
              </w:rPr>
              <w:t>1,748</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(6,037)</w:t>
            </w: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511,370</w:t>
            </w:r>
          </w:p>
        </w:tc>
        <w:tc>
          <w:tcPr>
            <w:tcW w:w="0" w:type="dxa"/>
            <w:vAlign w:val="bottom"/>
          </w:tcPr>
          <w:p>
            <w:pPr>
              <w:spacing w:after="0"/>
              <w:rPr>
                <w:sz w:val="1"/>
                <w:szCs w:val="1"/>
                <w:color w:val="auto"/>
              </w:rPr>
            </w:pPr>
          </w:p>
        </w:tc>
      </w:tr>
      <w:tr>
        <w:trPr>
          <w:trHeight w:val="190"/>
        </w:trPr>
        <w:tc>
          <w:tcPr>
            <w:tcW w:w="4400" w:type="dxa"/>
            <w:vAlign w:val="bottom"/>
            <w:gridSpan w:val="2"/>
          </w:tcPr>
          <w:p>
            <w:pPr>
              <w:spacing w:after="0" w:line="182"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3"/>
              <w:spacing w:after="0" w:line="182" w:lineRule="exact"/>
              <w:rPr>
                <w:sz w:val="20"/>
                <w:szCs w:val="20"/>
                <w:color w:val="auto"/>
              </w:rPr>
            </w:pPr>
            <w:r>
              <w:rPr>
                <w:rFonts w:ascii="Arial" w:cs="Arial" w:eastAsia="Arial" w:hAnsi="Arial"/>
                <w:sz w:val="18"/>
                <w:szCs w:val="18"/>
                <w:color w:val="auto"/>
              </w:rPr>
              <w:t>608,660</w:t>
            </w: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line="182" w:lineRule="exact"/>
              <w:rPr>
                <w:sz w:val="20"/>
                <w:szCs w:val="20"/>
                <w:color w:val="auto"/>
              </w:rPr>
            </w:pPr>
            <w:r>
              <w:rPr>
                <w:rFonts w:ascii="Arial" w:cs="Arial" w:eastAsia="Arial" w:hAnsi="Arial"/>
                <w:sz w:val="18"/>
                <w:szCs w:val="18"/>
                <w:color w:val="auto"/>
              </w:rPr>
              <w:t>1,827</w:t>
            </w: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(7,127)</w:t>
            </w:r>
          </w:p>
        </w:tc>
        <w:tc>
          <w:tcPr>
            <w:tcW w:w="30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603,360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 xml:space="preserve">In adopting </w:t>
      </w:r>
      <w:r>
        <w:rPr>
          <w:rFonts w:ascii="Arial" w:cs="Arial" w:eastAsia="Arial" w:hAnsi="Arial"/>
          <w:sz w:val="18"/>
          <w:szCs w:val="18"/>
          <w:i w:val="1"/>
          <w:iCs w:val="1"/>
          <w:color w:val="auto"/>
        </w:rPr>
        <w:t>ASU 2017-12</w:t>
      </w:r>
      <w:r>
        <w:rPr>
          <w:rFonts w:ascii="Arial" w:cs="Arial" w:eastAsia="Arial" w:hAnsi="Arial"/>
          <w:sz w:val="18"/>
          <w:szCs w:val="18"/>
          <w:color w:val="auto"/>
        </w:rPr>
        <w:t>, the Company reassessed classification of certain investments during the first quarter of 2019 and transferred $573.6 million of securities from held to maturity to available for sale. The transfer occurred at fair value and had a related unrealized loss of $4.8 million recorded in other comprehensive income.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debt securities, by contractual maturity or pre-refunded date, are shown</w:t>
      </w:r>
    </w:p>
    <w:p>
      <w:pPr>
        <w:jc w:val="both"/>
        <w:ind w:right="140"/>
        <w:spacing w:after="0" w:line="210" w:lineRule="auto"/>
        <w:rPr>
          <w:sz w:val="20"/>
          <w:szCs w:val="20"/>
          <w:color w:val="auto"/>
        </w:rPr>
      </w:pPr>
      <w:r>
        <w:rPr>
          <w:rFonts w:ascii="Arial" w:cs="Arial" w:eastAsia="Arial" w:hAnsi="Arial"/>
          <w:sz w:val="18"/>
          <w:szCs w:val="18"/>
          <w:color w:val="auto"/>
        </w:rPr>
        <w:t xml:space="preserve">below. Mortgages underlying mortgage-backed securities may be called or prepaid; therefore, actual maturities could differ from the contractual maturities. All mortgage-backed securities were issued by U.S. government agencies and corporations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740"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right"/>
              <w:ind w:right="596"/>
              <w:spacing w:after="0" w:line="157" w:lineRule="exact"/>
              <w:rPr>
                <w:sz w:val="20"/>
                <w:szCs w:val="20"/>
                <w:color w:val="auto"/>
              </w:rPr>
            </w:pPr>
            <w:r>
              <w:rPr>
                <w:rFonts w:ascii="Arial" w:cs="Arial" w:eastAsia="Arial" w:hAnsi="Arial"/>
                <w:sz w:val="14"/>
                <w:szCs w:val="14"/>
                <w:b w:val="1"/>
                <w:bCs w:val="1"/>
                <w:color w:val="auto"/>
              </w:rPr>
              <w:t>Available for sale</w:t>
            </w:r>
          </w:p>
        </w:tc>
        <w:tc>
          <w:tcPr>
            <w:tcW w:w="2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456"/>
              <w:spacing w:after="0" w:line="157" w:lineRule="exact"/>
              <w:rPr>
                <w:sz w:val="20"/>
                <w:szCs w:val="20"/>
                <w:color w:val="auto"/>
              </w:rPr>
            </w:pPr>
            <w:r>
              <w:rPr>
                <w:rFonts w:ascii="Arial" w:cs="Arial" w:eastAsia="Arial" w:hAnsi="Arial"/>
                <w:sz w:val="14"/>
                <w:szCs w:val="14"/>
                <w:b w:val="1"/>
                <w:bCs w:val="1"/>
                <w:color w:val="auto"/>
              </w:rPr>
              <w:t>Held to maturity</w:t>
            </w:r>
          </w:p>
        </w:tc>
        <w:tc>
          <w:tcPr>
            <w:tcW w:w="0" w:type="dxa"/>
            <w:vAlign w:val="bottom"/>
          </w:tcPr>
          <w:p>
            <w:pPr>
              <w:spacing w:after="0"/>
              <w:rPr>
                <w:sz w:val="1"/>
                <w:szCs w:val="1"/>
                <w:color w:val="auto"/>
              </w:rPr>
            </w:pPr>
          </w:p>
        </w:tc>
      </w:tr>
      <w:tr>
        <w:trPr>
          <w:trHeight w:val="11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177"/>
              <w:spacing w:after="0" w:line="119" w:lineRule="exact"/>
              <w:rPr>
                <w:sz w:val="20"/>
                <w:szCs w:val="20"/>
                <w:color w:val="auto"/>
              </w:rPr>
            </w:pPr>
            <w:r>
              <w:rPr>
                <w:rFonts w:ascii="Arial" w:cs="Arial" w:eastAsia="Arial" w:hAnsi="Arial"/>
                <w:sz w:val="13"/>
                <w:szCs w:val="13"/>
                <w:b w:val="1"/>
                <w:bCs w:val="1"/>
                <w:color w:val="auto"/>
              </w:rPr>
              <w:t>Amortized</w:t>
            </w:r>
          </w:p>
        </w:tc>
        <w:tc>
          <w:tcPr>
            <w:tcW w:w="300" w:type="dxa"/>
            <w:vAlign w:val="bottom"/>
          </w:tcPr>
          <w:p>
            <w:pPr>
              <w:spacing w:after="0"/>
              <w:rPr>
                <w:sz w:val="10"/>
                <w:szCs w:val="10"/>
                <w:color w:val="auto"/>
              </w:rPr>
            </w:pPr>
          </w:p>
        </w:tc>
        <w:tc>
          <w:tcPr>
            <w:tcW w:w="940" w:type="dxa"/>
            <w:vAlign w:val="bottom"/>
          </w:tcPr>
          <w:p>
            <w:pPr>
              <w:jc w:val="right"/>
              <w:ind w:right="376"/>
              <w:spacing w:after="0" w:line="119" w:lineRule="exact"/>
              <w:rPr>
                <w:sz w:val="20"/>
                <w:szCs w:val="20"/>
                <w:color w:val="auto"/>
              </w:rPr>
            </w:pPr>
            <w:r>
              <w:rPr>
                <w:rFonts w:ascii="Arial" w:cs="Arial" w:eastAsia="Arial" w:hAnsi="Arial"/>
                <w:sz w:val="13"/>
                <w:szCs w:val="13"/>
                <w:b w:val="1"/>
                <w:bCs w:val="1"/>
                <w:color w:val="auto"/>
              </w:rPr>
              <w:t>Fair</w:t>
            </w:r>
          </w:p>
        </w:tc>
        <w:tc>
          <w:tcPr>
            <w:tcW w:w="260" w:type="dxa"/>
            <w:vAlign w:val="bottom"/>
          </w:tcPr>
          <w:p>
            <w:pPr>
              <w:spacing w:after="0"/>
              <w:rPr>
                <w:sz w:val="10"/>
                <w:szCs w:val="10"/>
                <w:color w:val="auto"/>
              </w:rPr>
            </w:pPr>
          </w:p>
        </w:tc>
        <w:tc>
          <w:tcPr>
            <w:tcW w:w="90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rPr>
              <w:t>Amortized</w:t>
            </w:r>
          </w:p>
        </w:tc>
        <w:tc>
          <w:tcPr>
            <w:tcW w:w="340" w:type="dxa"/>
            <w:vAlign w:val="bottom"/>
          </w:tcPr>
          <w:p>
            <w:pPr>
              <w:spacing w:after="0"/>
              <w:rPr>
                <w:sz w:val="10"/>
                <w:szCs w:val="10"/>
                <w:color w:val="auto"/>
              </w:rPr>
            </w:pPr>
          </w:p>
        </w:tc>
        <w:tc>
          <w:tcPr>
            <w:tcW w:w="740" w:type="dxa"/>
            <w:vAlign w:val="bottom"/>
          </w:tcPr>
          <w:p>
            <w:pPr>
              <w:jc w:val="right"/>
              <w:ind w:right="256"/>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8"/>
        </w:trPr>
        <w:tc>
          <w:tcPr>
            <w:tcW w:w="2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57"/>
              <w:spacing w:after="0" w:line="158" w:lineRule="exact"/>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3"/>
                <w:szCs w:val="13"/>
                <w:color w:val="auto"/>
              </w:rPr>
            </w:pPr>
          </w:p>
        </w:tc>
        <w:tc>
          <w:tcPr>
            <w:tcW w:w="940" w:type="dxa"/>
            <w:vAlign w:val="bottom"/>
          </w:tcPr>
          <w:p>
            <w:pPr>
              <w:jc w:val="right"/>
              <w:ind w:right="336"/>
              <w:spacing w:after="0" w:line="158" w:lineRule="exact"/>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3"/>
                <w:szCs w:val="13"/>
                <w:color w:val="auto"/>
              </w:rPr>
            </w:pPr>
          </w:p>
        </w:tc>
        <w:tc>
          <w:tcPr>
            <w:tcW w:w="900" w:type="dxa"/>
            <w:vAlign w:val="bottom"/>
          </w:tcPr>
          <w:p>
            <w:pPr>
              <w:jc w:val="right"/>
              <w:ind w:right="337"/>
              <w:spacing w:after="0" w:line="158" w:lineRule="exact"/>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3"/>
                <w:szCs w:val="13"/>
                <w:color w:val="auto"/>
              </w:rPr>
            </w:pPr>
          </w:p>
        </w:tc>
        <w:tc>
          <w:tcPr>
            <w:tcW w:w="740" w:type="dxa"/>
            <w:vAlign w:val="bottom"/>
          </w:tcPr>
          <w:p>
            <w:pPr>
              <w:jc w:val="right"/>
              <w:ind w:right="216"/>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Due in one year or less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57"/>
              <w:spacing w:after="0" w:line="176" w:lineRule="exact"/>
              <w:rPr>
                <w:sz w:val="20"/>
                <w:szCs w:val="20"/>
                <w:color w:val="auto"/>
              </w:rPr>
            </w:pPr>
            <w:r>
              <w:rPr>
                <w:rFonts w:ascii="Arial" w:cs="Arial" w:eastAsia="Arial" w:hAnsi="Arial"/>
                <w:sz w:val="18"/>
                <w:szCs w:val="18"/>
                <w:color w:val="auto"/>
              </w:rPr>
              <w:t>166,786</w:t>
            </w:r>
          </w:p>
        </w:tc>
        <w:tc>
          <w:tcPr>
            <w:tcW w:w="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line="176" w:lineRule="exact"/>
              <w:rPr>
                <w:sz w:val="20"/>
                <w:szCs w:val="20"/>
                <w:color w:val="auto"/>
              </w:rPr>
            </w:pPr>
            <w:r>
              <w:rPr>
                <w:rFonts w:ascii="Arial" w:cs="Arial" w:eastAsia="Arial" w:hAnsi="Arial"/>
                <w:sz w:val="18"/>
                <w:szCs w:val="18"/>
                <w:color w:val="auto"/>
              </w:rPr>
              <w:t>166,734</w:t>
            </w:r>
          </w:p>
        </w:tc>
        <w:tc>
          <w:tcPr>
            <w:tcW w:w="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7"/>
              <w:spacing w:after="0" w:line="176" w:lineRule="exact"/>
              <w:rPr>
                <w:sz w:val="20"/>
                <w:szCs w:val="20"/>
                <w:color w:val="auto"/>
              </w:rPr>
            </w:pPr>
            <w:r>
              <w:rPr>
                <w:rFonts w:ascii="Arial" w:cs="Arial" w:eastAsia="Arial" w:hAnsi="Arial"/>
                <w:sz w:val="18"/>
                <w:szCs w:val="18"/>
                <w:color w:val="auto"/>
              </w:rPr>
              <w:t>1,914</w:t>
            </w:r>
          </w:p>
        </w:tc>
        <w:tc>
          <w:tcPr>
            <w:tcW w:w="34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189"/>
        </w:trPr>
        <w:tc>
          <w:tcPr>
            <w:tcW w:w="2880" w:type="dxa"/>
            <w:vAlign w:val="bottom"/>
            <w:gridSpan w:val="2"/>
          </w:tcPr>
          <w:p>
            <w:pPr>
              <w:spacing w:after="0" w:line="189" w:lineRule="exact"/>
              <w:rPr>
                <w:sz w:val="20"/>
                <w:szCs w:val="20"/>
                <w:color w:val="auto"/>
              </w:rPr>
            </w:pPr>
            <w:r>
              <w:rPr>
                <w:rFonts w:ascii="Arial" w:cs="Arial" w:eastAsia="Arial" w:hAnsi="Arial"/>
                <w:sz w:val="18"/>
                <w:szCs w:val="18"/>
                <w:color w:val="auto"/>
                <w:w w:val="96"/>
              </w:rPr>
              <w:t>Due after one year through five years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57"/>
              <w:spacing w:after="0" w:line="189" w:lineRule="exact"/>
              <w:rPr>
                <w:sz w:val="20"/>
                <w:szCs w:val="20"/>
                <w:color w:val="auto"/>
              </w:rPr>
            </w:pPr>
            <w:r>
              <w:rPr>
                <w:rFonts w:ascii="Arial" w:cs="Arial" w:eastAsia="Arial" w:hAnsi="Arial"/>
                <w:sz w:val="18"/>
                <w:szCs w:val="18"/>
                <w:color w:val="auto"/>
              </w:rPr>
              <w:t>517,731</w:t>
            </w:r>
          </w:p>
        </w:tc>
        <w:tc>
          <w:tcPr>
            <w:tcW w:w="300" w:type="dxa"/>
            <w:vAlign w:val="bottom"/>
          </w:tcPr>
          <w:p>
            <w:pPr>
              <w:spacing w:after="0"/>
              <w:rPr>
                <w:sz w:val="16"/>
                <w:szCs w:val="16"/>
                <w:color w:val="auto"/>
              </w:rPr>
            </w:pPr>
          </w:p>
        </w:tc>
        <w:tc>
          <w:tcPr>
            <w:tcW w:w="940" w:type="dxa"/>
            <w:vAlign w:val="bottom"/>
          </w:tcPr>
          <w:p>
            <w:pPr>
              <w:jc w:val="right"/>
              <w:ind w:right="56"/>
              <w:spacing w:after="0" w:line="189" w:lineRule="exact"/>
              <w:rPr>
                <w:sz w:val="20"/>
                <w:szCs w:val="20"/>
                <w:color w:val="auto"/>
              </w:rPr>
            </w:pPr>
            <w:r>
              <w:rPr>
                <w:rFonts w:ascii="Arial" w:cs="Arial" w:eastAsia="Arial" w:hAnsi="Arial"/>
                <w:sz w:val="18"/>
                <w:szCs w:val="18"/>
                <w:color w:val="auto"/>
              </w:rPr>
              <w:t>519,968</w:t>
            </w:r>
          </w:p>
        </w:tc>
        <w:tc>
          <w:tcPr>
            <w:tcW w:w="260" w:type="dxa"/>
            <w:vAlign w:val="bottom"/>
          </w:tcPr>
          <w:p>
            <w:pPr>
              <w:spacing w:after="0"/>
              <w:rPr>
                <w:sz w:val="16"/>
                <w:szCs w:val="16"/>
                <w:color w:val="auto"/>
              </w:rPr>
            </w:pPr>
          </w:p>
        </w:tc>
        <w:tc>
          <w:tcPr>
            <w:tcW w:w="900" w:type="dxa"/>
            <w:vAlign w:val="bottom"/>
          </w:tcPr>
          <w:p>
            <w:pPr>
              <w:jc w:val="right"/>
              <w:ind w:right="57"/>
              <w:spacing w:after="0" w:line="189" w:lineRule="exact"/>
              <w:rPr>
                <w:sz w:val="20"/>
                <w:szCs w:val="20"/>
                <w:color w:val="auto"/>
              </w:rPr>
            </w:pPr>
            <w:r>
              <w:rPr>
                <w:rFonts w:ascii="Arial" w:cs="Arial" w:eastAsia="Arial" w:hAnsi="Arial"/>
                <w:sz w:val="18"/>
                <w:szCs w:val="18"/>
                <w:color w:val="auto"/>
              </w:rPr>
              <w:t>12,807</w:t>
            </w:r>
          </w:p>
        </w:tc>
        <w:tc>
          <w:tcPr>
            <w:tcW w:w="3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12,909</w:t>
            </w:r>
          </w:p>
        </w:tc>
        <w:tc>
          <w:tcPr>
            <w:tcW w:w="0" w:type="dxa"/>
            <w:vAlign w:val="bottom"/>
          </w:tcPr>
          <w:p>
            <w:pPr>
              <w:spacing w:after="0"/>
              <w:rPr>
                <w:sz w:val="1"/>
                <w:szCs w:val="1"/>
                <w:color w:val="auto"/>
              </w:rPr>
            </w:pPr>
          </w:p>
        </w:tc>
      </w:tr>
      <w:tr>
        <w:trPr>
          <w:trHeight w:val="189"/>
        </w:trPr>
        <w:tc>
          <w:tcPr>
            <w:tcW w:w="2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4"/>
              </w:rPr>
              <w:t>Due after five years through ten years</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7"/>
              <w:spacing w:after="0" w:line="189" w:lineRule="exact"/>
              <w:rPr>
                <w:sz w:val="20"/>
                <w:szCs w:val="20"/>
                <w:color w:val="auto"/>
              </w:rPr>
            </w:pPr>
            <w:r>
              <w:rPr>
                <w:rFonts w:ascii="Arial" w:cs="Arial" w:eastAsia="Arial" w:hAnsi="Arial"/>
                <w:sz w:val="18"/>
                <w:szCs w:val="18"/>
                <w:color w:val="auto"/>
              </w:rPr>
              <w:t>276,057</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6"/>
              <w:spacing w:after="0" w:line="189" w:lineRule="exact"/>
              <w:rPr>
                <w:sz w:val="20"/>
                <w:szCs w:val="20"/>
                <w:color w:val="auto"/>
              </w:rPr>
            </w:pPr>
            <w:r>
              <w:rPr>
                <w:rFonts w:ascii="Arial" w:cs="Arial" w:eastAsia="Arial" w:hAnsi="Arial"/>
                <w:sz w:val="18"/>
                <w:szCs w:val="18"/>
                <w:color w:val="auto"/>
              </w:rPr>
              <w:t>277,308</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7"/>
              <w:spacing w:after="0" w:line="189" w:lineRule="exact"/>
              <w:rPr>
                <w:sz w:val="20"/>
                <w:szCs w:val="20"/>
                <w:color w:val="auto"/>
              </w:rPr>
            </w:pPr>
            <w:r>
              <w:rPr>
                <w:rFonts w:ascii="Arial" w:cs="Arial" w:eastAsia="Arial" w:hAnsi="Arial"/>
                <w:sz w:val="18"/>
                <w:szCs w:val="18"/>
                <w:color w:val="auto"/>
              </w:rPr>
              <w:t>1,125</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189"/>
        </w:trPr>
        <w:tc>
          <w:tcPr>
            <w:tcW w:w="28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Due after ten years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
              <w:spacing w:after="0" w:line="189" w:lineRule="exact"/>
              <w:rPr>
                <w:sz w:val="20"/>
                <w:szCs w:val="20"/>
                <w:color w:val="auto"/>
              </w:rPr>
            </w:pPr>
            <w:r>
              <w:rPr>
                <w:rFonts w:ascii="Arial" w:cs="Arial" w:eastAsia="Arial" w:hAnsi="Arial"/>
                <w:sz w:val="18"/>
                <w:szCs w:val="18"/>
                <w:color w:val="auto"/>
              </w:rPr>
              <w:t>955,486</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6"/>
              <w:spacing w:after="0" w:line="189" w:lineRule="exact"/>
              <w:rPr>
                <w:sz w:val="20"/>
                <w:szCs w:val="20"/>
                <w:color w:val="auto"/>
              </w:rPr>
            </w:pPr>
            <w:r>
              <w:rPr>
                <w:rFonts w:ascii="Arial" w:cs="Arial" w:eastAsia="Arial" w:hAnsi="Arial"/>
                <w:sz w:val="18"/>
                <w:szCs w:val="18"/>
                <w:color w:val="auto"/>
              </w:rPr>
              <w:t>954,285</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7"/>
              <w:spacing w:after="0" w:line="189"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288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57"/>
              <w:spacing w:after="0" w:line="182" w:lineRule="exact"/>
              <w:rPr>
                <w:sz w:val="20"/>
                <w:szCs w:val="20"/>
                <w:color w:val="auto"/>
              </w:rPr>
            </w:pPr>
            <w:r>
              <w:rPr>
                <w:rFonts w:ascii="Arial" w:cs="Arial" w:eastAsia="Arial" w:hAnsi="Arial"/>
                <w:sz w:val="18"/>
                <w:szCs w:val="18"/>
                <w:color w:val="auto"/>
                <w:w w:val="99"/>
              </w:rPr>
              <w:t>1,916,060</w:t>
            </w:r>
          </w:p>
        </w:tc>
        <w:tc>
          <w:tcPr>
            <w:tcW w:w="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6"/>
              <w:spacing w:after="0" w:line="182" w:lineRule="exact"/>
              <w:rPr>
                <w:sz w:val="20"/>
                <w:szCs w:val="20"/>
                <w:color w:val="auto"/>
              </w:rPr>
            </w:pPr>
            <w:r>
              <w:rPr>
                <w:rFonts w:ascii="Arial" w:cs="Arial" w:eastAsia="Arial" w:hAnsi="Arial"/>
                <w:sz w:val="18"/>
                <w:szCs w:val="18"/>
                <w:color w:val="auto"/>
                <w:w w:val="97"/>
              </w:rPr>
              <w:t>1,918,295</w:t>
            </w:r>
          </w:p>
        </w:tc>
        <w:tc>
          <w:tcPr>
            <w:tcW w:w="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7"/>
              <w:spacing w:after="0" w:line="182" w:lineRule="exact"/>
              <w:rPr>
                <w:sz w:val="20"/>
                <w:szCs w:val="20"/>
                <w:color w:val="auto"/>
              </w:rPr>
            </w:pPr>
            <w:r>
              <w:rPr>
                <w:rFonts w:ascii="Arial" w:cs="Arial" w:eastAsia="Arial" w:hAnsi="Arial"/>
                <w:sz w:val="18"/>
                <w:szCs w:val="18"/>
                <w:color w:val="auto"/>
              </w:rPr>
              <w:t>15,846</w:t>
            </w:r>
          </w:p>
        </w:tc>
        <w:tc>
          <w:tcPr>
            <w:tcW w:w="34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15,975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60"/>
        <w:spacing w:after="0" w:line="223" w:lineRule="auto"/>
        <w:rPr>
          <w:sz w:val="20"/>
          <w:szCs w:val="20"/>
          <w:color w:val="auto"/>
        </w:rPr>
      </w:pPr>
      <w:r>
        <w:rPr>
          <w:rFonts w:ascii="Arial" w:cs="Arial" w:eastAsia="Arial" w:hAnsi="Arial"/>
          <w:sz w:val="18"/>
          <w:szCs w:val="18"/>
          <w:color w:val="auto"/>
        </w:rPr>
        <w:t xml:space="preserve">Realized gains and losses related to sales and calls of securities available for sale are summarized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56"/>
        </w:trPr>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50"/>
              <w:spacing w:after="0" w:line="157" w:lineRule="exact"/>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13"/>
                <w:szCs w:val="13"/>
                <w:color w:val="auto"/>
              </w:rPr>
            </w:pPr>
          </w:p>
        </w:tc>
      </w:tr>
      <w:tr>
        <w:trPr>
          <w:trHeight w:val="142"/>
        </w:trPr>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jc w:val="right"/>
              <w:ind w:right="27"/>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126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r>
      <w:tr>
        <w:trPr>
          <w:trHeight w:val="183"/>
        </w:trPr>
        <w:tc>
          <w:tcPr>
            <w:tcW w:w="900" w:type="dxa"/>
            <w:vAlign w:val="bottom"/>
          </w:tcPr>
          <w:p>
            <w:pPr>
              <w:spacing w:after="0"/>
              <w:rPr>
                <w:sz w:val="15"/>
                <w:szCs w:val="15"/>
                <w:color w:val="auto"/>
              </w:rPr>
            </w:pPr>
          </w:p>
        </w:tc>
        <w:tc>
          <w:tcPr>
            <w:tcW w:w="32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security gains</w:t>
            </w:r>
          </w:p>
        </w:tc>
        <w:tc>
          <w:tcPr>
            <w:tcW w:w="10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184</w:t>
            </w:r>
          </w:p>
        </w:tc>
        <w:tc>
          <w:tcPr>
            <w:tcW w:w="3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75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w:t>
            </w:r>
          </w:p>
        </w:tc>
      </w:tr>
      <w:tr>
        <w:trPr>
          <w:trHeight w:val="189"/>
        </w:trPr>
        <w:tc>
          <w:tcPr>
            <w:tcW w:w="900" w:type="dxa"/>
            <w:vAlign w:val="bottom"/>
          </w:tcPr>
          <w:p>
            <w:pPr>
              <w:spacing w:after="0"/>
              <w:rPr>
                <w:sz w:val="16"/>
                <w:szCs w:val="16"/>
                <w:color w:val="auto"/>
              </w:rPr>
            </w:pPr>
          </w:p>
        </w:tc>
        <w:tc>
          <w:tcPr>
            <w:tcW w:w="32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Gross security (losses)</w:t>
            </w:r>
          </w:p>
        </w:tc>
        <w:tc>
          <w:tcPr>
            <w:tcW w:w="10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8"/>
                <w:szCs w:val="18"/>
                <w:color w:val="auto"/>
              </w:rPr>
              <w:t>—</w:t>
            </w:r>
          </w:p>
        </w:tc>
      </w:tr>
      <w:tr>
        <w:trPr>
          <w:trHeight w:val="190"/>
        </w:trPr>
        <w:tc>
          <w:tcPr>
            <w:tcW w:w="900" w:type="dxa"/>
            <w:vAlign w:val="bottom"/>
          </w:tcPr>
          <w:p>
            <w:pPr>
              <w:spacing w:after="0"/>
              <w:rPr>
                <w:sz w:val="16"/>
                <w:szCs w:val="16"/>
                <w:color w:val="auto"/>
              </w:rPr>
            </w:pPr>
          </w:p>
        </w:tc>
        <w:tc>
          <w:tcPr>
            <w:tcW w:w="3280" w:type="dxa"/>
            <w:vAlign w:val="bottom"/>
            <w:tcBorders>
              <w:bottom w:val="single" w:sz="8" w:color="CCEEFF"/>
            </w:tcBorders>
            <w:gridSpan w:val="2"/>
            <w:shd w:val="clear" w:color="auto" w:fill="CCEEFF"/>
          </w:tcPr>
          <w:p>
            <w:pPr>
              <w:ind w:left="220"/>
              <w:spacing w:after="0" w:line="182" w:lineRule="exact"/>
              <w:rPr>
                <w:sz w:val="20"/>
                <w:szCs w:val="20"/>
                <w:color w:val="auto"/>
              </w:rPr>
            </w:pPr>
            <w:r>
              <w:rPr>
                <w:rFonts w:ascii="Arial" w:cs="Arial" w:eastAsia="Arial" w:hAnsi="Arial"/>
                <w:sz w:val="18"/>
                <w:szCs w:val="18"/>
                <w:color w:val="auto"/>
              </w:rPr>
              <w:t>Security gains (losses), net</w:t>
            </w:r>
            <w:r>
              <w:rPr>
                <w:rFonts w:ascii="Arial" w:cs="Arial" w:eastAsia="Arial" w:hAnsi="Arial"/>
                <w:sz w:val="8"/>
                <w:szCs w:val="8"/>
                <w:color w:val="auto"/>
              </w:rPr>
              <w:t>(1)</w:t>
            </w:r>
          </w:p>
        </w:tc>
        <w:tc>
          <w:tcPr>
            <w:tcW w:w="10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184</w:t>
            </w:r>
          </w:p>
        </w:tc>
        <w:tc>
          <w:tcPr>
            <w:tcW w:w="3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5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w:t>
            </w:r>
          </w:p>
        </w:tc>
      </w:tr>
      <w:tr>
        <w:trPr>
          <w:trHeight w:val="108"/>
        </w:trPr>
        <w:tc>
          <w:tcPr>
            <w:tcW w:w="9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r>
    </w:tbl>
    <w:p>
      <w:pPr>
        <w:spacing w:after="0" w:line="80" w:lineRule="exact"/>
        <w:rPr>
          <w:sz w:val="20"/>
          <w:szCs w:val="20"/>
          <w:color w:val="auto"/>
        </w:rPr>
      </w:pPr>
    </w:p>
    <w:p>
      <w:pPr>
        <w:ind w:left="320" w:right="700" w:hanging="317"/>
        <w:spacing w:after="0" w:line="235"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gains (losses), net reported on the Consolidated Statements of Income in 2019 includes gains of equity securities, excluded in this table.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380"/>
        <w:spacing w:after="0" w:line="224" w:lineRule="auto"/>
        <w:rPr>
          <w:sz w:val="20"/>
          <w:szCs w:val="20"/>
          <w:color w:val="auto"/>
        </w:rPr>
      </w:pPr>
      <w:r>
        <w:rPr>
          <w:rFonts w:ascii="Arial" w:cs="Arial" w:eastAsia="Arial" w:hAnsi="Arial"/>
          <w:sz w:val="18"/>
          <w:szCs w:val="18"/>
          <w:color w:val="auto"/>
        </w:rPr>
        <w:t>Investment securities with carrying amounts of $564.0 million and $498.3 million on March 31, 2019 and December 31, 2018, respectively, were pledged as collateral for public deposits, securities sold under agreements to repurchase and for other purposes as required or permitted by law.</w:t>
      </w:r>
    </w:p>
    <w:p>
      <w:pPr>
        <w:spacing w:after="0" w:line="12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 xml:space="preserve">Information pertaining to securities with gross unrealized losses aggregated by investment category and length of time that individual securities have been in a continuous loss position, follows </w:t>
      </w:r>
      <w:r>
        <w:rPr>
          <w:rFonts w:ascii="Arial" w:cs="Arial" w:eastAsia="Arial" w:hAnsi="Arial"/>
          <w:sz w:val="18"/>
          <w:szCs w:val="18"/>
          <w:i w:val="1"/>
          <w:iCs w:val="1"/>
          <w:color w:val="auto"/>
        </w:rPr>
        <w:t>(dollars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For less than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4"/>
              </w:rPr>
              <w:t>For greater</w:t>
            </w:r>
          </w:p>
        </w:tc>
        <w:tc>
          <w:tcPr>
            <w:tcW w:w="240" w:type="dxa"/>
            <w:vAlign w:val="bottom"/>
          </w:tcPr>
          <w:p>
            <w:pPr>
              <w:spacing w:after="0"/>
              <w:rPr>
                <w:sz w:val="14"/>
                <w:szCs w:val="14"/>
                <w:color w:val="auto"/>
              </w:rPr>
            </w:pPr>
          </w:p>
        </w:tc>
        <w:tc>
          <w:tcPr>
            <w:tcW w:w="162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12 months, gross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89"/>
              </w:rPr>
              <w:t>than 12 months, gross</w:t>
            </w:r>
          </w:p>
        </w:tc>
        <w:tc>
          <w:tcPr>
            <w:tcW w:w="24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Fair</w:t>
            </w:r>
          </w:p>
        </w:tc>
        <w:tc>
          <w:tcPr>
            <w:tcW w:w="10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88"/>
              <w:spacing w:after="0" w:line="119" w:lineRule="exact"/>
              <w:rPr>
                <w:sz w:val="20"/>
                <w:szCs w:val="20"/>
                <w:color w:val="auto"/>
              </w:rPr>
            </w:pPr>
            <w:r>
              <w:rPr>
                <w:rFonts w:ascii="Arial" w:cs="Arial" w:eastAsia="Arial" w:hAnsi="Arial"/>
                <w:sz w:val="13"/>
                <w:szCs w:val="13"/>
                <w:b w:val="1"/>
                <w:bCs w:val="1"/>
                <w:color w:val="auto"/>
              </w:rPr>
              <w:t>Fair</w:t>
            </w:r>
          </w:p>
        </w:tc>
        <w:tc>
          <w:tcPr>
            <w:tcW w:w="980" w:type="dxa"/>
            <w:vAlign w:val="bottom"/>
            <w:tcBorders>
              <w:top w:val="single" w:sz="8" w:color="auto"/>
            </w:tcBorders>
            <w:gridSpan w:val="2"/>
          </w:tcPr>
          <w:p>
            <w:pPr>
              <w:jc w:val="right"/>
              <w:ind w:right="8"/>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208"/>
              <w:spacing w:after="0" w:line="119" w:lineRule="exact"/>
              <w:rPr>
                <w:sz w:val="20"/>
                <w:szCs w:val="20"/>
                <w:color w:val="auto"/>
              </w:rPr>
            </w:pPr>
            <w:r>
              <w:rPr>
                <w:rFonts w:ascii="Arial" w:cs="Arial" w:eastAsia="Arial" w:hAnsi="Arial"/>
                <w:sz w:val="13"/>
                <w:szCs w:val="13"/>
                <w:b w:val="1"/>
                <w:bCs w:val="1"/>
                <w:color w:val="auto"/>
              </w:rPr>
              <w:t>Fair</w:t>
            </w:r>
          </w:p>
        </w:tc>
        <w:tc>
          <w:tcPr>
            <w:tcW w:w="900" w:type="dxa"/>
            <w:vAlign w:val="bottom"/>
            <w:tcBorders>
              <w:top w:val="single" w:sz="8" w:color="auto"/>
            </w:tcBorders>
            <w:gridSpan w:val="2"/>
          </w:tcPr>
          <w:p>
            <w:pPr>
              <w:jc w:val="center"/>
              <w:ind w:left="89"/>
              <w:spacing w:after="0" w:line="11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3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28"/>
              <w:spacing w:after="0" w:line="158" w:lineRule="exact"/>
              <w:rPr>
                <w:sz w:val="20"/>
                <w:szCs w:val="20"/>
                <w:color w:val="auto"/>
              </w:rPr>
            </w:pPr>
            <w:r>
              <w:rPr>
                <w:rFonts w:ascii="Arial" w:cs="Arial" w:eastAsia="Arial" w:hAnsi="Arial"/>
                <w:sz w:val="14"/>
                <w:szCs w:val="14"/>
                <w:b w:val="1"/>
                <w:bCs w:val="1"/>
                <w:color w:val="auto"/>
              </w:rPr>
              <w:t>Value</w:t>
            </w:r>
          </w:p>
        </w:tc>
        <w:tc>
          <w:tcPr>
            <w:tcW w:w="360" w:type="dxa"/>
            <w:vAlign w:val="bottom"/>
          </w:tcPr>
          <w:p>
            <w:pPr>
              <w:spacing w:after="0"/>
              <w:rPr>
                <w:sz w:val="13"/>
                <w:szCs w:val="13"/>
                <w:color w:val="auto"/>
              </w:rPr>
            </w:pPr>
          </w:p>
        </w:tc>
        <w:tc>
          <w:tcPr>
            <w:tcW w:w="640" w:type="dxa"/>
            <w:vAlign w:val="bottom"/>
          </w:tcPr>
          <w:p>
            <w:pPr>
              <w:jc w:val="right"/>
              <w:ind w:right="128"/>
              <w:spacing w:after="0" w:line="158" w:lineRule="exact"/>
              <w:rPr>
                <w:sz w:val="20"/>
                <w:szCs w:val="20"/>
                <w:color w:val="auto"/>
              </w:rPr>
            </w:pPr>
            <w:r>
              <w:rPr>
                <w:rFonts w:ascii="Arial" w:cs="Arial" w:eastAsia="Arial" w:hAnsi="Arial"/>
                <w:sz w:val="14"/>
                <w:szCs w:val="14"/>
                <w:b w:val="1"/>
                <w:bCs w:val="1"/>
                <w:color w:val="auto"/>
                <w:w w:val="86"/>
              </w:rPr>
              <w:t>Losses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128"/>
              <w:spacing w:after="0" w:line="158" w:lineRule="exact"/>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3"/>
                <w:szCs w:val="13"/>
                <w:color w:val="auto"/>
              </w:rPr>
            </w:pPr>
          </w:p>
        </w:tc>
        <w:tc>
          <w:tcPr>
            <w:tcW w:w="64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3"/>
                <w:szCs w:val="13"/>
                <w:color w:val="auto"/>
              </w:rPr>
            </w:pPr>
          </w:p>
        </w:tc>
        <w:tc>
          <w:tcPr>
            <w:tcW w:w="70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3"/>
                <w:szCs w:val="13"/>
                <w:color w:val="auto"/>
              </w:rPr>
            </w:pPr>
          </w:p>
        </w:tc>
        <w:tc>
          <w:tcPr>
            <w:tcW w:w="6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36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Available for sale</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gridSpan w:val="3"/>
          </w:tcPr>
          <w:p>
            <w:pPr>
              <w:spacing w:after="0" w:line="149" w:lineRule="exact"/>
              <w:rPr>
                <w:sz w:val="20"/>
                <w:szCs w:val="20"/>
                <w:color w:val="auto"/>
              </w:rPr>
            </w:pPr>
            <w:r>
              <w:rPr>
                <w:rFonts w:ascii="Arial" w:cs="Arial" w:eastAsia="Arial" w:hAnsi="Arial"/>
                <w:sz w:val="14"/>
                <w:szCs w:val="14"/>
                <w:color w:val="auto"/>
              </w:rPr>
              <w:t>U.S. Treasury securities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7,484</w:t>
            </w:r>
          </w:p>
        </w:tc>
        <w:tc>
          <w:tcPr>
            <w:tcW w:w="36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24,505</w:t>
            </w:r>
          </w:p>
        </w:tc>
        <w:tc>
          <w:tcPr>
            <w:tcW w:w="34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(271)</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31,989</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w w:val="96"/>
              </w:rPr>
              <w:t>Obligations of U.S. government corporations and agencies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50,966</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51,716</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3"/>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11,453</w:t>
            </w:r>
          </w:p>
        </w:tc>
        <w:tc>
          <w:tcPr>
            <w:tcW w:w="3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63,959</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(324)</w:t>
            </w:r>
          </w:p>
        </w:tc>
        <w:tc>
          <w:tcPr>
            <w:tcW w:w="24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75,412</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Commercial mortgage-backed securities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430</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3"/>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16,083</w:t>
            </w:r>
          </w:p>
        </w:tc>
        <w:tc>
          <w:tcPr>
            <w:tcW w:w="3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551,248</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(6,298)</w:t>
            </w:r>
          </w:p>
        </w:tc>
        <w:tc>
          <w:tcPr>
            <w:tcW w:w="24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567,331</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(6,307)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Corporate debt securities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7,561</w:t>
            </w:r>
          </w:p>
        </w:tc>
        <w:tc>
          <w:tcPr>
            <w:tcW w:w="3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20,369</w:t>
            </w:r>
          </w:p>
        </w:tc>
        <w:tc>
          <w:tcPr>
            <w:tcW w:w="3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27,930</w:t>
            </w: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Total temporarily impaired securities</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43,331</w:t>
            </w:r>
          </w:p>
        </w:tc>
        <w:tc>
          <w:tcPr>
            <w:tcW w:w="36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711,477</w:t>
            </w:r>
          </w:p>
        </w:tc>
        <w:tc>
          <w:tcPr>
            <w:tcW w:w="340" w:type="dxa"/>
            <w:vAlign w:val="bottom"/>
            <w:tcBorders>
              <w:bottom w:val="single" w:sz="8" w:color="auto"/>
            </w:tcBorders>
          </w:tcPr>
          <w:p>
            <w:pPr>
              <w:jc w:val="right"/>
              <w:ind w:right="9"/>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(7,737)</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754,808</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Held to maturity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2,301</w:t>
            </w:r>
          </w:p>
        </w:tc>
        <w:tc>
          <w:tcPr>
            <w:tcW w:w="3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2,301</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3"/>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less than</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greater</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w w:val="98"/>
              </w:rPr>
              <w:t>12 months, gross</w:t>
            </w:r>
          </w:p>
        </w:tc>
        <w:tc>
          <w:tcPr>
            <w:tcW w:w="120" w:type="dxa"/>
            <w:vAlign w:val="bottom"/>
          </w:tcPr>
          <w:p>
            <w:pPr>
              <w:spacing w:after="0"/>
              <w:rPr>
                <w:sz w:val="14"/>
                <w:szCs w:val="14"/>
                <w:color w:val="auto"/>
              </w:rPr>
            </w:pPr>
          </w:p>
        </w:tc>
        <w:tc>
          <w:tcPr>
            <w:tcW w:w="1800" w:type="dxa"/>
            <w:vAlign w:val="bottom"/>
            <w:gridSpan w:val="4"/>
          </w:tcPr>
          <w:p>
            <w:pPr>
              <w:ind w:left="100"/>
              <w:spacing w:after="0"/>
              <w:rPr>
                <w:sz w:val="20"/>
                <w:szCs w:val="20"/>
                <w:color w:val="auto"/>
              </w:rPr>
            </w:pPr>
            <w:r>
              <w:rPr>
                <w:rFonts w:ascii="Arial" w:cs="Arial" w:eastAsia="Arial" w:hAnsi="Arial"/>
                <w:sz w:val="14"/>
                <w:szCs w:val="14"/>
                <w:b w:val="1"/>
                <w:bCs w:val="1"/>
                <w:color w:val="auto"/>
              </w:rPr>
              <w:t>than 12 months, gross</w:t>
            </w:r>
          </w:p>
        </w:tc>
        <w:tc>
          <w:tcPr>
            <w:tcW w:w="24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2018:</w:t>
            </w:r>
          </w:p>
        </w:tc>
        <w:tc>
          <w:tcPr>
            <w:tcW w:w="214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348"/>
              <w:spacing w:after="0" w:line="119" w:lineRule="exact"/>
              <w:rPr>
                <w:sz w:val="20"/>
                <w:szCs w:val="20"/>
                <w:color w:val="auto"/>
              </w:rPr>
            </w:pPr>
            <w:r>
              <w:rPr>
                <w:rFonts w:ascii="Arial" w:cs="Arial" w:eastAsia="Arial" w:hAnsi="Arial"/>
                <w:sz w:val="13"/>
                <w:szCs w:val="13"/>
                <w:b w:val="1"/>
                <w:bCs w:val="1"/>
                <w:color w:val="auto"/>
              </w:rPr>
              <w:t>Fair</w:t>
            </w:r>
          </w:p>
        </w:tc>
        <w:tc>
          <w:tcPr>
            <w:tcW w:w="1000" w:type="dxa"/>
            <w:vAlign w:val="bottom"/>
            <w:tcBorders>
              <w:top w:val="single" w:sz="8" w:color="auto"/>
            </w:tcBorders>
            <w:gridSpan w:val="2"/>
          </w:tcPr>
          <w:p>
            <w:pPr>
              <w:jc w:val="right"/>
              <w:ind w:right="168"/>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348"/>
              <w:spacing w:after="0" w:line="119" w:lineRule="exact"/>
              <w:rPr>
                <w:sz w:val="20"/>
                <w:szCs w:val="20"/>
                <w:color w:val="auto"/>
              </w:rPr>
            </w:pPr>
            <w:r>
              <w:rPr>
                <w:rFonts w:ascii="Arial" w:cs="Arial" w:eastAsia="Arial" w:hAnsi="Arial"/>
                <w:sz w:val="13"/>
                <w:szCs w:val="13"/>
                <w:b w:val="1"/>
                <w:bCs w:val="1"/>
                <w:color w:val="auto"/>
              </w:rPr>
              <w:t>Fair</w:t>
            </w:r>
          </w:p>
        </w:tc>
        <w:tc>
          <w:tcPr>
            <w:tcW w:w="980" w:type="dxa"/>
            <w:vAlign w:val="bottom"/>
            <w:tcBorders>
              <w:top w:val="single" w:sz="8" w:color="auto"/>
            </w:tcBorders>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288"/>
              <w:spacing w:after="0" w:line="119" w:lineRule="exact"/>
              <w:rPr>
                <w:sz w:val="20"/>
                <w:szCs w:val="20"/>
                <w:color w:val="auto"/>
              </w:rPr>
            </w:pPr>
            <w:r>
              <w:rPr>
                <w:rFonts w:ascii="Arial" w:cs="Arial" w:eastAsia="Arial" w:hAnsi="Arial"/>
                <w:sz w:val="13"/>
                <w:szCs w:val="13"/>
                <w:b w:val="1"/>
                <w:bCs w:val="1"/>
                <w:color w:val="auto"/>
              </w:rPr>
              <w:t>Fair</w:t>
            </w:r>
          </w:p>
        </w:tc>
        <w:tc>
          <w:tcPr>
            <w:tcW w:w="900" w:type="dxa"/>
            <w:vAlign w:val="bottom"/>
            <w:tcBorders>
              <w:top w:val="single" w:sz="8" w:color="auto"/>
            </w:tcBorders>
            <w:gridSpan w:val="2"/>
          </w:tcPr>
          <w:p>
            <w:pPr>
              <w:jc w:val="center"/>
              <w:ind w:left="29"/>
              <w:spacing w:after="0" w:line="11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gridSpan w:val="2"/>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308"/>
              <w:spacing w:after="0" w:line="158" w:lineRule="exact"/>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82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Value</w:t>
            </w:r>
          </w:p>
        </w:tc>
        <w:tc>
          <w:tcPr>
            <w:tcW w:w="980" w:type="dxa"/>
            <w:vAlign w:val="bottom"/>
            <w:gridSpan w:val="2"/>
          </w:tcPr>
          <w:p>
            <w:pPr>
              <w:jc w:val="right"/>
              <w:ind w:right="268"/>
              <w:spacing w:after="0" w:line="158" w:lineRule="exact"/>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5"/>
                <w:szCs w:val="15"/>
                <w:color w:val="auto"/>
              </w:rPr>
            </w:pPr>
          </w:p>
        </w:tc>
        <w:tc>
          <w:tcPr>
            <w:tcW w:w="700" w:type="dxa"/>
            <w:vAlign w:val="bottom"/>
          </w:tcPr>
          <w:p>
            <w:pPr>
              <w:jc w:val="right"/>
              <w:ind w:right="248"/>
              <w:spacing w:after="0" w:line="158" w:lineRule="exact"/>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5"/>
                <w:szCs w:val="15"/>
                <w:color w:val="auto"/>
              </w:rPr>
            </w:pPr>
          </w:p>
        </w:tc>
        <w:tc>
          <w:tcPr>
            <w:tcW w:w="6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36"/>
        </w:trPr>
        <w:tc>
          <w:tcPr>
            <w:tcW w:w="3360" w:type="dxa"/>
            <w:vAlign w:val="bottom"/>
            <w:tcBorders>
              <w:top w:val="single" w:sz="8" w:color="CCEEFF"/>
            </w:tcBorders>
            <w:gridSpan w:val="3"/>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Available for sale</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gridSpan w:val="3"/>
          </w:tcPr>
          <w:p>
            <w:pPr>
              <w:spacing w:after="0" w:line="149" w:lineRule="exact"/>
              <w:rPr>
                <w:sz w:val="20"/>
                <w:szCs w:val="20"/>
                <w:color w:val="auto"/>
              </w:rPr>
            </w:pPr>
            <w:r>
              <w:rPr>
                <w:rFonts w:ascii="Arial" w:cs="Arial" w:eastAsia="Arial" w:hAnsi="Arial"/>
                <w:sz w:val="14"/>
                <w:szCs w:val="14"/>
                <w:color w:val="auto"/>
              </w:rPr>
              <w:t>U.S. Treasury securities</w:t>
            </w:r>
          </w:p>
        </w:tc>
        <w:tc>
          <w:tcPr>
            <w:tcW w:w="160" w:type="dxa"/>
            <w:vAlign w:val="bottom"/>
            <w:gridSpan w:val="2"/>
          </w:tcPr>
          <w:p>
            <w:pPr>
              <w:jc w:val="right"/>
              <w:ind w:right="74"/>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995</w:t>
            </w:r>
          </w:p>
        </w:tc>
        <w:tc>
          <w:tcPr>
            <w:tcW w:w="36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24,343</w:t>
            </w:r>
          </w:p>
        </w:tc>
        <w:tc>
          <w:tcPr>
            <w:tcW w:w="340" w:type="dxa"/>
            <w:vAlign w:val="bottom"/>
          </w:tcPr>
          <w:p>
            <w:pPr>
              <w:jc w:val="center"/>
              <w:ind w:right="10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(410)</w:t>
            </w:r>
          </w:p>
        </w:tc>
        <w:tc>
          <w:tcPr>
            <w:tcW w:w="2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25,338</w:t>
            </w:r>
          </w:p>
        </w:tc>
        <w:tc>
          <w:tcPr>
            <w:tcW w:w="2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3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Obligations of U.S. government corporations and</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agencies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749</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50,744</w:t>
            </w: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(758)</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51,493</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gridSpan w:val="3"/>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49,893</w:t>
            </w:r>
          </w:p>
        </w:tc>
        <w:tc>
          <w:tcPr>
            <w:tcW w:w="36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(460)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77,651</w:t>
            </w:r>
          </w:p>
        </w:tc>
        <w:tc>
          <w:tcPr>
            <w:tcW w:w="34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(1,111)</w:t>
            </w:r>
          </w:p>
        </w:tc>
        <w:tc>
          <w:tcPr>
            <w:tcW w:w="24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127,544</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Commercial mortgage-backed securities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1,942</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(61)</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1,942</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3"/>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48,387</w:t>
            </w:r>
          </w:p>
        </w:tc>
        <w:tc>
          <w:tcPr>
            <w:tcW w:w="36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0"/>
              </w:rPr>
              <w:t>247,573</w:t>
            </w:r>
          </w:p>
        </w:tc>
        <w:tc>
          <w:tcPr>
            <w:tcW w:w="34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(6,647)</w:t>
            </w:r>
          </w:p>
        </w:tc>
        <w:tc>
          <w:tcPr>
            <w:tcW w:w="24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295,960</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Corporate debt securities</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90,713</w:t>
            </w:r>
          </w:p>
        </w:tc>
        <w:tc>
          <w:tcPr>
            <w:tcW w:w="3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(268)</w:t>
            </w:r>
          </w:p>
        </w:tc>
        <w:tc>
          <w:tcPr>
            <w:tcW w:w="1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15,083</w:t>
            </w:r>
          </w:p>
        </w:tc>
        <w:tc>
          <w:tcPr>
            <w:tcW w:w="3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(108)</w:t>
            </w: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105,796</w:t>
            </w: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Total temporarily impaired securities</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w w:val="90"/>
              </w:rPr>
              <w:t>190,737</w:t>
            </w:r>
          </w:p>
        </w:tc>
        <w:tc>
          <w:tcPr>
            <w:tcW w:w="360" w:type="dxa"/>
            <w:vAlign w:val="bottom"/>
            <w:tcBorders>
              <w:bottom w:val="single" w:sz="8" w:color="auto"/>
            </w:tcBorders>
          </w:tcPr>
          <w:p>
            <w:pPr>
              <w:jc w:val="right"/>
              <w:ind w:right="189"/>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94"/>
              </w:rPr>
              <w:t>(1,231)</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90"/>
              </w:rPr>
              <w:t>417,336</w:t>
            </w:r>
          </w:p>
        </w:tc>
        <w:tc>
          <w:tcPr>
            <w:tcW w:w="340" w:type="dxa"/>
            <w:vAlign w:val="bottom"/>
            <w:tcBorders>
              <w:bottom w:val="single" w:sz="8" w:color="auto"/>
            </w:tcBorders>
          </w:tcPr>
          <w:p>
            <w:pPr>
              <w:jc w:val="center"/>
              <w:ind w:right="109"/>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(9,095)</w:t>
            </w:r>
          </w:p>
        </w:tc>
        <w:tc>
          <w:tcPr>
            <w:tcW w:w="2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608,073</w:t>
            </w:r>
          </w:p>
        </w:tc>
        <w:tc>
          <w:tcPr>
            <w:tcW w:w="26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Held to maturity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160" w:type="dxa"/>
            <w:vAlign w:val="bottom"/>
            <w:gridSpan w:val="2"/>
            <w:shd w:val="clear" w:color="auto" w:fill="CCEEFF"/>
          </w:tcPr>
          <w:p>
            <w:pPr>
              <w:jc w:val="right"/>
              <w:ind w:right="7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9,531</w:t>
            </w:r>
          </w:p>
        </w:tc>
        <w:tc>
          <w:tcPr>
            <w:tcW w:w="36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9,538</w:t>
            </w:r>
          </w:p>
        </w:tc>
        <w:tc>
          <w:tcPr>
            <w:tcW w:w="340" w:type="dxa"/>
            <w:vAlign w:val="bottom"/>
            <w:shd w:val="clear" w:color="auto" w:fill="CCEEFF"/>
          </w:tcPr>
          <w:p>
            <w:pPr>
              <w:jc w:val="center"/>
              <w:ind w:right="10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(54)</w:t>
            </w:r>
          </w:p>
        </w:tc>
        <w:tc>
          <w:tcPr>
            <w:tcW w:w="2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19,069</w:t>
            </w:r>
          </w:p>
        </w:tc>
        <w:tc>
          <w:tcPr>
            <w:tcW w:w="2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3"/>
          </w:tcPr>
          <w:p>
            <w:pPr>
              <w:spacing w:after="0" w:line="149" w:lineRule="exact"/>
              <w:rPr>
                <w:sz w:val="20"/>
                <w:szCs w:val="20"/>
                <w:color w:val="auto"/>
              </w:rPr>
            </w:pPr>
            <w:r>
              <w:rPr>
                <w:rFonts w:ascii="Arial" w:cs="Arial" w:eastAsia="Arial" w:hAnsi="Arial"/>
                <w:sz w:val="14"/>
                <w:szCs w:val="14"/>
                <w:color w:val="auto"/>
              </w:rPr>
              <w:t>Commercial mortgage-backed securities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12,067</w:t>
            </w:r>
          </w:p>
        </w:tc>
        <w:tc>
          <w:tcPr>
            <w:tcW w:w="36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45,041</w:t>
            </w:r>
          </w:p>
        </w:tc>
        <w:tc>
          <w:tcPr>
            <w:tcW w:w="34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(791)</w:t>
            </w:r>
          </w:p>
        </w:tc>
        <w:tc>
          <w:tcPr>
            <w:tcW w:w="24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57,108</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77,071</w:t>
            </w:r>
          </w:p>
        </w:tc>
        <w:tc>
          <w:tcPr>
            <w:tcW w:w="3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(974)</w:t>
            </w:r>
          </w:p>
        </w:tc>
        <w:tc>
          <w:tcPr>
            <w:tcW w:w="1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0"/>
              </w:rPr>
              <w:t>245,128</w:t>
            </w:r>
          </w:p>
        </w:tc>
        <w:tc>
          <w:tcPr>
            <w:tcW w:w="3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(5,063)</w:t>
            </w: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322,199</w:t>
            </w: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3"/>
          </w:tcPr>
          <w:p>
            <w:pPr>
              <w:spacing w:after="0" w:line="142" w:lineRule="exact"/>
              <w:rPr>
                <w:sz w:val="20"/>
                <w:szCs w:val="20"/>
                <w:color w:val="auto"/>
              </w:rPr>
            </w:pPr>
            <w:r>
              <w:rPr>
                <w:rFonts w:ascii="Arial" w:cs="Arial" w:eastAsia="Arial" w:hAnsi="Arial"/>
                <w:sz w:val="14"/>
                <w:szCs w:val="14"/>
                <w:color w:val="auto"/>
              </w:rPr>
              <w:t>Total temporarily impaired securities</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98,669</w:t>
            </w:r>
          </w:p>
        </w:tc>
        <w:tc>
          <w:tcPr>
            <w:tcW w:w="360" w:type="dxa"/>
            <w:vAlign w:val="bottom"/>
            <w:tcBorders>
              <w:bottom w:val="single" w:sz="8" w:color="auto"/>
            </w:tcBorders>
          </w:tcPr>
          <w:p>
            <w:pPr>
              <w:jc w:val="right"/>
              <w:ind w:right="189"/>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94"/>
              </w:rPr>
              <w:t>(1,219)</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90"/>
              </w:rPr>
              <w:t>299,707</w:t>
            </w:r>
          </w:p>
        </w:tc>
        <w:tc>
          <w:tcPr>
            <w:tcW w:w="340" w:type="dxa"/>
            <w:vAlign w:val="bottom"/>
            <w:tcBorders>
              <w:bottom w:val="single" w:sz="8" w:color="auto"/>
            </w:tcBorders>
          </w:tcPr>
          <w:p>
            <w:pPr>
              <w:jc w:val="center"/>
              <w:ind w:right="109"/>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(5,908)</w:t>
            </w:r>
          </w:p>
        </w:tc>
        <w:tc>
          <w:tcPr>
            <w:tcW w:w="2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398,376</w:t>
            </w:r>
          </w:p>
        </w:tc>
        <w:tc>
          <w:tcPr>
            <w:tcW w:w="26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(7,127)</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Securities are periodically evaluated for other-than-temporary impairment (“OTTI”). As of March 31, 2019, the Company’s security portfolio consisted of 1,354 securities. The total number of securities in the investment portfolio in an unrealized loss position as of March 31, 2019 was 366 and represented an unrealized loss of 1.02% of the aggregate amortized cost. The unrealized losses relate to changes in market interest rates and market conditions that do not represent credit-related impairments. Furthermore, the Company does not intend to sell such securities and it is more likely than not that the Company will recover the amortized cost prior to being required to sell the securities. Full collection of the amounts due according to the contractual terms of the securities is expected; therefore, the Company does not consider these investments to be OTTI at March 31, 2019. As of March 31, 2019, the Company did not hold general obligation bonds of any single issuer, the aggregate of which exceeded 10% of the Company’s stockholders’ equity.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Portfolio loans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distribution of portfolio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14"/>
              <w:spacing w:after="0" w:line="182" w:lineRule="exact"/>
              <w:rPr>
                <w:sz w:val="20"/>
                <w:szCs w:val="20"/>
                <w:color w:val="auto"/>
              </w:rPr>
            </w:pPr>
            <w:r>
              <w:rPr>
                <w:rFonts w:ascii="Arial" w:cs="Arial" w:eastAsia="Arial" w:hAnsi="Arial"/>
                <w:sz w:val="18"/>
                <w:szCs w:val="18"/>
                <w:color w:val="auto"/>
              </w:rPr>
              <w:t>1,657,022</w:t>
            </w:r>
          </w:p>
        </w:tc>
        <w:tc>
          <w:tcPr>
            <w:tcW w:w="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1,405,106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16"/>
                <w:szCs w:val="16"/>
                <w:color w:val="auto"/>
              </w:rPr>
            </w:pPr>
          </w:p>
        </w:tc>
        <w:tc>
          <w:tcPr>
            <w:tcW w:w="1200" w:type="dxa"/>
            <w:vAlign w:val="bottom"/>
          </w:tcPr>
          <w:p>
            <w:pPr>
              <w:jc w:val="right"/>
              <w:ind w:right="114"/>
              <w:spacing w:after="0" w:line="189" w:lineRule="exact"/>
              <w:rPr>
                <w:sz w:val="20"/>
                <w:szCs w:val="20"/>
                <w:color w:val="auto"/>
              </w:rPr>
            </w:pPr>
            <w:r>
              <w:rPr>
                <w:rFonts w:ascii="Arial" w:cs="Arial" w:eastAsia="Arial" w:hAnsi="Arial"/>
                <w:sz w:val="18"/>
                <w:szCs w:val="18"/>
                <w:color w:val="auto"/>
              </w:rPr>
              <w:t>2,699,491</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2,366,823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14"/>
              <w:spacing w:after="0" w:line="189" w:lineRule="exact"/>
              <w:rPr>
                <w:sz w:val="20"/>
                <w:szCs w:val="20"/>
                <w:color w:val="auto"/>
              </w:rPr>
            </w:pPr>
            <w:r>
              <w:rPr>
                <w:rFonts w:ascii="Arial" w:cs="Arial" w:eastAsia="Arial" w:hAnsi="Arial"/>
                <w:sz w:val="18"/>
                <w:szCs w:val="18"/>
                <w:color w:val="auto"/>
              </w:rPr>
              <w:t>387,623</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288,197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200" w:type="dxa"/>
            <w:vAlign w:val="bottom"/>
          </w:tcPr>
          <w:p>
            <w:pPr>
              <w:spacing w:after="0"/>
              <w:rPr>
                <w:sz w:val="16"/>
                <w:szCs w:val="16"/>
                <w:color w:val="auto"/>
              </w:rPr>
            </w:pPr>
          </w:p>
        </w:tc>
        <w:tc>
          <w:tcPr>
            <w:tcW w:w="1200" w:type="dxa"/>
            <w:vAlign w:val="bottom"/>
          </w:tcPr>
          <w:p>
            <w:pPr>
              <w:jc w:val="right"/>
              <w:ind w:right="114"/>
              <w:spacing w:after="0" w:line="189" w:lineRule="exact"/>
              <w:rPr>
                <w:sz w:val="20"/>
                <w:szCs w:val="20"/>
                <w:color w:val="auto"/>
              </w:rPr>
            </w:pPr>
            <w:r>
              <w:rPr>
                <w:rFonts w:ascii="Arial" w:cs="Arial" w:eastAsia="Arial" w:hAnsi="Arial"/>
                <w:sz w:val="18"/>
                <w:szCs w:val="18"/>
                <w:color w:val="auto"/>
              </w:rPr>
              <w:t>1,718,415</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1,480,133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2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14"/>
              <w:spacing w:after="0" w:line="189" w:lineRule="exact"/>
              <w:rPr>
                <w:sz w:val="20"/>
                <w:szCs w:val="20"/>
                <w:color w:val="auto"/>
              </w:rPr>
            </w:pPr>
            <w:r>
              <w:rPr>
                <w:rFonts w:ascii="Arial" w:cs="Arial" w:eastAsia="Arial" w:hAnsi="Arial"/>
                <w:sz w:val="18"/>
                <w:szCs w:val="18"/>
                <w:color w:val="auto"/>
              </w:rPr>
              <w:t>52,530</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28,169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tcPr>
          <w:p>
            <w:pPr>
              <w:spacing w:after="0" w:line="182" w:lineRule="exact"/>
              <w:rPr>
                <w:sz w:val="20"/>
                <w:szCs w:val="20"/>
                <w:color w:val="auto"/>
              </w:rPr>
            </w:pPr>
            <w:r>
              <w:rPr>
                <w:rFonts w:ascii="Arial" w:cs="Arial" w:eastAsia="Arial" w:hAnsi="Arial"/>
                <w:sz w:val="18"/>
                <w:szCs w:val="18"/>
                <w:color w:val="auto"/>
              </w:rPr>
              <w:t>Portfolio loans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14"/>
              <w:spacing w:after="0" w:line="182" w:lineRule="exact"/>
              <w:rPr>
                <w:sz w:val="20"/>
                <w:szCs w:val="20"/>
                <w:color w:val="auto"/>
              </w:rPr>
            </w:pPr>
            <w:r>
              <w:rPr>
                <w:rFonts w:ascii="Arial" w:cs="Arial" w:eastAsia="Arial" w:hAnsi="Arial"/>
                <w:sz w:val="18"/>
                <w:szCs w:val="18"/>
                <w:color w:val="auto"/>
              </w:rPr>
              <w:t>6,515,081</w:t>
            </w: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5,568,428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Allowance for loan losses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
              <w:spacing w:after="0" w:line="189" w:lineRule="exact"/>
              <w:rPr>
                <w:sz w:val="20"/>
                <w:szCs w:val="20"/>
                <w:color w:val="auto"/>
              </w:rPr>
            </w:pPr>
            <w:r>
              <w:rPr>
                <w:rFonts w:ascii="Arial" w:cs="Arial" w:eastAsia="Arial" w:hAnsi="Arial"/>
                <w:sz w:val="18"/>
                <w:szCs w:val="18"/>
                <w:color w:val="auto"/>
              </w:rPr>
              <w:t>(50,915)</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Portfolio loans, net</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14"/>
              <w:spacing w:after="0" w:line="182" w:lineRule="exact"/>
              <w:rPr>
                <w:sz w:val="20"/>
                <w:szCs w:val="20"/>
                <w:color w:val="auto"/>
              </w:rPr>
            </w:pPr>
            <w:r>
              <w:rPr>
                <w:rFonts w:ascii="Arial" w:cs="Arial" w:eastAsia="Arial" w:hAnsi="Arial"/>
                <w:sz w:val="18"/>
                <w:szCs w:val="18"/>
                <w:color w:val="auto"/>
              </w:rPr>
              <w:t>6,464,166</w:t>
            </w:r>
          </w:p>
        </w:tc>
        <w:tc>
          <w:tcPr>
            <w:tcW w:w="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5,517,780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Net deferred loan origination costs included in the table above were $5.4 million as of March 31, 2019 and $5.6 million as of December 31, 2018. Net accretable purchase accounting adjustments included in the table above reduced loans by $28.2 million as of March 31, 2019 and $13.9 million as of December 31, 2018.</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utilizes a loan grading scale to assign a risk grade to all of its loans. A description of the general characteristics of each grade is as follows:</w:t>
      </w:r>
    </w:p>
    <w:p>
      <w:pPr>
        <w:spacing w:after="0" w:line="243" w:lineRule="exact"/>
        <w:rPr>
          <w:sz w:val="20"/>
          <w:szCs w:val="20"/>
          <w:color w:val="auto"/>
        </w:rPr>
      </w:pPr>
    </w:p>
    <w:p>
      <w:pPr>
        <w:ind w:left="660" w:hanging="333"/>
        <w:spacing w:after="0" w:line="22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Pass</w:t>
      </w:r>
      <w:r>
        <w:rPr>
          <w:rFonts w:ascii="Arial" w:cs="Arial" w:eastAsia="Arial" w:hAnsi="Arial"/>
          <w:sz w:val="18"/>
          <w:szCs w:val="18"/>
          <w:color w:val="auto"/>
        </w:rPr>
        <w:t>- This category includes loans that are all considered strong credits, ranging from investment or near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grade, to loans made to borrowers who exhibit credit fundamentals that exceed industry standards and loan policy guidelines and loans that exhibit acceptable credit fundamentals.</w:t>
      </w:r>
    </w:p>
    <w:p>
      <w:pPr>
        <w:spacing w:after="0" w:line="122" w:lineRule="exact"/>
        <w:rPr>
          <w:rFonts w:ascii="Arial" w:cs="Arial" w:eastAsia="Arial" w:hAnsi="Arial"/>
          <w:sz w:val="18"/>
          <w:szCs w:val="18"/>
          <w:color w:val="auto"/>
        </w:rPr>
      </w:pPr>
    </w:p>
    <w:p>
      <w:pPr>
        <w:ind w:left="660" w:right="260" w:hanging="333"/>
        <w:spacing w:after="0" w:line="289"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Watch- </w:t>
      </w:r>
      <w:r>
        <w:rPr>
          <w:rFonts w:ascii="Arial" w:cs="Arial" w:eastAsia="Arial" w:hAnsi="Arial"/>
          <w:sz w:val="16"/>
          <w:szCs w:val="16"/>
          <w:color w:val="auto"/>
        </w:rPr>
        <w:t>This category includes loans on management’s “Watch List” and is intended to be utilized on a temporary</w:t>
      </w:r>
      <w:r>
        <w:rPr>
          <w:rFonts w:ascii="Arial" w:cs="Arial" w:eastAsia="Arial" w:hAnsi="Arial"/>
          <w:sz w:val="16"/>
          <w:szCs w:val="16"/>
          <w:i w:val="1"/>
          <w:iCs w:val="1"/>
          <w:color w:val="auto"/>
        </w:rPr>
        <w:t xml:space="preserve"> </w:t>
      </w:r>
      <w:r>
        <w:rPr>
          <w:rFonts w:ascii="Arial" w:cs="Arial" w:eastAsia="Arial" w:hAnsi="Arial"/>
          <w:sz w:val="16"/>
          <w:szCs w:val="16"/>
          <w:color w:val="auto"/>
        </w:rPr>
        <w:t>basis for a pass grade borrower where a significant risk-modifying action is anticipated in the near future.</w:t>
      </w:r>
    </w:p>
    <w:p>
      <w:pPr>
        <w:spacing w:after="0" w:line="83" w:lineRule="exact"/>
        <w:rPr>
          <w:rFonts w:ascii="Arial" w:cs="Arial" w:eastAsia="Arial" w:hAnsi="Arial"/>
          <w:sz w:val="16"/>
          <w:szCs w:val="16"/>
          <w:color w:val="auto"/>
        </w:rPr>
      </w:pPr>
    </w:p>
    <w:p>
      <w:pPr>
        <w:ind w:left="660" w:right="220" w:hanging="333"/>
        <w:spacing w:after="0" w:line="22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if not checked or corrected, weaken the asset or inadequately protect the Company’s credit position at some future date.</w:t>
      </w:r>
    </w:p>
    <w:p>
      <w:pPr>
        <w:spacing w:after="0" w:line="122" w:lineRule="exact"/>
        <w:rPr>
          <w:rFonts w:ascii="Arial" w:cs="Arial" w:eastAsia="Arial" w:hAnsi="Arial"/>
          <w:sz w:val="18"/>
          <w:szCs w:val="18"/>
          <w:color w:val="auto"/>
        </w:rPr>
      </w:pPr>
    </w:p>
    <w:p>
      <w:pPr>
        <w:ind w:left="660" w:right="80" w:hanging="333"/>
        <w:spacing w:after="0" w:line="21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Substandard- </w:t>
      </w:r>
      <w:r>
        <w:rPr>
          <w:rFonts w:ascii="Arial" w:cs="Arial" w:eastAsia="Arial" w:hAnsi="Arial"/>
          <w:sz w:val="18"/>
          <w:szCs w:val="18"/>
          <w:color w:val="auto"/>
        </w:rPr>
        <w:t>This category includes “Substandard” loans, determined in accordance with regulatory guidelines,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22" w:lineRule="exact"/>
        <w:rPr>
          <w:rFonts w:ascii="Arial" w:cs="Arial" w:eastAsia="Arial" w:hAnsi="Arial"/>
          <w:sz w:val="18"/>
          <w:szCs w:val="18"/>
          <w:color w:val="auto"/>
        </w:rPr>
      </w:pPr>
    </w:p>
    <w:p>
      <w:pPr>
        <w:ind w:left="660" w:right="300" w:hanging="333"/>
        <w:spacing w:after="0" w:line="23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Substandard Non-accrual- </w:t>
      </w:r>
      <w:r>
        <w:rPr>
          <w:rFonts w:ascii="Arial" w:cs="Arial" w:eastAsia="Arial" w:hAnsi="Arial"/>
          <w:sz w:val="17"/>
          <w:szCs w:val="17"/>
          <w:color w:val="auto"/>
        </w:rPr>
        <w:t>This category includes loans that have all the characteristics of a “Substandard” loan</w:t>
      </w:r>
      <w:r>
        <w:rPr>
          <w:rFonts w:ascii="Arial" w:cs="Arial" w:eastAsia="Arial" w:hAnsi="Arial"/>
          <w:sz w:val="17"/>
          <w:szCs w:val="17"/>
          <w:i w:val="1"/>
          <w:iCs w:val="1"/>
          <w:color w:val="auto"/>
        </w:rPr>
        <w:t xml:space="preserve"> </w:t>
      </w:r>
      <w:r>
        <w:rPr>
          <w:rFonts w:ascii="Arial" w:cs="Arial" w:eastAsia="Arial" w:hAnsi="Arial"/>
          <w:sz w:val="17"/>
          <w:szCs w:val="17"/>
          <w:color w:val="auto"/>
        </w:rPr>
        <w:t>with additional factors that make collection in full highly questionable and improbable. Such loans are placed on non-accrual status and may be dependent on collateral with a value that is difficult to determine.</w:t>
      </w:r>
    </w:p>
    <w:p>
      <w:pPr>
        <w:spacing w:after="0" w:line="121"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All loans are graded at their inception.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regular basis and reviewed annually.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19"/>
        <w:spacing w:after="0" w:line="235" w:lineRule="auto"/>
        <w:rPr>
          <w:sz w:val="20"/>
          <w:szCs w:val="20"/>
          <w:color w:val="auto"/>
        </w:rPr>
      </w:pPr>
      <w:r>
        <w:rPr>
          <w:rFonts w:ascii="Arial" w:cs="Arial" w:eastAsia="Arial" w:hAnsi="Arial"/>
          <w:sz w:val="18"/>
          <w:szCs w:val="18"/>
          <w:color w:val="auto"/>
        </w:rPr>
        <w:t xml:space="preserve">The following table is a summary of risk grades segregated by category of portfolio loans (excluding accretable purchase accounting adjustments and clearings)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0"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Pass</w:t>
            </w:r>
          </w:p>
        </w:tc>
        <w:tc>
          <w:tcPr>
            <w:tcW w:w="300" w:type="dxa"/>
            <w:vAlign w:val="bottom"/>
          </w:tcPr>
          <w:p>
            <w:pPr>
              <w:spacing w:after="0"/>
              <w:rPr>
                <w:sz w:val="10"/>
                <w:szCs w:val="10"/>
                <w:color w:val="auto"/>
              </w:rPr>
            </w:pPr>
          </w:p>
        </w:tc>
        <w:tc>
          <w:tcPr>
            <w:tcW w:w="7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Watch</w:t>
            </w:r>
          </w:p>
        </w:tc>
        <w:tc>
          <w:tcPr>
            <w:tcW w:w="360" w:type="dxa"/>
            <w:vAlign w:val="bottom"/>
          </w:tcPr>
          <w:p>
            <w:pPr>
              <w:spacing w:after="0"/>
              <w:rPr>
                <w:sz w:val="10"/>
                <w:szCs w:val="10"/>
                <w:color w:val="auto"/>
              </w:rPr>
            </w:pPr>
          </w:p>
        </w:tc>
        <w:tc>
          <w:tcPr>
            <w:tcW w:w="900" w:type="dxa"/>
            <w:vAlign w:val="bottom"/>
          </w:tcPr>
          <w:p>
            <w:pPr>
              <w:jc w:val="center"/>
              <w:ind w:right="215"/>
              <w:spacing w:after="0" w:line="119" w:lineRule="exact"/>
              <w:rPr>
                <w:sz w:val="20"/>
                <w:szCs w:val="20"/>
                <w:color w:val="auto"/>
              </w:rPr>
            </w:pPr>
            <w:r>
              <w:rPr>
                <w:rFonts w:ascii="Arial" w:cs="Arial" w:eastAsia="Arial" w:hAnsi="Arial"/>
                <w:sz w:val="13"/>
                <w:szCs w:val="13"/>
                <w:b w:val="1"/>
                <w:bCs w:val="1"/>
                <w:color w:val="auto"/>
                <w:w w:val="96"/>
              </w:rPr>
              <w:t>Special</w:t>
            </w:r>
          </w:p>
        </w:tc>
        <w:tc>
          <w:tcPr>
            <w:tcW w:w="10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Substandard</w:t>
            </w:r>
          </w:p>
        </w:tc>
        <w:tc>
          <w:tcPr>
            <w:tcW w:w="104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Substandard</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Mention</w:t>
            </w:r>
          </w:p>
        </w:tc>
        <w:tc>
          <w:tcPr>
            <w:tcW w:w="1040" w:type="dxa"/>
            <w:vAlign w:val="bottom"/>
            <w:tcBorders>
              <w:bottom w:val="single" w:sz="8" w:color="auto"/>
            </w:tcBorders>
            <w:gridSpan w:val="2"/>
            <w:vMerge w:val="continue"/>
          </w:tcPr>
          <w:p>
            <w:pPr>
              <w:spacing w:after="0"/>
              <w:rPr>
                <w:sz w:val="14"/>
                <w:szCs w:val="14"/>
                <w:color w:val="auto"/>
              </w:rPr>
            </w:pP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3"/>
              <w:spacing w:after="0" w:line="182" w:lineRule="exact"/>
              <w:rPr>
                <w:sz w:val="20"/>
                <w:szCs w:val="20"/>
                <w:color w:val="auto"/>
              </w:rPr>
            </w:pPr>
            <w:r>
              <w:rPr>
                <w:rFonts w:ascii="Arial" w:cs="Arial" w:eastAsia="Arial" w:hAnsi="Arial"/>
                <w:sz w:val="18"/>
                <w:szCs w:val="18"/>
                <w:color w:val="auto"/>
                <w:w w:val="94"/>
              </w:rPr>
              <w:t>1,359,640</w:t>
            </w:r>
          </w:p>
        </w:tc>
        <w:tc>
          <w:tcPr>
            <w:tcW w:w="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180,954</w:t>
            </w:r>
          </w:p>
        </w:tc>
        <w:tc>
          <w:tcPr>
            <w:tcW w:w="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5"/>
              <w:spacing w:after="0" w:line="182" w:lineRule="exact"/>
              <w:rPr>
                <w:sz w:val="20"/>
                <w:szCs w:val="20"/>
                <w:color w:val="auto"/>
              </w:rPr>
            </w:pPr>
            <w:r>
              <w:rPr>
                <w:rFonts w:ascii="Arial" w:cs="Arial" w:eastAsia="Arial" w:hAnsi="Arial"/>
                <w:sz w:val="18"/>
                <w:szCs w:val="18"/>
                <w:color w:val="auto"/>
              </w:rPr>
              <w:t>59,595</w:t>
            </w:r>
          </w:p>
        </w:tc>
        <w:tc>
          <w:tcPr>
            <w:tcW w:w="280" w:type="dxa"/>
            <w:vAlign w:val="bottom"/>
            <w:shd w:val="clear" w:color="auto" w:fill="CCEEFF"/>
          </w:tcPr>
          <w:p>
            <w:pPr>
              <w:jc w:val="right"/>
              <w:ind w:right="56"/>
              <w:spacing w:after="0" w:line="18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41,525</w:t>
            </w:r>
          </w:p>
        </w:tc>
        <w:tc>
          <w:tcPr>
            <w:tcW w:w="360" w:type="dxa"/>
            <w:vAlign w:val="bottom"/>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16,243</w:t>
            </w:r>
          </w:p>
        </w:tc>
        <w:tc>
          <w:tcPr>
            <w:tcW w:w="0" w:type="dxa"/>
            <w:vAlign w:val="bottom"/>
          </w:tcPr>
          <w:p>
            <w:pPr>
              <w:spacing w:after="0"/>
              <w:rPr>
                <w:sz w:val="1"/>
                <w:szCs w:val="1"/>
                <w:color w:val="auto"/>
              </w:rPr>
            </w:pPr>
          </w:p>
        </w:tc>
      </w:tr>
      <w:tr>
        <w:trPr>
          <w:trHeight w:val="189"/>
        </w:trPr>
        <w:tc>
          <w:tcPr>
            <w:tcW w:w="200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6"/>
                <w:szCs w:val="16"/>
                <w:color w:val="auto"/>
              </w:rPr>
            </w:pPr>
          </w:p>
        </w:tc>
        <w:tc>
          <w:tcPr>
            <w:tcW w:w="920" w:type="dxa"/>
            <w:vAlign w:val="bottom"/>
          </w:tcPr>
          <w:p>
            <w:pPr>
              <w:jc w:val="right"/>
              <w:ind w:right="53"/>
              <w:spacing w:after="0" w:line="189" w:lineRule="exact"/>
              <w:rPr>
                <w:sz w:val="20"/>
                <w:szCs w:val="20"/>
                <w:color w:val="auto"/>
              </w:rPr>
            </w:pPr>
            <w:r>
              <w:rPr>
                <w:rFonts w:ascii="Arial" w:cs="Arial" w:eastAsia="Arial" w:hAnsi="Arial"/>
                <w:sz w:val="18"/>
                <w:szCs w:val="18"/>
                <w:color w:val="auto"/>
                <w:w w:val="94"/>
              </w:rPr>
              <w:t>2,406,213</w:t>
            </w:r>
          </w:p>
        </w:tc>
        <w:tc>
          <w:tcPr>
            <w:tcW w:w="3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8"/>
              </w:rPr>
              <w:t>168,415</w:t>
            </w:r>
          </w:p>
        </w:tc>
        <w:tc>
          <w:tcPr>
            <w:tcW w:w="360" w:type="dxa"/>
            <w:vAlign w:val="bottom"/>
          </w:tcPr>
          <w:p>
            <w:pPr>
              <w:spacing w:after="0"/>
              <w:rPr>
                <w:sz w:val="16"/>
                <w:szCs w:val="16"/>
                <w:color w:val="auto"/>
              </w:rPr>
            </w:pPr>
          </w:p>
        </w:tc>
        <w:tc>
          <w:tcPr>
            <w:tcW w:w="900" w:type="dxa"/>
            <w:vAlign w:val="bottom"/>
          </w:tcPr>
          <w:p>
            <w:pPr>
              <w:jc w:val="right"/>
              <w:ind w:right="135"/>
              <w:spacing w:after="0" w:line="189" w:lineRule="exact"/>
              <w:rPr>
                <w:sz w:val="20"/>
                <w:szCs w:val="20"/>
                <w:color w:val="auto"/>
              </w:rPr>
            </w:pPr>
            <w:r>
              <w:rPr>
                <w:rFonts w:ascii="Arial" w:cs="Arial" w:eastAsia="Arial" w:hAnsi="Arial"/>
                <w:sz w:val="18"/>
                <w:szCs w:val="18"/>
                <w:color w:val="auto"/>
              </w:rPr>
              <w:t>89,262</w:t>
            </w:r>
          </w:p>
        </w:tc>
        <w:tc>
          <w:tcPr>
            <w:tcW w:w="280" w:type="dxa"/>
            <w:vAlign w:val="bottom"/>
          </w:tcPr>
          <w:p>
            <w:pPr>
              <w:spacing w:after="0"/>
              <w:rPr>
                <w:sz w:val="16"/>
                <w:szCs w:val="16"/>
                <w:color w:val="auto"/>
              </w:rPr>
            </w:pPr>
          </w:p>
        </w:tc>
        <w:tc>
          <w:tcPr>
            <w:tcW w:w="7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33,585</w:t>
            </w:r>
          </w:p>
        </w:tc>
        <w:tc>
          <w:tcPr>
            <w:tcW w:w="36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9,761</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362,541</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19,652</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8"/>
                <w:szCs w:val="18"/>
                <w:color w:val="auto"/>
              </w:rPr>
              <w:t>3,105</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1,346</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189"/>
        </w:trPr>
        <w:tc>
          <w:tcPr>
            <w:tcW w:w="200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160" w:type="dxa"/>
            <w:vAlign w:val="bottom"/>
          </w:tcPr>
          <w:p>
            <w:pPr>
              <w:spacing w:after="0"/>
              <w:rPr>
                <w:sz w:val="16"/>
                <w:szCs w:val="16"/>
                <w:color w:val="auto"/>
              </w:rPr>
            </w:pPr>
          </w:p>
        </w:tc>
        <w:tc>
          <w:tcPr>
            <w:tcW w:w="920" w:type="dxa"/>
            <w:vAlign w:val="bottom"/>
          </w:tcPr>
          <w:p>
            <w:pPr>
              <w:jc w:val="right"/>
              <w:ind w:right="53"/>
              <w:spacing w:after="0" w:line="189" w:lineRule="exact"/>
              <w:rPr>
                <w:sz w:val="20"/>
                <w:szCs w:val="20"/>
                <w:color w:val="auto"/>
              </w:rPr>
            </w:pPr>
            <w:r>
              <w:rPr>
                <w:rFonts w:ascii="Arial" w:cs="Arial" w:eastAsia="Arial" w:hAnsi="Arial"/>
                <w:sz w:val="18"/>
                <w:szCs w:val="18"/>
                <w:color w:val="auto"/>
                <w:w w:val="94"/>
              </w:rPr>
              <w:t>1,671,219</w:t>
            </w:r>
          </w:p>
        </w:tc>
        <w:tc>
          <w:tcPr>
            <w:tcW w:w="3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14,202</w:t>
            </w:r>
          </w:p>
        </w:tc>
        <w:tc>
          <w:tcPr>
            <w:tcW w:w="360" w:type="dxa"/>
            <w:vAlign w:val="bottom"/>
          </w:tcPr>
          <w:p>
            <w:pPr>
              <w:spacing w:after="0"/>
              <w:rPr>
                <w:sz w:val="16"/>
                <w:szCs w:val="16"/>
                <w:color w:val="auto"/>
              </w:rPr>
            </w:pPr>
          </w:p>
        </w:tc>
        <w:tc>
          <w:tcPr>
            <w:tcW w:w="900" w:type="dxa"/>
            <w:vAlign w:val="bottom"/>
          </w:tcPr>
          <w:p>
            <w:pPr>
              <w:jc w:val="right"/>
              <w:ind w:right="135"/>
              <w:spacing w:after="0" w:line="189" w:lineRule="exact"/>
              <w:rPr>
                <w:sz w:val="20"/>
                <w:szCs w:val="20"/>
                <w:color w:val="auto"/>
              </w:rPr>
            </w:pPr>
            <w:r>
              <w:rPr>
                <w:rFonts w:ascii="Arial" w:cs="Arial" w:eastAsia="Arial" w:hAnsi="Arial"/>
                <w:sz w:val="18"/>
                <w:szCs w:val="18"/>
                <w:color w:val="auto"/>
              </w:rPr>
              <w:t>6,802</w:t>
            </w:r>
          </w:p>
        </w:tc>
        <w:tc>
          <w:tcPr>
            <w:tcW w:w="280" w:type="dxa"/>
            <w:vAlign w:val="bottom"/>
          </w:tcPr>
          <w:p>
            <w:pPr>
              <w:spacing w:after="0"/>
              <w:rPr>
                <w:sz w:val="16"/>
                <w:szCs w:val="16"/>
                <w:color w:val="auto"/>
              </w:rPr>
            </w:pPr>
          </w:p>
        </w:tc>
        <w:tc>
          <w:tcPr>
            <w:tcW w:w="7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7,678</w:t>
            </w:r>
          </w:p>
        </w:tc>
        <w:tc>
          <w:tcPr>
            <w:tcW w:w="36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51,101</w:t>
            </w: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90</w:t>
            </w: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0"/>
        </w:trPr>
        <w:tc>
          <w:tcPr>
            <w:tcW w:w="2000" w:type="dxa"/>
            <w:vAlign w:val="bottom"/>
          </w:tcPr>
          <w:p>
            <w:pPr>
              <w:ind w:left="220"/>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3"/>
              <w:spacing w:after="0" w:line="182" w:lineRule="exact"/>
              <w:rPr>
                <w:sz w:val="20"/>
                <w:szCs w:val="20"/>
                <w:color w:val="auto"/>
              </w:rPr>
            </w:pPr>
            <w:r>
              <w:rPr>
                <w:rFonts w:ascii="Arial" w:cs="Arial" w:eastAsia="Arial" w:hAnsi="Arial"/>
                <w:sz w:val="18"/>
                <w:szCs w:val="18"/>
                <w:color w:val="auto"/>
                <w:w w:val="94"/>
              </w:rPr>
              <w:t>5,850,714</w:t>
            </w:r>
          </w:p>
        </w:tc>
        <w:tc>
          <w:tcPr>
            <w:tcW w:w="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8"/>
              </w:rPr>
              <w:t>383,313</w:t>
            </w:r>
          </w:p>
        </w:tc>
        <w:tc>
          <w:tcPr>
            <w:tcW w:w="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5"/>
              <w:spacing w:after="0" w:line="182" w:lineRule="exact"/>
              <w:rPr>
                <w:sz w:val="20"/>
                <w:szCs w:val="20"/>
                <w:color w:val="auto"/>
              </w:rPr>
            </w:pPr>
            <w:r>
              <w:rPr>
                <w:rFonts w:ascii="Arial" w:cs="Arial" w:eastAsia="Arial" w:hAnsi="Arial"/>
                <w:sz w:val="18"/>
                <w:szCs w:val="18"/>
                <w:color w:val="auto"/>
              </w:rPr>
              <w:t>158,764</w:t>
            </w:r>
          </w:p>
        </w:tc>
        <w:tc>
          <w:tcPr>
            <w:tcW w:w="280" w:type="dxa"/>
            <w:vAlign w:val="bottom"/>
            <w:tcBorders>
              <w:bottom w:val="single" w:sz="8" w:color="auto"/>
            </w:tcBorders>
          </w:tcPr>
          <w:p>
            <w:pPr>
              <w:jc w:val="right"/>
              <w:ind w:right="56"/>
              <w:spacing w:after="0" w:line="18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84,150</w:t>
            </w:r>
          </w:p>
        </w:tc>
        <w:tc>
          <w:tcPr>
            <w:tcW w:w="360" w:type="dxa"/>
            <w:vAlign w:val="bottom"/>
            <w:tcBorders>
              <w:bottom w:val="single" w:sz="8" w:color="auto"/>
            </w:tcBorders>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36,230</w:t>
            </w:r>
          </w:p>
        </w:tc>
        <w:tc>
          <w:tcPr>
            <w:tcW w:w="0" w:type="dxa"/>
            <w:vAlign w:val="bottom"/>
          </w:tcPr>
          <w:p>
            <w:pPr>
              <w:spacing w:after="0"/>
              <w:rPr>
                <w:sz w:val="1"/>
                <w:szCs w:val="1"/>
                <w:color w:val="auto"/>
              </w:rPr>
            </w:pPr>
          </w:p>
        </w:tc>
      </w:tr>
      <w:tr>
        <w:trPr>
          <w:trHeight w:val="338"/>
        </w:trPr>
        <w:tc>
          <w:tcPr>
            <w:tcW w:w="2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Pass</w:t>
            </w:r>
          </w:p>
        </w:tc>
        <w:tc>
          <w:tcPr>
            <w:tcW w:w="300" w:type="dxa"/>
            <w:vAlign w:val="bottom"/>
          </w:tcPr>
          <w:p>
            <w:pPr>
              <w:spacing w:after="0"/>
              <w:rPr>
                <w:sz w:val="10"/>
                <w:szCs w:val="10"/>
                <w:color w:val="auto"/>
              </w:rPr>
            </w:pPr>
          </w:p>
        </w:tc>
        <w:tc>
          <w:tcPr>
            <w:tcW w:w="7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Watch</w:t>
            </w:r>
          </w:p>
        </w:tc>
        <w:tc>
          <w:tcPr>
            <w:tcW w:w="360" w:type="dxa"/>
            <w:vAlign w:val="bottom"/>
          </w:tcPr>
          <w:p>
            <w:pPr>
              <w:spacing w:after="0"/>
              <w:rPr>
                <w:sz w:val="10"/>
                <w:szCs w:val="10"/>
                <w:color w:val="auto"/>
              </w:rPr>
            </w:pPr>
          </w:p>
        </w:tc>
        <w:tc>
          <w:tcPr>
            <w:tcW w:w="900" w:type="dxa"/>
            <w:vAlign w:val="bottom"/>
          </w:tcPr>
          <w:p>
            <w:pPr>
              <w:jc w:val="center"/>
              <w:ind w:right="215"/>
              <w:spacing w:after="0" w:line="119" w:lineRule="exact"/>
              <w:rPr>
                <w:sz w:val="20"/>
                <w:szCs w:val="20"/>
                <w:color w:val="auto"/>
              </w:rPr>
            </w:pPr>
            <w:r>
              <w:rPr>
                <w:rFonts w:ascii="Arial" w:cs="Arial" w:eastAsia="Arial" w:hAnsi="Arial"/>
                <w:sz w:val="13"/>
                <w:szCs w:val="13"/>
                <w:b w:val="1"/>
                <w:bCs w:val="1"/>
                <w:color w:val="auto"/>
                <w:w w:val="96"/>
              </w:rPr>
              <w:t>Special</w:t>
            </w:r>
          </w:p>
        </w:tc>
        <w:tc>
          <w:tcPr>
            <w:tcW w:w="10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Substandard</w:t>
            </w:r>
          </w:p>
        </w:tc>
        <w:tc>
          <w:tcPr>
            <w:tcW w:w="104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Substandard</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Mention</w:t>
            </w:r>
          </w:p>
        </w:tc>
        <w:tc>
          <w:tcPr>
            <w:tcW w:w="1040" w:type="dxa"/>
            <w:vAlign w:val="bottom"/>
            <w:tcBorders>
              <w:bottom w:val="single" w:sz="8" w:color="auto"/>
            </w:tcBorders>
            <w:gridSpan w:val="2"/>
            <w:vMerge w:val="continue"/>
          </w:tcPr>
          <w:p>
            <w:pPr>
              <w:spacing w:after="0"/>
              <w:rPr>
                <w:sz w:val="14"/>
                <w:szCs w:val="14"/>
                <w:color w:val="auto"/>
              </w:rPr>
            </w:pP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3"/>
              <w:spacing w:after="0" w:line="182" w:lineRule="exact"/>
              <w:rPr>
                <w:sz w:val="20"/>
                <w:szCs w:val="20"/>
                <w:color w:val="auto"/>
              </w:rPr>
            </w:pPr>
            <w:r>
              <w:rPr>
                <w:rFonts w:ascii="Arial" w:cs="Arial" w:eastAsia="Arial" w:hAnsi="Arial"/>
                <w:sz w:val="18"/>
                <w:szCs w:val="18"/>
                <w:color w:val="auto"/>
                <w:w w:val="94"/>
              </w:rPr>
              <w:t>1,126,257</w:t>
            </w:r>
          </w:p>
        </w:tc>
        <w:tc>
          <w:tcPr>
            <w:tcW w:w="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172,449</w:t>
            </w:r>
          </w:p>
        </w:tc>
        <w:tc>
          <w:tcPr>
            <w:tcW w:w="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5"/>
              <w:spacing w:after="0" w:line="182" w:lineRule="exact"/>
              <w:rPr>
                <w:sz w:val="20"/>
                <w:szCs w:val="20"/>
                <w:color w:val="auto"/>
              </w:rPr>
            </w:pPr>
            <w:r>
              <w:rPr>
                <w:rFonts w:ascii="Arial" w:cs="Arial" w:eastAsia="Arial" w:hAnsi="Arial"/>
                <w:sz w:val="18"/>
                <w:szCs w:val="18"/>
                <w:color w:val="auto"/>
              </w:rPr>
              <w:t>47,000</w:t>
            </w:r>
          </w:p>
        </w:tc>
        <w:tc>
          <w:tcPr>
            <w:tcW w:w="280" w:type="dxa"/>
            <w:vAlign w:val="bottom"/>
            <w:shd w:val="clear" w:color="auto" w:fill="CCEEFF"/>
          </w:tcPr>
          <w:p>
            <w:pPr>
              <w:jc w:val="right"/>
              <w:ind w:right="56"/>
              <w:spacing w:after="0" w:line="18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42,532</w:t>
            </w:r>
          </w:p>
        </w:tc>
        <w:tc>
          <w:tcPr>
            <w:tcW w:w="360" w:type="dxa"/>
            <w:vAlign w:val="bottom"/>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17,953</w:t>
            </w:r>
          </w:p>
        </w:tc>
        <w:tc>
          <w:tcPr>
            <w:tcW w:w="0" w:type="dxa"/>
            <w:vAlign w:val="bottom"/>
          </w:tcPr>
          <w:p>
            <w:pPr>
              <w:spacing w:after="0"/>
              <w:rPr>
                <w:sz w:val="1"/>
                <w:szCs w:val="1"/>
                <w:color w:val="auto"/>
              </w:rPr>
            </w:pPr>
          </w:p>
        </w:tc>
      </w:tr>
      <w:tr>
        <w:trPr>
          <w:trHeight w:val="189"/>
        </w:trPr>
        <w:tc>
          <w:tcPr>
            <w:tcW w:w="200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6"/>
                <w:szCs w:val="16"/>
                <w:color w:val="auto"/>
              </w:rPr>
            </w:pPr>
          </w:p>
        </w:tc>
        <w:tc>
          <w:tcPr>
            <w:tcW w:w="920" w:type="dxa"/>
            <w:vAlign w:val="bottom"/>
          </w:tcPr>
          <w:p>
            <w:pPr>
              <w:jc w:val="right"/>
              <w:ind w:right="53"/>
              <w:spacing w:after="0" w:line="189" w:lineRule="exact"/>
              <w:rPr>
                <w:sz w:val="20"/>
                <w:szCs w:val="20"/>
                <w:color w:val="auto"/>
              </w:rPr>
            </w:pPr>
            <w:r>
              <w:rPr>
                <w:rFonts w:ascii="Arial" w:cs="Arial" w:eastAsia="Arial" w:hAnsi="Arial"/>
                <w:sz w:val="18"/>
                <w:szCs w:val="18"/>
                <w:color w:val="auto"/>
                <w:w w:val="94"/>
              </w:rPr>
              <w:t>2,106,711</w:t>
            </w:r>
          </w:p>
        </w:tc>
        <w:tc>
          <w:tcPr>
            <w:tcW w:w="3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8"/>
              </w:rPr>
              <w:t>137,214</w:t>
            </w:r>
          </w:p>
        </w:tc>
        <w:tc>
          <w:tcPr>
            <w:tcW w:w="360" w:type="dxa"/>
            <w:vAlign w:val="bottom"/>
          </w:tcPr>
          <w:p>
            <w:pPr>
              <w:spacing w:after="0"/>
              <w:rPr>
                <w:sz w:val="16"/>
                <w:szCs w:val="16"/>
                <w:color w:val="auto"/>
              </w:rPr>
            </w:pPr>
          </w:p>
        </w:tc>
        <w:tc>
          <w:tcPr>
            <w:tcW w:w="900" w:type="dxa"/>
            <w:vAlign w:val="bottom"/>
          </w:tcPr>
          <w:p>
            <w:pPr>
              <w:jc w:val="right"/>
              <w:ind w:right="135"/>
              <w:spacing w:after="0" w:line="189" w:lineRule="exact"/>
              <w:rPr>
                <w:sz w:val="20"/>
                <w:szCs w:val="20"/>
                <w:color w:val="auto"/>
              </w:rPr>
            </w:pPr>
            <w:r>
              <w:rPr>
                <w:rFonts w:ascii="Arial" w:cs="Arial" w:eastAsia="Arial" w:hAnsi="Arial"/>
                <w:sz w:val="18"/>
                <w:szCs w:val="18"/>
                <w:color w:val="auto"/>
              </w:rPr>
              <w:t>85,148</w:t>
            </w:r>
          </w:p>
        </w:tc>
        <w:tc>
          <w:tcPr>
            <w:tcW w:w="280" w:type="dxa"/>
            <w:vAlign w:val="bottom"/>
          </w:tcPr>
          <w:p>
            <w:pPr>
              <w:spacing w:after="0"/>
              <w:rPr>
                <w:sz w:val="16"/>
                <w:szCs w:val="16"/>
                <w:color w:val="auto"/>
              </w:rPr>
            </w:pPr>
          </w:p>
        </w:tc>
        <w:tc>
          <w:tcPr>
            <w:tcW w:w="7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36,205</w:t>
            </w:r>
          </w:p>
        </w:tc>
        <w:tc>
          <w:tcPr>
            <w:tcW w:w="36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10,298</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268,069</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14,562</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8"/>
                <w:szCs w:val="18"/>
                <w:color w:val="auto"/>
              </w:rPr>
              <w:t>3,899</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1,888</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9"/>
        </w:trPr>
        <w:tc>
          <w:tcPr>
            <w:tcW w:w="200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160" w:type="dxa"/>
            <w:vAlign w:val="bottom"/>
          </w:tcPr>
          <w:p>
            <w:pPr>
              <w:spacing w:after="0"/>
              <w:rPr>
                <w:sz w:val="16"/>
                <w:szCs w:val="16"/>
                <w:color w:val="auto"/>
              </w:rPr>
            </w:pPr>
          </w:p>
        </w:tc>
        <w:tc>
          <w:tcPr>
            <w:tcW w:w="920" w:type="dxa"/>
            <w:vAlign w:val="bottom"/>
          </w:tcPr>
          <w:p>
            <w:pPr>
              <w:jc w:val="right"/>
              <w:ind w:right="53"/>
              <w:spacing w:after="0" w:line="189" w:lineRule="exact"/>
              <w:rPr>
                <w:sz w:val="20"/>
                <w:szCs w:val="20"/>
                <w:color w:val="auto"/>
              </w:rPr>
            </w:pPr>
            <w:r>
              <w:rPr>
                <w:rFonts w:ascii="Arial" w:cs="Arial" w:eastAsia="Arial" w:hAnsi="Arial"/>
                <w:sz w:val="18"/>
                <w:szCs w:val="18"/>
                <w:color w:val="auto"/>
                <w:w w:val="94"/>
              </w:rPr>
              <w:t>1,448,964</w:t>
            </w:r>
          </w:p>
        </w:tc>
        <w:tc>
          <w:tcPr>
            <w:tcW w:w="3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6,425</w:t>
            </w:r>
          </w:p>
        </w:tc>
        <w:tc>
          <w:tcPr>
            <w:tcW w:w="360" w:type="dxa"/>
            <w:vAlign w:val="bottom"/>
          </w:tcPr>
          <w:p>
            <w:pPr>
              <w:spacing w:after="0"/>
              <w:rPr>
                <w:sz w:val="16"/>
                <w:szCs w:val="16"/>
                <w:color w:val="auto"/>
              </w:rPr>
            </w:pPr>
          </w:p>
        </w:tc>
        <w:tc>
          <w:tcPr>
            <w:tcW w:w="900" w:type="dxa"/>
            <w:vAlign w:val="bottom"/>
          </w:tcPr>
          <w:p>
            <w:pPr>
              <w:jc w:val="right"/>
              <w:ind w:right="135"/>
              <w:spacing w:after="0" w:line="189" w:lineRule="exact"/>
              <w:rPr>
                <w:sz w:val="20"/>
                <w:szCs w:val="20"/>
                <w:color w:val="auto"/>
              </w:rPr>
            </w:pPr>
            <w:r>
              <w:rPr>
                <w:rFonts w:ascii="Arial" w:cs="Arial" w:eastAsia="Arial" w:hAnsi="Arial"/>
                <w:sz w:val="18"/>
                <w:szCs w:val="18"/>
                <w:color w:val="auto"/>
              </w:rPr>
              <w:t>6,792</w:t>
            </w:r>
          </w:p>
        </w:tc>
        <w:tc>
          <w:tcPr>
            <w:tcW w:w="280" w:type="dxa"/>
            <w:vAlign w:val="bottom"/>
          </w:tcPr>
          <w:p>
            <w:pPr>
              <w:spacing w:after="0"/>
              <w:rPr>
                <w:sz w:val="16"/>
                <w:szCs w:val="16"/>
                <w:color w:val="auto"/>
              </w:rPr>
            </w:pPr>
          </w:p>
        </w:tc>
        <w:tc>
          <w:tcPr>
            <w:tcW w:w="7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5,435</w:t>
            </w:r>
          </w:p>
        </w:tc>
        <w:tc>
          <w:tcPr>
            <w:tcW w:w="36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6,698</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26,707</w:t>
            </w: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0"/>
        </w:trPr>
        <w:tc>
          <w:tcPr>
            <w:tcW w:w="2000" w:type="dxa"/>
            <w:vAlign w:val="bottom"/>
          </w:tcPr>
          <w:p>
            <w:pPr>
              <w:ind w:left="220"/>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3"/>
              <w:spacing w:after="0" w:line="182" w:lineRule="exact"/>
              <w:rPr>
                <w:sz w:val="20"/>
                <w:szCs w:val="20"/>
                <w:color w:val="auto"/>
              </w:rPr>
            </w:pPr>
            <w:r>
              <w:rPr>
                <w:rFonts w:ascii="Arial" w:cs="Arial" w:eastAsia="Arial" w:hAnsi="Arial"/>
                <w:sz w:val="18"/>
                <w:szCs w:val="18"/>
                <w:color w:val="auto"/>
                <w:w w:val="94"/>
              </w:rPr>
              <w:t>4,976,708</w:t>
            </w:r>
          </w:p>
        </w:tc>
        <w:tc>
          <w:tcPr>
            <w:tcW w:w="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8"/>
              </w:rPr>
              <w:t>330,650</w:t>
            </w:r>
          </w:p>
        </w:tc>
        <w:tc>
          <w:tcPr>
            <w:tcW w:w="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5"/>
              <w:spacing w:after="0" w:line="182" w:lineRule="exact"/>
              <w:rPr>
                <w:sz w:val="20"/>
                <w:szCs w:val="20"/>
                <w:color w:val="auto"/>
              </w:rPr>
            </w:pPr>
            <w:r>
              <w:rPr>
                <w:rFonts w:ascii="Arial" w:cs="Arial" w:eastAsia="Arial" w:hAnsi="Arial"/>
                <w:sz w:val="18"/>
                <w:szCs w:val="18"/>
                <w:color w:val="auto"/>
              </w:rPr>
              <w:t>142,839</w:t>
            </w:r>
          </w:p>
        </w:tc>
        <w:tc>
          <w:tcPr>
            <w:tcW w:w="280" w:type="dxa"/>
            <w:vAlign w:val="bottom"/>
            <w:tcBorders>
              <w:bottom w:val="single" w:sz="8" w:color="auto"/>
            </w:tcBorders>
          </w:tcPr>
          <w:p>
            <w:pPr>
              <w:jc w:val="right"/>
              <w:ind w:right="56"/>
              <w:spacing w:after="0" w:line="18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86,060</w:t>
            </w:r>
          </w:p>
        </w:tc>
        <w:tc>
          <w:tcPr>
            <w:tcW w:w="360" w:type="dxa"/>
            <w:vAlign w:val="bottom"/>
            <w:tcBorders>
              <w:bottom w:val="single" w:sz="8" w:color="auto"/>
            </w:tcBorders>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34,997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759"/>
        <w:spacing w:after="0" w:line="223" w:lineRule="auto"/>
        <w:rPr>
          <w:sz w:val="20"/>
          <w:szCs w:val="20"/>
          <w:color w:val="auto"/>
        </w:rPr>
      </w:pPr>
      <w:r>
        <w:rPr>
          <w:rFonts w:ascii="Arial" w:cs="Arial" w:eastAsia="Arial" w:hAnsi="Arial"/>
          <w:sz w:val="18"/>
          <w:szCs w:val="18"/>
          <w:color w:val="auto"/>
        </w:rPr>
        <w:t xml:space="preserve">An analysis of portfolio loans that are past due and still accruing or on a non-accrual status is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920" w:type="dxa"/>
        <w:tblCellMar>
          <w:top w:w="0" w:type="dxa"/>
          <w:left w:w="0" w:type="dxa"/>
          <w:bottom w:w="0" w:type="dxa"/>
          <w:right w:w="0" w:type="dxa"/>
        </w:tblCellMar>
      </w:tblPr>
      <w:tr>
        <w:trPr>
          <w:trHeight w:val="156"/>
        </w:trPr>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633"/>
              <w:spacing w:after="0" w:line="157" w:lineRule="exact"/>
              <w:rPr>
                <w:sz w:val="20"/>
                <w:szCs w:val="20"/>
                <w:color w:val="auto"/>
              </w:rPr>
            </w:pPr>
            <w:r>
              <w:rPr>
                <w:rFonts w:ascii="Arial" w:cs="Arial" w:eastAsia="Arial" w:hAnsi="Arial"/>
                <w:sz w:val="14"/>
                <w:szCs w:val="14"/>
                <w:b w:val="1"/>
                <w:bCs w:val="1"/>
                <w:color w:val="auto"/>
              </w:rPr>
              <w:t>March 31, 2019</w:t>
            </w: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42"/>
        </w:trPr>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center"/>
              <w:ind w:left="654"/>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8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center"/>
              <w:ind w:right="54"/>
              <w:spacing w:after="0" w:line="142" w:lineRule="exact"/>
              <w:rPr>
                <w:sz w:val="20"/>
                <w:szCs w:val="20"/>
                <w:color w:val="auto"/>
              </w:rPr>
            </w:pPr>
            <w:r>
              <w:rPr>
                <w:rFonts w:ascii="Arial" w:cs="Arial" w:eastAsia="Arial" w:hAnsi="Arial"/>
                <w:sz w:val="14"/>
                <w:szCs w:val="14"/>
                <w:b w:val="1"/>
                <w:bCs w:val="1"/>
                <w:color w:val="auto"/>
                <w:w w:val="93"/>
              </w:rPr>
              <w:t>Non-accrual</w:t>
            </w:r>
          </w:p>
        </w:tc>
      </w:tr>
      <w:tr>
        <w:trPr>
          <w:trHeight w:val="142"/>
        </w:trPr>
        <w:tc>
          <w:tcPr>
            <w:tcW w:w="2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5"/>
              </w:rPr>
              <w:t>30-59 Days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34"/>
              <w:spacing w:after="0" w:line="142" w:lineRule="exact"/>
              <w:rPr>
                <w:sz w:val="20"/>
                <w:szCs w:val="20"/>
                <w:color w:val="auto"/>
              </w:rPr>
            </w:pPr>
            <w:r>
              <w:rPr>
                <w:rFonts w:ascii="Arial" w:cs="Arial" w:eastAsia="Arial" w:hAnsi="Arial"/>
                <w:sz w:val="14"/>
                <w:szCs w:val="14"/>
                <w:b w:val="1"/>
                <w:bCs w:val="1"/>
                <w:color w:val="auto"/>
                <w:w w:val="92"/>
              </w:rPr>
              <w:t>60-89 Days</w:t>
            </w: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90+Days</w:t>
            </w: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Loans</w:t>
            </w:r>
          </w:p>
        </w:tc>
      </w:tr>
      <w:tr>
        <w:trPr>
          <w:trHeight w:val="183"/>
        </w:trPr>
        <w:tc>
          <w:tcPr>
            <w:tcW w:w="2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74"/>
              <w:spacing w:after="0" w:line="182" w:lineRule="exact"/>
              <w:rPr>
                <w:sz w:val="20"/>
                <w:szCs w:val="20"/>
                <w:color w:val="auto"/>
              </w:rPr>
            </w:pPr>
            <w:r>
              <w:rPr>
                <w:rFonts w:ascii="Arial" w:cs="Arial" w:eastAsia="Arial" w:hAnsi="Arial"/>
                <w:sz w:val="18"/>
                <w:szCs w:val="18"/>
                <w:color w:val="auto"/>
              </w:rPr>
              <w:t>410</w:t>
            </w:r>
          </w:p>
        </w:tc>
        <w:tc>
          <w:tcPr>
            <w:tcW w:w="2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4"/>
              <w:spacing w:after="0" w:line="182" w:lineRule="exact"/>
              <w:rPr>
                <w:sz w:val="20"/>
                <w:szCs w:val="20"/>
                <w:color w:val="auto"/>
              </w:rPr>
            </w:pPr>
            <w:r>
              <w:rPr>
                <w:rFonts w:ascii="Arial" w:cs="Arial" w:eastAsia="Arial" w:hAnsi="Arial"/>
                <w:sz w:val="18"/>
                <w:szCs w:val="18"/>
                <w:color w:val="auto"/>
              </w:rPr>
              <w:t>1,500</w:t>
            </w:r>
          </w:p>
        </w:tc>
        <w:tc>
          <w:tcPr>
            <w:tcW w:w="36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72</w:t>
            </w:r>
          </w:p>
        </w:tc>
        <w:tc>
          <w:tcPr>
            <w:tcW w:w="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16,243</w:t>
            </w:r>
          </w:p>
        </w:tc>
      </w:tr>
      <w:tr>
        <w:trPr>
          <w:trHeight w:val="189"/>
        </w:trPr>
        <w:tc>
          <w:tcPr>
            <w:tcW w:w="226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4"/>
              <w:spacing w:after="0" w:line="189" w:lineRule="exact"/>
              <w:rPr>
                <w:sz w:val="20"/>
                <w:szCs w:val="20"/>
                <w:color w:val="auto"/>
              </w:rPr>
            </w:pPr>
            <w:r>
              <w:rPr>
                <w:rFonts w:ascii="Arial" w:cs="Arial" w:eastAsia="Arial" w:hAnsi="Arial"/>
                <w:sz w:val="18"/>
                <w:szCs w:val="18"/>
                <w:color w:val="auto"/>
              </w:rPr>
              <w:t>1,662</w:t>
            </w:r>
          </w:p>
        </w:tc>
        <w:tc>
          <w:tcPr>
            <w:tcW w:w="280" w:type="dxa"/>
            <w:vAlign w:val="bottom"/>
          </w:tcPr>
          <w:p>
            <w:pPr>
              <w:spacing w:after="0"/>
              <w:rPr>
                <w:sz w:val="16"/>
                <w:szCs w:val="16"/>
                <w:color w:val="auto"/>
              </w:rPr>
            </w:pPr>
          </w:p>
        </w:tc>
        <w:tc>
          <w:tcPr>
            <w:tcW w:w="1020" w:type="dxa"/>
            <w:vAlign w:val="bottom"/>
          </w:tcPr>
          <w:p>
            <w:pPr>
              <w:jc w:val="right"/>
              <w:ind w:right="74"/>
              <w:spacing w:after="0" w:line="189" w:lineRule="exact"/>
              <w:rPr>
                <w:sz w:val="20"/>
                <w:szCs w:val="20"/>
                <w:color w:val="auto"/>
              </w:rPr>
            </w:pPr>
            <w:r>
              <w:rPr>
                <w:rFonts w:ascii="Arial" w:cs="Arial" w:eastAsia="Arial" w:hAnsi="Arial"/>
                <w:sz w:val="18"/>
                <w:szCs w:val="18"/>
                <w:color w:val="auto"/>
              </w:rPr>
              <w:t>595</w:t>
            </w:r>
          </w:p>
        </w:tc>
        <w:tc>
          <w:tcPr>
            <w:tcW w:w="3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9,761</w:t>
            </w:r>
          </w:p>
        </w:tc>
      </w:tr>
      <w:tr>
        <w:trPr>
          <w:trHeight w:val="189"/>
        </w:trPr>
        <w:tc>
          <w:tcPr>
            <w:tcW w:w="2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4"/>
              <w:spacing w:after="0" w:line="189" w:lineRule="exact"/>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4"/>
              <w:spacing w:after="0" w:line="189"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1,126</w:t>
            </w:r>
          </w:p>
        </w:tc>
      </w:tr>
      <w:tr>
        <w:trPr>
          <w:trHeight w:val="189"/>
        </w:trPr>
        <w:tc>
          <w:tcPr>
            <w:tcW w:w="226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4"/>
              <w:spacing w:after="0" w:line="189" w:lineRule="exact"/>
              <w:rPr>
                <w:sz w:val="20"/>
                <w:szCs w:val="20"/>
                <w:color w:val="auto"/>
              </w:rPr>
            </w:pPr>
            <w:r>
              <w:rPr>
                <w:rFonts w:ascii="Arial" w:cs="Arial" w:eastAsia="Arial" w:hAnsi="Arial"/>
                <w:sz w:val="18"/>
                <w:szCs w:val="18"/>
                <w:color w:val="auto"/>
              </w:rPr>
              <w:t>4,442</w:t>
            </w:r>
          </w:p>
        </w:tc>
        <w:tc>
          <w:tcPr>
            <w:tcW w:w="280" w:type="dxa"/>
            <w:vAlign w:val="bottom"/>
          </w:tcPr>
          <w:p>
            <w:pPr>
              <w:spacing w:after="0"/>
              <w:rPr>
                <w:sz w:val="16"/>
                <w:szCs w:val="16"/>
                <w:color w:val="auto"/>
              </w:rPr>
            </w:pPr>
          </w:p>
        </w:tc>
        <w:tc>
          <w:tcPr>
            <w:tcW w:w="1020" w:type="dxa"/>
            <w:vAlign w:val="bottom"/>
          </w:tcPr>
          <w:p>
            <w:pPr>
              <w:jc w:val="right"/>
              <w:ind w:right="74"/>
              <w:spacing w:after="0" w:line="189" w:lineRule="exact"/>
              <w:rPr>
                <w:sz w:val="20"/>
                <w:szCs w:val="20"/>
                <w:color w:val="auto"/>
              </w:rPr>
            </w:pPr>
            <w:r>
              <w:rPr>
                <w:rFonts w:ascii="Arial" w:cs="Arial" w:eastAsia="Arial" w:hAnsi="Arial"/>
                <w:sz w:val="18"/>
                <w:szCs w:val="18"/>
                <w:color w:val="auto"/>
              </w:rPr>
              <w:t>1,596</w:t>
            </w:r>
          </w:p>
        </w:tc>
        <w:tc>
          <w:tcPr>
            <w:tcW w:w="3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284</w:t>
            </w:r>
          </w:p>
        </w:tc>
        <w:tc>
          <w:tcPr>
            <w:tcW w:w="3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9,080</w:t>
            </w:r>
          </w:p>
        </w:tc>
      </w:tr>
      <w:tr>
        <w:trPr>
          <w:trHeight w:val="189"/>
        </w:trPr>
        <w:tc>
          <w:tcPr>
            <w:tcW w:w="2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4"/>
              <w:spacing w:after="0" w:line="189" w:lineRule="exact"/>
              <w:rPr>
                <w:sz w:val="20"/>
                <w:szCs w:val="20"/>
                <w:color w:val="auto"/>
              </w:rPr>
            </w:pPr>
            <w:r>
              <w:rPr>
                <w:rFonts w:ascii="Arial" w:cs="Arial" w:eastAsia="Arial" w:hAnsi="Arial"/>
                <w:sz w:val="18"/>
                <w:szCs w:val="18"/>
                <w:color w:val="auto"/>
              </w:rPr>
              <w:t>364</w:t>
            </w: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74"/>
              <w:spacing w:after="0" w:line="189" w:lineRule="exact"/>
              <w:rPr>
                <w:sz w:val="20"/>
                <w:szCs w:val="20"/>
                <w:color w:val="auto"/>
              </w:rPr>
            </w:pPr>
            <w:r>
              <w:rPr>
                <w:rFonts w:ascii="Arial" w:cs="Arial" w:eastAsia="Arial" w:hAnsi="Arial"/>
                <w:sz w:val="18"/>
                <w:szCs w:val="18"/>
                <w:color w:val="auto"/>
              </w:rPr>
              <w:t>20</w:t>
            </w:r>
          </w:p>
        </w:tc>
        <w:tc>
          <w:tcPr>
            <w:tcW w:w="3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r>
      <w:tr>
        <w:trPr>
          <w:trHeight w:val="190"/>
        </w:trPr>
        <w:tc>
          <w:tcPr>
            <w:tcW w:w="2260" w:type="dxa"/>
            <w:vAlign w:val="bottom"/>
          </w:tcPr>
          <w:p>
            <w:pPr>
              <w:ind w:left="100"/>
              <w:spacing w:after="0" w:line="182" w:lineRule="exact"/>
              <w:rPr>
                <w:sz w:val="20"/>
                <w:szCs w:val="20"/>
                <w:color w:val="auto"/>
              </w:rPr>
            </w:pPr>
            <w:r>
              <w:rPr>
                <w:rFonts w:ascii="Arial" w:cs="Arial" w:eastAsia="Arial" w:hAnsi="Arial"/>
                <w:sz w:val="18"/>
                <w:szCs w:val="18"/>
                <w:color w:val="auto"/>
              </w:rPr>
              <w:t>Total</w:t>
            </w:r>
          </w:p>
        </w:tc>
        <w:tc>
          <w:tcPr>
            <w:tcW w:w="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74"/>
              <w:spacing w:after="0" w:line="182" w:lineRule="exact"/>
              <w:rPr>
                <w:sz w:val="20"/>
                <w:szCs w:val="20"/>
                <w:color w:val="auto"/>
              </w:rPr>
            </w:pPr>
            <w:r>
              <w:rPr>
                <w:rFonts w:ascii="Arial" w:cs="Arial" w:eastAsia="Arial" w:hAnsi="Arial"/>
                <w:sz w:val="18"/>
                <w:szCs w:val="18"/>
                <w:color w:val="auto"/>
              </w:rPr>
              <w:t>7,069</w:t>
            </w:r>
          </w:p>
        </w:tc>
        <w:tc>
          <w:tcPr>
            <w:tcW w:w="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4"/>
              <w:spacing w:after="0" w:line="182" w:lineRule="exact"/>
              <w:rPr>
                <w:sz w:val="20"/>
                <w:szCs w:val="20"/>
                <w:color w:val="auto"/>
              </w:rPr>
            </w:pPr>
            <w:r>
              <w:rPr>
                <w:rFonts w:ascii="Arial" w:cs="Arial" w:eastAsia="Arial" w:hAnsi="Arial"/>
                <w:sz w:val="18"/>
                <w:szCs w:val="18"/>
                <w:color w:val="auto"/>
              </w:rPr>
              <w:t>3,711</w:t>
            </w:r>
          </w:p>
        </w:tc>
        <w:tc>
          <w:tcPr>
            <w:tcW w:w="3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356</w:t>
            </w:r>
          </w:p>
        </w:tc>
        <w:tc>
          <w:tcPr>
            <w:tcW w:w="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36,230</w:t>
            </w:r>
          </w:p>
        </w:tc>
      </w:tr>
      <w:tr>
        <w:trPr>
          <w:trHeight w:val="338"/>
        </w:trPr>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December 31, 2018</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42"/>
        </w:trPr>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center"/>
              <w:ind w:left="654"/>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8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center"/>
              <w:ind w:right="54"/>
              <w:spacing w:after="0" w:line="142" w:lineRule="exact"/>
              <w:rPr>
                <w:sz w:val="20"/>
                <w:szCs w:val="20"/>
                <w:color w:val="auto"/>
              </w:rPr>
            </w:pPr>
            <w:r>
              <w:rPr>
                <w:rFonts w:ascii="Arial" w:cs="Arial" w:eastAsia="Arial" w:hAnsi="Arial"/>
                <w:sz w:val="14"/>
                <w:szCs w:val="14"/>
                <w:b w:val="1"/>
                <w:bCs w:val="1"/>
                <w:color w:val="auto"/>
                <w:w w:val="93"/>
              </w:rPr>
              <w:t>Non-accrual</w:t>
            </w:r>
          </w:p>
        </w:tc>
      </w:tr>
      <w:tr>
        <w:trPr>
          <w:trHeight w:val="142"/>
        </w:trPr>
        <w:tc>
          <w:tcPr>
            <w:tcW w:w="2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5"/>
              </w:rPr>
              <w:t>30-59 Days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34"/>
              <w:spacing w:after="0" w:line="142" w:lineRule="exact"/>
              <w:rPr>
                <w:sz w:val="20"/>
                <w:szCs w:val="20"/>
                <w:color w:val="auto"/>
              </w:rPr>
            </w:pPr>
            <w:r>
              <w:rPr>
                <w:rFonts w:ascii="Arial" w:cs="Arial" w:eastAsia="Arial" w:hAnsi="Arial"/>
                <w:sz w:val="14"/>
                <w:szCs w:val="14"/>
                <w:b w:val="1"/>
                <w:bCs w:val="1"/>
                <w:color w:val="auto"/>
                <w:w w:val="92"/>
              </w:rPr>
              <w:t>60-89 Days</w:t>
            </w: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90+Days</w:t>
            </w: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Loans</w:t>
            </w:r>
          </w:p>
        </w:tc>
      </w:tr>
      <w:tr>
        <w:trPr>
          <w:trHeight w:val="183"/>
        </w:trPr>
        <w:tc>
          <w:tcPr>
            <w:tcW w:w="2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74"/>
              <w:spacing w:after="0" w:line="182" w:lineRule="exact"/>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4"/>
              <w:spacing w:after="0" w:line="182" w:lineRule="exact"/>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775</w:t>
            </w:r>
          </w:p>
        </w:tc>
        <w:tc>
          <w:tcPr>
            <w:tcW w:w="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17,953</w:t>
            </w:r>
          </w:p>
        </w:tc>
      </w:tr>
      <w:tr>
        <w:trPr>
          <w:trHeight w:val="189"/>
        </w:trPr>
        <w:tc>
          <w:tcPr>
            <w:tcW w:w="226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4"/>
              <w:spacing w:after="0" w:line="189" w:lineRule="exact"/>
              <w:rPr>
                <w:sz w:val="20"/>
                <w:szCs w:val="20"/>
                <w:color w:val="auto"/>
              </w:rPr>
            </w:pPr>
            <w:r>
              <w:rPr>
                <w:rFonts w:ascii="Arial" w:cs="Arial" w:eastAsia="Arial" w:hAnsi="Arial"/>
                <w:sz w:val="18"/>
                <w:szCs w:val="18"/>
                <w:color w:val="auto"/>
              </w:rPr>
              <w:t>148</w:t>
            </w:r>
          </w:p>
        </w:tc>
        <w:tc>
          <w:tcPr>
            <w:tcW w:w="280" w:type="dxa"/>
            <w:vAlign w:val="bottom"/>
          </w:tcPr>
          <w:p>
            <w:pPr>
              <w:spacing w:after="0"/>
              <w:rPr>
                <w:sz w:val="16"/>
                <w:szCs w:val="16"/>
                <w:color w:val="auto"/>
              </w:rPr>
            </w:pPr>
          </w:p>
        </w:tc>
        <w:tc>
          <w:tcPr>
            <w:tcW w:w="1020" w:type="dxa"/>
            <w:vAlign w:val="bottom"/>
          </w:tcPr>
          <w:p>
            <w:pPr>
              <w:jc w:val="right"/>
              <w:ind w:right="74"/>
              <w:spacing w:after="0" w:line="189" w:lineRule="exact"/>
              <w:rPr>
                <w:sz w:val="20"/>
                <w:szCs w:val="20"/>
                <w:color w:val="auto"/>
              </w:rPr>
            </w:pPr>
            <w:r>
              <w:rPr>
                <w:rFonts w:ascii="Arial" w:cs="Arial" w:eastAsia="Arial" w:hAnsi="Arial"/>
                <w:sz w:val="18"/>
                <w:szCs w:val="18"/>
                <w:color w:val="auto"/>
              </w:rPr>
              <w:t>558</w:t>
            </w:r>
          </w:p>
        </w:tc>
        <w:tc>
          <w:tcPr>
            <w:tcW w:w="3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10,298</w:t>
            </w:r>
          </w:p>
        </w:tc>
      </w:tr>
      <w:tr>
        <w:trPr>
          <w:trHeight w:val="189"/>
        </w:trPr>
        <w:tc>
          <w:tcPr>
            <w:tcW w:w="2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4"/>
              <w:spacing w:after="0" w:line="189" w:lineRule="exact"/>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4"/>
              <w:spacing w:after="0" w:line="189"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w:t>
            </w:r>
          </w:p>
        </w:tc>
      </w:tr>
      <w:tr>
        <w:trPr>
          <w:trHeight w:val="189"/>
        </w:trPr>
        <w:tc>
          <w:tcPr>
            <w:tcW w:w="226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4"/>
              <w:spacing w:after="0" w:line="189" w:lineRule="exact"/>
              <w:rPr>
                <w:sz w:val="20"/>
                <w:szCs w:val="20"/>
                <w:color w:val="auto"/>
              </w:rPr>
            </w:pPr>
            <w:r>
              <w:rPr>
                <w:rFonts w:ascii="Arial" w:cs="Arial" w:eastAsia="Arial" w:hAnsi="Arial"/>
                <w:sz w:val="18"/>
                <w:szCs w:val="18"/>
                <w:color w:val="auto"/>
              </w:rPr>
              <w:t>4,578</w:t>
            </w:r>
          </w:p>
        </w:tc>
        <w:tc>
          <w:tcPr>
            <w:tcW w:w="280" w:type="dxa"/>
            <w:vAlign w:val="bottom"/>
          </w:tcPr>
          <w:p>
            <w:pPr>
              <w:spacing w:after="0"/>
              <w:rPr>
                <w:sz w:val="16"/>
                <w:szCs w:val="16"/>
                <w:color w:val="auto"/>
              </w:rPr>
            </w:pPr>
          </w:p>
        </w:tc>
        <w:tc>
          <w:tcPr>
            <w:tcW w:w="1020" w:type="dxa"/>
            <w:vAlign w:val="bottom"/>
          </w:tcPr>
          <w:p>
            <w:pPr>
              <w:jc w:val="right"/>
              <w:ind w:right="74"/>
              <w:spacing w:after="0" w:line="189" w:lineRule="exact"/>
              <w:rPr>
                <w:sz w:val="20"/>
                <w:szCs w:val="20"/>
                <w:color w:val="auto"/>
              </w:rPr>
            </w:pPr>
            <w:r>
              <w:rPr>
                <w:rFonts w:ascii="Arial" w:cs="Arial" w:eastAsia="Arial" w:hAnsi="Arial"/>
                <w:sz w:val="18"/>
                <w:szCs w:val="18"/>
                <w:color w:val="auto"/>
              </w:rPr>
              <w:t>1,368</w:t>
            </w:r>
          </w:p>
        </w:tc>
        <w:tc>
          <w:tcPr>
            <w:tcW w:w="3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766</w:t>
            </w:r>
          </w:p>
        </w:tc>
        <w:tc>
          <w:tcPr>
            <w:tcW w:w="3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6,698</w:t>
            </w:r>
          </w:p>
        </w:tc>
      </w:tr>
      <w:tr>
        <w:trPr>
          <w:trHeight w:val="189"/>
        </w:trPr>
        <w:tc>
          <w:tcPr>
            <w:tcW w:w="2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4"/>
              <w:spacing w:after="0" w:line="189" w:lineRule="exact"/>
              <w:rPr>
                <w:sz w:val="20"/>
                <w:szCs w:val="20"/>
                <w:color w:val="auto"/>
              </w:rPr>
            </w:pPr>
            <w:r>
              <w:rPr>
                <w:rFonts w:ascii="Arial" w:cs="Arial" w:eastAsia="Arial" w:hAnsi="Arial"/>
                <w:sz w:val="18"/>
                <w:szCs w:val="18"/>
                <w:color w:val="auto"/>
              </w:rPr>
              <w:t>48</w:t>
            </w: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74"/>
              <w:spacing w:after="0" w:line="189" w:lineRule="exact"/>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30</w:t>
            </w:r>
          </w:p>
        </w:tc>
      </w:tr>
      <w:tr>
        <w:trPr>
          <w:trHeight w:val="190"/>
        </w:trPr>
        <w:tc>
          <w:tcPr>
            <w:tcW w:w="2260" w:type="dxa"/>
            <w:vAlign w:val="bottom"/>
          </w:tcPr>
          <w:p>
            <w:pPr>
              <w:ind w:left="100"/>
              <w:spacing w:after="0" w:line="182"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74"/>
              <w:spacing w:after="0" w:line="182" w:lineRule="exact"/>
              <w:rPr>
                <w:sz w:val="20"/>
                <w:szCs w:val="20"/>
                <w:color w:val="auto"/>
              </w:rPr>
            </w:pPr>
            <w:r>
              <w:rPr>
                <w:rFonts w:ascii="Arial" w:cs="Arial" w:eastAsia="Arial" w:hAnsi="Arial"/>
                <w:sz w:val="18"/>
                <w:szCs w:val="18"/>
                <w:color w:val="auto"/>
              </w:rPr>
              <w:t>5,053</w:t>
            </w:r>
          </w:p>
        </w:tc>
        <w:tc>
          <w:tcPr>
            <w:tcW w:w="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4"/>
              <w:spacing w:after="0" w:line="182" w:lineRule="exact"/>
              <w:rPr>
                <w:sz w:val="20"/>
                <w:szCs w:val="20"/>
                <w:color w:val="auto"/>
              </w:rPr>
            </w:pPr>
            <w:r>
              <w:rPr>
                <w:rFonts w:ascii="Arial" w:cs="Arial" w:eastAsia="Arial" w:hAnsi="Arial"/>
                <w:sz w:val="18"/>
                <w:szCs w:val="18"/>
                <w:color w:val="auto"/>
              </w:rPr>
              <w:t>2,068</w:t>
            </w:r>
          </w:p>
        </w:tc>
        <w:tc>
          <w:tcPr>
            <w:tcW w:w="3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1,601</w:t>
            </w:r>
          </w:p>
        </w:tc>
        <w:tc>
          <w:tcPr>
            <w:tcW w:w="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34,997</w:t>
            </w:r>
          </w:p>
        </w:tc>
      </w:tr>
    </w:tbl>
    <w:p>
      <w:pPr>
        <w:spacing w:after="0" w:line="148" w:lineRule="exact"/>
        <w:rPr>
          <w:sz w:val="20"/>
          <w:szCs w:val="20"/>
          <w:color w:val="auto"/>
        </w:rPr>
      </w:pPr>
    </w:p>
    <w:p>
      <w:pPr>
        <w:ind w:right="279"/>
        <w:spacing w:after="0" w:line="289" w:lineRule="auto"/>
        <w:rPr>
          <w:sz w:val="20"/>
          <w:szCs w:val="20"/>
          <w:color w:val="auto"/>
        </w:rPr>
      </w:pPr>
      <w:r>
        <w:rPr>
          <w:rFonts w:ascii="Arial" w:cs="Arial" w:eastAsia="Arial" w:hAnsi="Arial"/>
          <w:sz w:val="16"/>
          <w:szCs w:val="16"/>
          <w:color w:val="auto"/>
        </w:rPr>
        <w:t>The gross interest income that would have been recorded in the three months ended March 31, 2019 and 2018 if impaired loans had been current in accordance with their original terms was $0.7 million and $0.4 million, respectively.</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The amount of interest collected on those loans and recognized on a cash basis that was included in interest income was insignificant for the three months ended March 31, 2019 and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restructured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436"/>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183"/>
        </w:trPr>
        <w:tc>
          <w:tcPr>
            <w:tcW w:w="4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 compliance with modified terms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6"/>
              <w:spacing w:after="0" w:line="182" w:lineRule="exact"/>
              <w:rPr>
                <w:sz w:val="20"/>
                <w:szCs w:val="20"/>
                <w:color w:val="auto"/>
              </w:rPr>
            </w:pPr>
            <w:r>
              <w:rPr>
                <w:rFonts w:ascii="Arial" w:cs="Arial" w:eastAsia="Arial" w:hAnsi="Arial"/>
                <w:sz w:val="18"/>
                <w:szCs w:val="18"/>
                <w:color w:val="auto"/>
              </w:rPr>
              <w:t>11,127</w:t>
            </w:r>
          </w:p>
        </w:tc>
        <w:tc>
          <w:tcPr>
            <w:tcW w:w="34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8,319</w:t>
            </w:r>
          </w:p>
        </w:tc>
      </w:tr>
      <w:tr>
        <w:trPr>
          <w:trHeight w:val="189"/>
        </w:trPr>
        <w:tc>
          <w:tcPr>
            <w:tcW w:w="4000" w:type="dxa"/>
            <w:vAlign w:val="bottom"/>
          </w:tcPr>
          <w:p>
            <w:pPr>
              <w:spacing w:after="0" w:line="189" w:lineRule="exact"/>
              <w:rPr>
                <w:sz w:val="20"/>
                <w:szCs w:val="20"/>
                <w:color w:val="auto"/>
              </w:rPr>
            </w:pPr>
            <w:r>
              <w:rPr>
                <w:rFonts w:ascii="Arial" w:cs="Arial" w:eastAsia="Arial" w:hAnsi="Arial"/>
                <w:sz w:val="18"/>
                <w:szCs w:val="18"/>
                <w:color w:val="auto"/>
              </w:rPr>
              <w:t>30 — 89 days past due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36"/>
              <w:spacing w:after="0" w:line="189" w:lineRule="exact"/>
              <w:rPr>
                <w:sz w:val="20"/>
                <w:szCs w:val="20"/>
                <w:color w:val="auto"/>
              </w:rPr>
            </w:pPr>
            <w:r>
              <w:rPr>
                <w:rFonts w:ascii="Arial" w:cs="Arial" w:eastAsia="Arial" w:hAnsi="Arial"/>
                <w:sz w:val="18"/>
                <w:szCs w:val="18"/>
                <w:color w:val="auto"/>
              </w:rPr>
              <w:t>184</w:t>
            </w:r>
          </w:p>
        </w:tc>
        <w:tc>
          <w:tcPr>
            <w:tcW w:w="3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8"/>
                <w:szCs w:val="18"/>
                <w:color w:val="auto"/>
              </w:rPr>
              <w:t>127</w:t>
            </w:r>
          </w:p>
        </w:tc>
      </w:tr>
      <w:tr>
        <w:trPr>
          <w:trHeight w:val="189"/>
        </w:trPr>
        <w:tc>
          <w:tcPr>
            <w:tcW w:w="4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Included in non-performing loans</w:t>
            </w: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6"/>
              <w:spacing w:after="0" w:line="189" w:lineRule="exact"/>
              <w:rPr>
                <w:sz w:val="20"/>
                <w:szCs w:val="20"/>
                <w:color w:val="auto"/>
              </w:rPr>
            </w:pPr>
            <w:r>
              <w:rPr>
                <w:rFonts w:ascii="Arial" w:cs="Arial" w:eastAsia="Arial" w:hAnsi="Arial"/>
                <w:sz w:val="18"/>
                <w:szCs w:val="18"/>
                <w:color w:val="auto"/>
              </w:rPr>
              <w:t>360</w:t>
            </w:r>
          </w:p>
        </w:tc>
        <w:tc>
          <w:tcPr>
            <w:tcW w:w="3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392</w:t>
            </w:r>
          </w:p>
        </w:tc>
      </w:tr>
      <w:tr>
        <w:trPr>
          <w:trHeight w:val="190"/>
        </w:trPr>
        <w:tc>
          <w:tcPr>
            <w:tcW w:w="4000" w:type="dxa"/>
            <w:vAlign w:val="bottom"/>
          </w:tcPr>
          <w:p>
            <w:pPr>
              <w:ind w:left="100"/>
              <w:spacing w:after="0" w:line="182"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36"/>
              <w:spacing w:after="0" w:line="182" w:lineRule="exact"/>
              <w:rPr>
                <w:sz w:val="20"/>
                <w:szCs w:val="20"/>
                <w:color w:val="auto"/>
              </w:rPr>
            </w:pPr>
            <w:r>
              <w:rPr>
                <w:rFonts w:ascii="Arial" w:cs="Arial" w:eastAsia="Arial" w:hAnsi="Arial"/>
                <w:sz w:val="18"/>
                <w:szCs w:val="18"/>
                <w:color w:val="auto"/>
              </w:rPr>
              <w:t>11,671</w:t>
            </w:r>
          </w:p>
        </w:tc>
        <w:tc>
          <w:tcPr>
            <w:tcW w:w="34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8,838</w:t>
            </w:r>
          </w:p>
        </w:tc>
      </w:tr>
    </w:tbl>
    <w:p>
      <w:pPr>
        <w:spacing w:after="0" w:line="148" w:lineRule="exact"/>
        <w:rPr>
          <w:sz w:val="20"/>
          <w:szCs w:val="20"/>
          <w:color w:val="auto"/>
        </w:rPr>
      </w:pPr>
    </w:p>
    <w:p>
      <w:pPr>
        <w:jc w:val="both"/>
        <w:ind w:right="300"/>
        <w:spacing w:after="0" w:line="224" w:lineRule="auto"/>
        <w:rPr>
          <w:sz w:val="20"/>
          <w:szCs w:val="20"/>
          <w:color w:val="auto"/>
        </w:rPr>
      </w:pPr>
      <w:r>
        <w:rPr>
          <w:rFonts w:ascii="Arial" w:cs="Arial" w:eastAsia="Arial" w:hAnsi="Arial"/>
          <w:sz w:val="18"/>
          <w:szCs w:val="18"/>
          <w:color w:val="auto"/>
        </w:rPr>
        <w:t>There was $3.1 million of loans newly classified as troubled debt restructurings (“TDR”) during the three months ended March 31, 2019, which included one commercial loan for payment modification. There were no loans newly classified as TDRs during the three months ended March 31, 2018.</w:t>
      </w:r>
    </w:p>
    <w:p>
      <w:pPr>
        <w:spacing w:after="0" w:line="123"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The gross interest income that would have been recorded in the three months ended March 31, 2019 and 2018 if TDRs had performed in accordance with their original terms compared with their modified terms was insignificant.</w:t>
      </w:r>
    </w:p>
    <w:p>
      <w:pPr>
        <w:spacing w:after="0" w:line="106"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There were no TDRs that were entered into during the last twelve months that were subsequently classified as non-performing and had payment defaults (a default occurs when a loan is 90 days or more past due or transferred to non-accrual) during the three months ended March 31, 2019. There were no TDRs that were entered into during the prior twelve months that were subsequently classified as non-performing and had payment defaults during the three months ended March 31,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the Company had $3.4 million of residential real estate in the process of foreclosure.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 xml:space="preserve">The following tables provide details of loans identified as impaired, segregated by category.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Unpaid</w:t>
            </w:r>
          </w:p>
        </w:tc>
        <w:tc>
          <w:tcPr>
            <w:tcW w:w="260" w:type="dxa"/>
            <w:vAlign w:val="bottom"/>
          </w:tcPr>
          <w:p>
            <w:pPr>
              <w:spacing w:after="0"/>
              <w:rPr>
                <w:sz w:val="10"/>
                <w:szCs w:val="10"/>
                <w:color w:val="auto"/>
              </w:rPr>
            </w:pPr>
          </w:p>
        </w:tc>
        <w:tc>
          <w:tcPr>
            <w:tcW w:w="920" w:type="dxa"/>
            <w:vAlign w:val="bottom"/>
          </w:tcPr>
          <w:p>
            <w:pPr>
              <w:jc w:val="center"/>
              <w:ind w:right="118"/>
              <w:spacing w:after="0" w:line="119" w:lineRule="exact"/>
              <w:rPr>
                <w:sz w:val="20"/>
                <w:szCs w:val="20"/>
                <w:color w:val="auto"/>
              </w:rPr>
            </w:pPr>
            <w:r>
              <w:rPr>
                <w:rFonts w:ascii="Arial" w:cs="Arial" w:eastAsia="Arial" w:hAnsi="Arial"/>
                <w:sz w:val="13"/>
                <w:szCs w:val="13"/>
                <w:b w:val="1"/>
                <w:bCs w:val="1"/>
                <w:color w:val="auto"/>
                <w:w w:val="99"/>
              </w:rPr>
              <w:t>Recorded</w:t>
            </w:r>
          </w:p>
        </w:tc>
        <w:tc>
          <w:tcPr>
            <w:tcW w:w="260" w:type="dxa"/>
            <w:vAlign w:val="bottom"/>
          </w:tcPr>
          <w:p>
            <w:pPr>
              <w:spacing w:after="0"/>
              <w:rPr>
                <w:sz w:val="10"/>
                <w:szCs w:val="10"/>
                <w:color w:val="auto"/>
              </w:rPr>
            </w:pPr>
          </w:p>
        </w:tc>
        <w:tc>
          <w:tcPr>
            <w:tcW w:w="9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2"/>
              </w:rPr>
              <w:t>Recorded</w:t>
            </w:r>
          </w:p>
        </w:tc>
        <w:tc>
          <w:tcPr>
            <w:tcW w:w="260" w:type="dxa"/>
            <w:vAlign w:val="bottom"/>
          </w:tcPr>
          <w:p>
            <w:pPr>
              <w:spacing w:after="0"/>
              <w:rPr>
                <w:sz w:val="10"/>
                <w:szCs w:val="10"/>
                <w:color w:val="auto"/>
              </w:rPr>
            </w:pPr>
          </w:p>
        </w:tc>
        <w:tc>
          <w:tcPr>
            <w:tcW w:w="94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4"/>
              </w:rPr>
              <w:t>Related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4"/>
              </w:rPr>
              <w:t>with No</w:t>
            </w:r>
          </w:p>
        </w:tc>
        <w:tc>
          <w:tcPr>
            <w:tcW w:w="260" w:type="dxa"/>
            <w:vAlign w:val="bottom"/>
          </w:tcPr>
          <w:p>
            <w:pPr>
              <w:spacing w:after="0"/>
              <w:rPr>
                <w:sz w:val="12"/>
                <w:szCs w:val="12"/>
                <w:color w:val="auto"/>
              </w:rPr>
            </w:pPr>
          </w:p>
        </w:tc>
        <w:tc>
          <w:tcPr>
            <w:tcW w:w="9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2"/>
                <w:szCs w:val="12"/>
                <w:color w:val="auto"/>
              </w:rPr>
            </w:pPr>
          </w:p>
        </w:tc>
        <w:tc>
          <w:tcPr>
            <w:tcW w:w="9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9"/>
              </w:rPr>
              <w:t>Recorded</w:t>
            </w: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2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Balance</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2"/>
              </w:rPr>
              <w:t>Allowance</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Investment</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Allowance</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83"/>
        </w:trPr>
        <w:tc>
          <w:tcPr>
            <w:tcW w:w="2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8"/>
              <w:spacing w:after="0" w:line="182" w:lineRule="exact"/>
              <w:rPr>
                <w:sz w:val="20"/>
                <w:szCs w:val="20"/>
                <w:color w:val="auto"/>
              </w:rPr>
            </w:pPr>
            <w:r>
              <w:rPr>
                <w:rFonts w:ascii="Arial" w:cs="Arial" w:eastAsia="Arial" w:hAnsi="Arial"/>
                <w:sz w:val="18"/>
                <w:szCs w:val="18"/>
                <w:color w:val="auto"/>
              </w:rPr>
              <w:t>19,507</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8"/>
              <w:spacing w:after="0" w:line="182" w:lineRule="exact"/>
              <w:rPr>
                <w:sz w:val="20"/>
                <w:szCs w:val="20"/>
                <w:color w:val="auto"/>
              </w:rPr>
            </w:pPr>
            <w:r>
              <w:rPr>
                <w:rFonts w:ascii="Arial" w:cs="Arial" w:eastAsia="Arial" w:hAnsi="Arial"/>
                <w:sz w:val="18"/>
                <w:szCs w:val="18"/>
                <w:color w:val="auto"/>
              </w:rPr>
              <w:t>5,605</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6"/>
              <w:spacing w:after="0" w:line="182" w:lineRule="exact"/>
              <w:rPr>
                <w:sz w:val="20"/>
                <w:szCs w:val="20"/>
                <w:color w:val="auto"/>
              </w:rPr>
            </w:pPr>
            <w:r>
              <w:rPr>
                <w:rFonts w:ascii="Arial" w:cs="Arial" w:eastAsia="Arial" w:hAnsi="Arial"/>
                <w:sz w:val="18"/>
                <w:szCs w:val="18"/>
                <w:color w:val="auto"/>
              </w:rPr>
              <w:t>10,787</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line="182" w:lineRule="exact"/>
              <w:rPr>
                <w:sz w:val="20"/>
                <w:szCs w:val="20"/>
                <w:color w:val="auto"/>
              </w:rPr>
            </w:pPr>
            <w:r>
              <w:rPr>
                <w:rFonts w:ascii="Arial" w:cs="Arial" w:eastAsia="Arial" w:hAnsi="Arial"/>
                <w:sz w:val="18"/>
                <w:szCs w:val="18"/>
                <w:color w:val="auto"/>
              </w:rPr>
              <w:t>16,392</w:t>
            </w:r>
          </w:p>
        </w:tc>
        <w:tc>
          <w:tcPr>
            <w:tcW w:w="2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line="182" w:lineRule="exact"/>
              <w:rPr>
                <w:sz w:val="20"/>
                <w:szCs w:val="20"/>
                <w:color w:val="auto"/>
              </w:rPr>
            </w:pPr>
            <w:r>
              <w:rPr>
                <w:rFonts w:ascii="Arial" w:cs="Arial" w:eastAsia="Arial" w:hAnsi="Arial"/>
                <w:sz w:val="18"/>
                <w:szCs w:val="18"/>
                <w:color w:val="auto"/>
              </w:rPr>
              <w:t>4,126</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15,165</w:t>
            </w:r>
          </w:p>
        </w:tc>
        <w:tc>
          <w:tcPr>
            <w:tcW w:w="0" w:type="dxa"/>
            <w:vAlign w:val="bottom"/>
          </w:tcPr>
          <w:p>
            <w:pPr>
              <w:spacing w:after="0"/>
              <w:rPr>
                <w:sz w:val="1"/>
                <w:szCs w:val="1"/>
                <w:color w:val="auto"/>
              </w:rPr>
            </w:pPr>
          </w:p>
        </w:tc>
      </w:tr>
      <w:tr>
        <w:trPr>
          <w:trHeight w:val="189"/>
        </w:trPr>
        <w:tc>
          <w:tcPr>
            <w:tcW w:w="202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6"/>
                <w:szCs w:val="16"/>
                <w:color w:val="auto"/>
              </w:rPr>
            </w:pPr>
          </w:p>
        </w:tc>
        <w:tc>
          <w:tcPr>
            <w:tcW w:w="960" w:type="dxa"/>
            <w:vAlign w:val="bottom"/>
          </w:tcPr>
          <w:p>
            <w:pPr>
              <w:jc w:val="right"/>
              <w:ind w:right="58"/>
              <w:spacing w:after="0" w:line="189" w:lineRule="exact"/>
              <w:rPr>
                <w:sz w:val="20"/>
                <w:szCs w:val="20"/>
                <w:color w:val="auto"/>
              </w:rPr>
            </w:pPr>
            <w:r>
              <w:rPr>
                <w:rFonts w:ascii="Arial" w:cs="Arial" w:eastAsia="Arial" w:hAnsi="Arial"/>
                <w:sz w:val="18"/>
                <w:szCs w:val="18"/>
                <w:color w:val="auto"/>
              </w:rPr>
              <w:t>20,174</w:t>
            </w:r>
          </w:p>
        </w:tc>
        <w:tc>
          <w:tcPr>
            <w:tcW w:w="260" w:type="dxa"/>
            <w:vAlign w:val="bottom"/>
          </w:tcPr>
          <w:p>
            <w:pPr>
              <w:spacing w:after="0"/>
              <w:rPr>
                <w:sz w:val="16"/>
                <w:szCs w:val="16"/>
                <w:color w:val="auto"/>
              </w:rPr>
            </w:pPr>
          </w:p>
        </w:tc>
        <w:tc>
          <w:tcPr>
            <w:tcW w:w="920" w:type="dxa"/>
            <w:vAlign w:val="bottom"/>
          </w:tcPr>
          <w:p>
            <w:pPr>
              <w:jc w:val="right"/>
              <w:ind w:right="58"/>
              <w:spacing w:after="0" w:line="189" w:lineRule="exact"/>
              <w:rPr>
                <w:sz w:val="20"/>
                <w:szCs w:val="20"/>
                <w:color w:val="auto"/>
              </w:rPr>
            </w:pPr>
            <w:r>
              <w:rPr>
                <w:rFonts w:ascii="Arial" w:cs="Arial" w:eastAsia="Arial" w:hAnsi="Arial"/>
                <w:sz w:val="18"/>
                <w:szCs w:val="18"/>
                <w:color w:val="auto"/>
              </w:rPr>
              <w:t>13,818</w:t>
            </w:r>
          </w:p>
        </w:tc>
        <w:tc>
          <w:tcPr>
            <w:tcW w:w="260" w:type="dxa"/>
            <w:vAlign w:val="bottom"/>
          </w:tcPr>
          <w:p>
            <w:pPr>
              <w:spacing w:after="0"/>
              <w:rPr>
                <w:sz w:val="16"/>
                <w:szCs w:val="16"/>
                <w:color w:val="auto"/>
              </w:rPr>
            </w:pPr>
          </w:p>
        </w:tc>
        <w:tc>
          <w:tcPr>
            <w:tcW w:w="980" w:type="dxa"/>
            <w:vAlign w:val="bottom"/>
          </w:tcPr>
          <w:p>
            <w:pPr>
              <w:jc w:val="right"/>
              <w:ind w:right="56"/>
              <w:spacing w:after="0" w:line="189" w:lineRule="exact"/>
              <w:rPr>
                <w:sz w:val="20"/>
                <w:szCs w:val="20"/>
                <w:color w:val="auto"/>
              </w:rPr>
            </w:pPr>
            <w:r>
              <w:rPr>
                <w:rFonts w:ascii="Arial" w:cs="Arial" w:eastAsia="Arial" w:hAnsi="Arial"/>
                <w:sz w:val="18"/>
                <w:szCs w:val="18"/>
                <w:color w:val="auto"/>
              </w:rPr>
              <w:t>4,498</w:t>
            </w:r>
          </w:p>
        </w:tc>
        <w:tc>
          <w:tcPr>
            <w:tcW w:w="260" w:type="dxa"/>
            <w:vAlign w:val="bottom"/>
          </w:tcPr>
          <w:p>
            <w:pPr>
              <w:spacing w:after="0"/>
              <w:rPr>
                <w:sz w:val="16"/>
                <w:szCs w:val="16"/>
                <w:color w:val="auto"/>
              </w:rPr>
            </w:pPr>
          </w:p>
        </w:tc>
        <w:tc>
          <w:tcPr>
            <w:tcW w:w="940" w:type="dxa"/>
            <w:vAlign w:val="bottom"/>
          </w:tcPr>
          <w:p>
            <w:pPr>
              <w:jc w:val="right"/>
              <w:ind w:right="56"/>
              <w:spacing w:after="0" w:line="189" w:lineRule="exact"/>
              <w:rPr>
                <w:sz w:val="20"/>
                <w:szCs w:val="20"/>
                <w:color w:val="auto"/>
              </w:rPr>
            </w:pPr>
            <w:r>
              <w:rPr>
                <w:rFonts w:ascii="Arial" w:cs="Arial" w:eastAsia="Arial" w:hAnsi="Arial"/>
                <w:sz w:val="18"/>
                <w:szCs w:val="18"/>
                <w:color w:val="auto"/>
              </w:rPr>
              <w:t>18,316</w:t>
            </w:r>
          </w:p>
        </w:tc>
        <w:tc>
          <w:tcPr>
            <w:tcW w:w="280" w:type="dxa"/>
            <w:vAlign w:val="bottom"/>
          </w:tcPr>
          <w:p>
            <w:pPr>
              <w:spacing w:after="0"/>
              <w:rPr>
                <w:sz w:val="16"/>
                <w:szCs w:val="16"/>
                <w:color w:val="auto"/>
              </w:rPr>
            </w:pPr>
          </w:p>
        </w:tc>
        <w:tc>
          <w:tcPr>
            <w:tcW w:w="940" w:type="dxa"/>
            <w:vAlign w:val="bottom"/>
          </w:tcPr>
          <w:p>
            <w:pPr>
              <w:jc w:val="right"/>
              <w:ind w:right="54"/>
              <w:spacing w:after="0" w:line="189" w:lineRule="exact"/>
              <w:rPr>
                <w:sz w:val="20"/>
                <w:szCs w:val="20"/>
                <w:color w:val="auto"/>
              </w:rPr>
            </w:pPr>
            <w:r>
              <w:rPr>
                <w:rFonts w:ascii="Arial" w:cs="Arial" w:eastAsia="Arial" w:hAnsi="Arial"/>
                <w:sz w:val="18"/>
                <w:szCs w:val="18"/>
                <w:color w:val="auto"/>
              </w:rPr>
              <w:t>1,231</w:t>
            </w: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18,448</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8"/>
              <w:spacing w:after="0" w:line="189" w:lineRule="exact"/>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8"/>
              <w:spacing w:after="0" w:line="189" w:lineRule="exact"/>
              <w:rPr>
                <w:sz w:val="20"/>
                <w:szCs w:val="20"/>
                <w:color w:val="auto"/>
              </w:rPr>
            </w:pPr>
            <w:r>
              <w:rPr>
                <w:rFonts w:ascii="Arial" w:cs="Arial" w:eastAsia="Arial" w:hAnsi="Arial"/>
                <w:sz w:val="18"/>
                <w:szCs w:val="18"/>
                <w:color w:val="auto"/>
              </w:rPr>
              <w:t>820</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6"/>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6"/>
              <w:spacing w:after="0" w:line="189" w:lineRule="exact"/>
              <w:rPr>
                <w:sz w:val="20"/>
                <w:szCs w:val="20"/>
                <w:color w:val="auto"/>
              </w:rPr>
            </w:pPr>
            <w:r>
              <w:rPr>
                <w:rFonts w:ascii="Arial" w:cs="Arial" w:eastAsia="Arial" w:hAnsi="Arial"/>
                <w:sz w:val="18"/>
                <w:szCs w:val="18"/>
                <w:color w:val="auto"/>
              </w:rPr>
              <w:t>820</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4"/>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189"/>
        </w:trPr>
        <w:tc>
          <w:tcPr>
            <w:tcW w:w="202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100" w:type="dxa"/>
            <w:vAlign w:val="bottom"/>
          </w:tcPr>
          <w:p>
            <w:pPr>
              <w:spacing w:after="0"/>
              <w:rPr>
                <w:sz w:val="16"/>
                <w:szCs w:val="16"/>
                <w:color w:val="auto"/>
              </w:rPr>
            </w:pPr>
          </w:p>
        </w:tc>
        <w:tc>
          <w:tcPr>
            <w:tcW w:w="960" w:type="dxa"/>
            <w:vAlign w:val="bottom"/>
          </w:tcPr>
          <w:p>
            <w:pPr>
              <w:jc w:val="right"/>
              <w:ind w:right="58"/>
              <w:spacing w:after="0" w:line="189" w:lineRule="exact"/>
              <w:rPr>
                <w:sz w:val="20"/>
                <w:szCs w:val="20"/>
                <w:color w:val="auto"/>
              </w:rPr>
            </w:pPr>
            <w:r>
              <w:rPr>
                <w:rFonts w:ascii="Arial" w:cs="Arial" w:eastAsia="Arial" w:hAnsi="Arial"/>
                <w:sz w:val="18"/>
                <w:szCs w:val="18"/>
                <w:color w:val="auto"/>
              </w:rPr>
              <w:t>16,795</w:t>
            </w:r>
          </w:p>
        </w:tc>
        <w:tc>
          <w:tcPr>
            <w:tcW w:w="260" w:type="dxa"/>
            <w:vAlign w:val="bottom"/>
          </w:tcPr>
          <w:p>
            <w:pPr>
              <w:spacing w:after="0"/>
              <w:rPr>
                <w:sz w:val="16"/>
                <w:szCs w:val="16"/>
                <w:color w:val="auto"/>
              </w:rPr>
            </w:pPr>
          </w:p>
        </w:tc>
        <w:tc>
          <w:tcPr>
            <w:tcW w:w="920" w:type="dxa"/>
            <w:vAlign w:val="bottom"/>
          </w:tcPr>
          <w:p>
            <w:pPr>
              <w:jc w:val="right"/>
              <w:ind w:right="58"/>
              <w:spacing w:after="0" w:line="189" w:lineRule="exact"/>
              <w:rPr>
                <w:sz w:val="20"/>
                <w:szCs w:val="20"/>
                <w:color w:val="auto"/>
              </w:rPr>
            </w:pPr>
            <w:r>
              <w:rPr>
                <w:rFonts w:ascii="Arial" w:cs="Arial" w:eastAsia="Arial" w:hAnsi="Arial"/>
                <w:sz w:val="18"/>
                <w:szCs w:val="18"/>
                <w:color w:val="auto"/>
              </w:rPr>
              <w:t>14,815</w:t>
            </w:r>
          </w:p>
        </w:tc>
        <w:tc>
          <w:tcPr>
            <w:tcW w:w="260" w:type="dxa"/>
            <w:vAlign w:val="bottom"/>
          </w:tcPr>
          <w:p>
            <w:pPr>
              <w:spacing w:after="0"/>
              <w:rPr>
                <w:sz w:val="16"/>
                <w:szCs w:val="16"/>
                <w:color w:val="auto"/>
              </w:rPr>
            </w:pPr>
          </w:p>
        </w:tc>
        <w:tc>
          <w:tcPr>
            <w:tcW w:w="980" w:type="dxa"/>
            <w:vAlign w:val="bottom"/>
          </w:tcPr>
          <w:p>
            <w:pPr>
              <w:jc w:val="right"/>
              <w:ind w:right="56"/>
              <w:spacing w:after="0" w:line="189" w:lineRule="exact"/>
              <w:rPr>
                <w:sz w:val="20"/>
                <w:szCs w:val="20"/>
                <w:color w:val="auto"/>
              </w:rPr>
            </w:pPr>
            <w:r>
              <w:rPr>
                <w:rFonts w:ascii="Arial" w:cs="Arial" w:eastAsia="Arial" w:hAnsi="Arial"/>
                <w:sz w:val="18"/>
                <w:szCs w:val="18"/>
                <w:color w:val="auto"/>
              </w:rPr>
              <w:t>115</w:t>
            </w:r>
          </w:p>
        </w:tc>
        <w:tc>
          <w:tcPr>
            <w:tcW w:w="260" w:type="dxa"/>
            <w:vAlign w:val="bottom"/>
          </w:tcPr>
          <w:p>
            <w:pPr>
              <w:spacing w:after="0"/>
              <w:rPr>
                <w:sz w:val="16"/>
                <w:szCs w:val="16"/>
                <w:color w:val="auto"/>
              </w:rPr>
            </w:pPr>
          </w:p>
        </w:tc>
        <w:tc>
          <w:tcPr>
            <w:tcW w:w="940" w:type="dxa"/>
            <w:vAlign w:val="bottom"/>
          </w:tcPr>
          <w:p>
            <w:pPr>
              <w:jc w:val="right"/>
              <w:ind w:right="56"/>
              <w:spacing w:after="0" w:line="189" w:lineRule="exact"/>
              <w:rPr>
                <w:sz w:val="20"/>
                <w:szCs w:val="20"/>
                <w:color w:val="auto"/>
              </w:rPr>
            </w:pPr>
            <w:r>
              <w:rPr>
                <w:rFonts w:ascii="Arial" w:cs="Arial" w:eastAsia="Arial" w:hAnsi="Arial"/>
                <w:sz w:val="18"/>
                <w:szCs w:val="18"/>
                <w:color w:val="auto"/>
              </w:rPr>
              <w:t>14,930</w:t>
            </w:r>
          </w:p>
        </w:tc>
        <w:tc>
          <w:tcPr>
            <w:tcW w:w="280" w:type="dxa"/>
            <w:vAlign w:val="bottom"/>
          </w:tcPr>
          <w:p>
            <w:pPr>
              <w:spacing w:after="0"/>
              <w:rPr>
                <w:sz w:val="16"/>
                <w:szCs w:val="16"/>
                <w:color w:val="auto"/>
              </w:rPr>
            </w:pPr>
          </w:p>
        </w:tc>
        <w:tc>
          <w:tcPr>
            <w:tcW w:w="940" w:type="dxa"/>
            <w:vAlign w:val="bottom"/>
          </w:tcPr>
          <w:p>
            <w:pPr>
              <w:jc w:val="right"/>
              <w:ind w:right="54"/>
              <w:spacing w:after="0" w:line="189" w:lineRule="exact"/>
              <w:rPr>
                <w:sz w:val="20"/>
                <w:szCs w:val="20"/>
                <w:color w:val="auto"/>
              </w:rPr>
            </w:pPr>
            <w:r>
              <w:rPr>
                <w:rFonts w:ascii="Arial" w:cs="Arial" w:eastAsia="Arial" w:hAnsi="Arial"/>
                <w:sz w:val="18"/>
                <w:szCs w:val="18"/>
                <w:color w:val="auto"/>
              </w:rPr>
              <w:t>42</w:t>
            </w: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13,792</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8"/>
              <w:spacing w:after="0" w:line="189" w:lineRule="exact"/>
              <w:rPr>
                <w:sz w:val="20"/>
                <w:szCs w:val="20"/>
                <w:color w:val="auto"/>
              </w:rPr>
            </w:pPr>
            <w:r>
              <w:rPr>
                <w:rFonts w:ascii="Arial" w:cs="Arial" w:eastAsia="Arial" w:hAnsi="Arial"/>
                <w:sz w:val="18"/>
                <w:szCs w:val="18"/>
                <w:color w:val="auto"/>
              </w:rPr>
              <w:t>48</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58"/>
              <w:spacing w:after="0" w:line="189" w:lineRule="exact"/>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6"/>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56"/>
              <w:spacing w:after="0" w:line="189" w:lineRule="exact"/>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54"/>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0"/>
        </w:trPr>
        <w:tc>
          <w:tcPr>
            <w:tcW w:w="2020" w:type="dxa"/>
            <w:vAlign w:val="bottom"/>
          </w:tcPr>
          <w:p>
            <w:pPr>
              <w:ind w:left="120"/>
              <w:spacing w:after="0" w:line="182"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8"/>
              <w:spacing w:after="0" w:line="182" w:lineRule="exact"/>
              <w:rPr>
                <w:sz w:val="20"/>
                <w:szCs w:val="20"/>
                <w:color w:val="auto"/>
              </w:rPr>
            </w:pPr>
            <w:r>
              <w:rPr>
                <w:rFonts w:ascii="Arial" w:cs="Arial" w:eastAsia="Arial" w:hAnsi="Arial"/>
                <w:sz w:val="18"/>
                <w:szCs w:val="18"/>
                <w:color w:val="auto"/>
              </w:rPr>
              <w:t>57,454</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8"/>
              <w:spacing w:after="0" w:line="182" w:lineRule="exact"/>
              <w:rPr>
                <w:sz w:val="20"/>
                <w:szCs w:val="20"/>
                <w:color w:val="auto"/>
              </w:rPr>
            </w:pPr>
            <w:r>
              <w:rPr>
                <w:rFonts w:ascii="Arial" w:cs="Arial" w:eastAsia="Arial" w:hAnsi="Arial"/>
                <w:sz w:val="18"/>
                <w:szCs w:val="18"/>
                <w:color w:val="auto"/>
              </w:rPr>
              <w:t>35,078</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6"/>
              <w:spacing w:after="0" w:line="182" w:lineRule="exact"/>
              <w:rPr>
                <w:sz w:val="20"/>
                <w:szCs w:val="20"/>
                <w:color w:val="auto"/>
              </w:rPr>
            </w:pPr>
            <w:r>
              <w:rPr>
                <w:rFonts w:ascii="Arial" w:cs="Arial" w:eastAsia="Arial" w:hAnsi="Arial"/>
                <w:sz w:val="18"/>
                <w:szCs w:val="18"/>
                <w:color w:val="auto"/>
              </w:rPr>
              <w:t>15,400</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6"/>
              <w:spacing w:after="0" w:line="182" w:lineRule="exact"/>
              <w:rPr>
                <w:sz w:val="20"/>
                <w:szCs w:val="20"/>
                <w:color w:val="auto"/>
              </w:rPr>
            </w:pPr>
            <w:r>
              <w:rPr>
                <w:rFonts w:ascii="Arial" w:cs="Arial" w:eastAsia="Arial" w:hAnsi="Arial"/>
                <w:sz w:val="18"/>
                <w:szCs w:val="18"/>
                <w:color w:val="auto"/>
              </w:rPr>
              <w:t>50,478</w:t>
            </w:r>
          </w:p>
        </w:tc>
        <w:tc>
          <w:tcPr>
            <w:tcW w:w="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4"/>
              <w:spacing w:after="0" w:line="182" w:lineRule="exact"/>
              <w:rPr>
                <w:sz w:val="20"/>
                <w:szCs w:val="20"/>
                <w:color w:val="auto"/>
              </w:rPr>
            </w:pPr>
            <w:r>
              <w:rPr>
                <w:rFonts w:ascii="Arial" w:cs="Arial" w:eastAsia="Arial" w:hAnsi="Arial"/>
                <w:sz w:val="18"/>
                <w:szCs w:val="18"/>
                <w:color w:val="auto"/>
              </w:rPr>
              <w:t>5,399</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48,031</w:t>
            </w:r>
          </w:p>
        </w:tc>
        <w:tc>
          <w:tcPr>
            <w:tcW w:w="0" w:type="dxa"/>
            <w:vAlign w:val="bottom"/>
          </w:tcPr>
          <w:p>
            <w:pPr>
              <w:spacing w:after="0"/>
              <w:rPr>
                <w:sz w:val="1"/>
                <w:szCs w:val="1"/>
                <w:color w:val="auto"/>
              </w:rPr>
            </w:pPr>
          </w:p>
        </w:tc>
      </w:tr>
      <w:tr>
        <w:trPr>
          <w:trHeight w:val="338"/>
        </w:trPr>
        <w:tc>
          <w:tcPr>
            <w:tcW w:w="2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Unpaid</w:t>
            </w:r>
          </w:p>
        </w:tc>
        <w:tc>
          <w:tcPr>
            <w:tcW w:w="260" w:type="dxa"/>
            <w:vAlign w:val="bottom"/>
          </w:tcPr>
          <w:p>
            <w:pPr>
              <w:spacing w:after="0"/>
              <w:rPr>
                <w:sz w:val="10"/>
                <w:szCs w:val="10"/>
                <w:color w:val="auto"/>
              </w:rPr>
            </w:pPr>
          </w:p>
        </w:tc>
        <w:tc>
          <w:tcPr>
            <w:tcW w:w="920" w:type="dxa"/>
            <w:vAlign w:val="bottom"/>
          </w:tcPr>
          <w:p>
            <w:pPr>
              <w:jc w:val="center"/>
              <w:ind w:right="118"/>
              <w:spacing w:after="0" w:line="119" w:lineRule="exact"/>
              <w:rPr>
                <w:sz w:val="20"/>
                <w:szCs w:val="20"/>
                <w:color w:val="auto"/>
              </w:rPr>
            </w:pPr>
            <w:r>
              <w:rPr>
                <w:rFonts w:ascii="Arial" w:cs="Arial" w:eastAsia="Arial" w:hAnsi="Arial"/>
                <w:sz w:val="13"/>
                <w:szCs w:val="13"/>
                <w:b w:val="1"/>
                <w:bCs w:val="1"/>
                <w:color w:val="auto"/>
                <w:w w:val="99"/>
              </w:rPr>
              <w:t>Recorded</w:t>
            </w:r>
          </w:p>
        </w:tc>
        <w:tc>
          <w:tcPr>
            <w:tcW w:w="260" w:type="dxa"/>
            <w:vAlign w:val="bottom"/>
          </w:tcPr>
          <w:p>
            <w:pPr>
              <w:spacing w:after="0"/>
              <w:rPr>
                <w:sz w:val="10"/>
                <w:szCs w:val="10"/>
                <w:color w:val="auto"/>
              </w:rPr>
            </w:pPr>
          </w:p>
        </w:tc>
        <w:tc>
          <w:tcPr>
            <w:tcW w:w="9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2"/>
              </w:rPr>
              <w:t>Recorded</w:t>
            </w:r>
          </w:p>
        </w:tc>
        <w:tc>
          <w:tcPr>
            <w:tcW w:w="260" w:type="dxa"/>
            <w:vAlign w:val="bottom"/>
          </w:tcPr>
          <w:p>
            <w:pPr>
              <w:spacing w:after="0"/>
              <w:rPr>
                <w:sz w:val="10"/>
                <w:szCs w:val="10"/>
                <w:color w:val="auto"/>
              </w:rPr>
            </w:pPr>
          </w:p>
        </w:tc>
        <w:tc>
          <w:tcPr>
            <w:tcW w:w="94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4"/>
              </w:rPr>
              <w:t>Related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4"/>
              </w:rPr>
              <w:t>with No</w:t>
            </w:r>
          </w:p>
        </w:tc>
        <w:tc>
          <w:tcPr>
            <w:tcW w:w="260" w:type="dxa"/>
            <w:vAlign w:val="bottom"/>
          </w:tcPr>
          <w:p>
            <w:pPr>
              <w:spacing w:after="0"/>
              <w:rPr>
                <w:sz w:val="12"/>
                <w:szCs w:val="12"/>
                <w:color w:val="auto"/>
              </w:rPr>
            </w:pPr>
          </w:p>
        </w:tc>
        <w:tc>
          <w:tcPr>
            <w:tcW w:w="9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2"/>
                <w:szCs w:val="12"/>
                <w:color w:val="auto"/>
              </w:rPr>
            </w:pPr>
          </w:p>
        </w:tc>
        <w:tc>
          <w:tcPr>
            <w:tcW w:w="9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9"/>
              </w:rPr>
              <w:t>Recorded</w:t>
            </w: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2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Balance</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2"/>
              </w:rPr>
              <w:t>Allowance</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Investment</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Allowance</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83"/>
        </w:trPr>
        <w:tc>
          <w:tcPr>
            <w:tcW w:w="2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8"/>
              <w:spacing w:after="0" w:line="182" w:lineRule="exact"/>
              <w:rPr>
                <w:sz w:val="20"/>
                <w:szCs w:val="20"/>
                <w:color w:val="auto"/>
              </w:rPr>
            </w:pPr>
            <w:r>
              <w:rPr>
                <w:rFonts w:ascii="Arial" w:cs="Arial" w:eastAsia="Arial" w:hAnsi="Arial"/>
                <w:sz w:val="18"/>
                <w:szCs w:val="18"/>
                <w:color w:val="auto"/>
              </w:rPr>
              <w:t>21,442</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8"/>
              <w:spacing w:after="0" w:line="182" w:lineRule="exact"/>
              <w:rPr>
                <w:sz w:val="20"/>
                <w:szCs w:val="20"/>
                <w:color w:val="auto"/>
              </w:rPr>
            </w:pPr>
            <w:r>
              <w:rPr>
                <w:rFonts w:ascii="Arial" w:cs="Arial" w:eastAsia="Arial" w:hAnsi="Arial"/>
                <w:sz w:val="18"/>
                <w:szCs w:val="18"/>
                <w:color w:val="auto"/>
              </w:rPr>
              <w:t>6,858</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6"/>
              <w:spacing w:after="0" w:line="182" w:lineRule="exact"/>
              <w:rPr>
                <w:sz w:val="20"/>
                <w:szCs w:val="20"/>
                <w:color w:val="auto"/>
              </w:rPr>
            </w:pPr>
            <w:r>
              <w:rPr>
                <w:rFonts w:ascii="Arial" w:cs="Arial" w:eastAsia="Arial" w:hAnsi="Arial"/>
                <w:sz w:val="18"/>
                <w:szCs w:val="18"/>
                <w:color w:val="auto"/>
              </w:rPr>
              <w:t>12,001</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line="182" w:lineRule="exact"/>
              <w:rPr>
                <w:sz w:val="20"/>
                <w:szCs w:val="20"/>
                <w:color w:val="auto"/>
              </w:rPr>
            </w:pPr>
            <w:r>
              <w:rPr>
                <w:rFonts w:ascii="Arial" w:cs="Arial" w:eastAsia="Arial" w:hAnsi="Arial"/>
                <w:sz w:val="18"/>
                <w:szCs w:val="18"/>
                <w:color w:val="auto"/>
              </w:rPr>
              <w:t>18,859</w:t>
            </w:r>
          </w:p>
        </w:tc>
        <w:tc>
          <w:tcPr>
            <w:tcW w:w="2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line="182" w:lineRule="exact"/>
              <w:rPr>
                <w:sz w:val="20"/>
                <w:szCs w:val="20"/>
                <w:color w:val="auto"/>
              </w:rPr>
            </w:pPr>
            <w:r>
              <w:rPr>
                <w:rFonts w:ascii="Arial" w:cs="Arial" w:eastAsia="Arial" w:hAnsi="Arial"/>
                <w:sz w:val="18"/>
                <w:szCs w:val="18"/>
                <w:color w:val="auto"/>
              </w:rPr>
              <w:t>4,319</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13,364</w:t>
            </w:r>
          </w:p>
        </w:tc>
        <w:tc>
          <w:tcPr>
            <w:tcW w:w="0" w:type="dxa"/>
            <w:vAlign w:val="bottom"/>
          </w:tcPr>
          <w:p>
            <w:pPr>
              <w:spacing w:after="0"/>
              <w:rPr>
                <w:sz w:val="1"/>
                <w:szCs w:val="1"/>
                <w:color w:val="auto"/>
              </w:rPr>
            </w:pPr>
          </w:p>
        </w:tc>
      </w:tr>
      <w:tr>
        <w:trPr>
          <w:trHeight w:val="189"/>
        </w:trPr>
        <w:tc>
          <w:tcPr>
            <w:tcW w:w="202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6"/>
                <w:szCs w:val="16"/>
                <w:color w:val="auto"/>
              </w:rPr>
            </w:pPr>
          </w:p>
        </w:tc>
        <w:tc>
          <w:tcPr>
            <w:tcW w:w="960" w:type="dxa"/>
            <w:vAlign w:val="bottom"/>
          </w:tcPr>
          <w:p>
            <w:pPr>
              <w:jc w:val="right"/>
              <w:ind w:right="58"/>
              <w:spacing w:after="0" w:line="189" w:lineRule="exact"/>
              <w:rPr>
                <w:sz w:val="20"/>
                <w:szCs w:val="20"/>
                <w:color w:val="auto"/>
              </w:rPr>
            </w:pPr>
            <w:r>
              <w:rPr>
                <w:rFonts w:ascii="Arial" w:cs="Arial" w:eastAsia="Arial" w:hAnsi="Arial"/>
                <w:sz w:val="18"/>
                <w:szCs w:val="18"/>
                <w:color w:val="auto"/>
              </w:rPr>
              <w:t>19,079</w:t>
            </w:r>
          </w:p>
        </w:tc>
        <w:tc>
          <w:tcPr>
            <w:tcW w:w="260" w:type="dxa"/>
            <w:vAlign w:val="bottom"/>
          </w:tcPr>
          <w:p>
            <w:pPr>
              <w:spacing w:after="0"/>
              <w:rPr>
                <w:sz w:val="16"/>
                <w:szCs w:val="16"/>
                <w:color w:val="auto"/>
              </w:rPr>
            </w:pPr>
          </w:p>
        </w:tc>
        <w:tc>
          <w:tcPr>
            <w:tcW w:w="920" w:type="dxa"/>
            <w:vAlign w:val="bottom"/>
          </w:tcPr>
          <w:p>
            <w:pPr>
              <w:jc w:val="right"/>
              <w:ind w:right="58"/>
              <w:spacing w:after="0" w:line="189" w:lineRule="exact"/>
              <w:rPr>
                <w:sz w:val="20"/>
                <w:szCs w:val="20"/>
                <w:color w:val="auto"/>
              </w:rPr>
            </w:pPr>
            <w:r>
              <w:rPr>
                <w:rFonts w:ascii="Arial" w:cs="Arial" w:eastAsia="Arial" w:hAnsi="Arial"/>
                <w:sz w:val="18"/>
                <w:szCs w:val="18"/>
                <w:color w:val="auto"/>
              </w:rPr>
              <w:t>13,082</w:t>
            </w:r>
          </w:p>
        </w:tc>
        <w:tc>
          <w:tcPr>
            <w:tcW w:w="260" w:type="dxa"/>
            <w:vAlign w:val="bottom"/>
          </w:tcPr>
          <w:p>
            <w:pPr>
              <w:spacing w:after="0"/>
              <w:rPr>
                <w:sz w:val="16"/>
                <w:szCs w:val="16"/>
                <w:color w:val="auto"/>
              </w:rPr>
            </w:pPr>
          </w:p>
        </w:tc>
        <w:tc>
          <w:tcPr>
            <w:tcW w:w="980" w:type="dxa"/>
            <w:vAlign w:val="bottom"/>
          </w:tcPr>
          <w:p>
            <w:pPr>
              <w:jc w:val="right"/>
              <w:ind w:right="56"/>
              <w:spacing w:after="0" w:line="189" w:lineRule="exact"/>
              <w:rPr>
                <w:sz w:val="20"/>
                <w:szCs w:val="20"/>
                <w:color w:val="auto"/>
              </w:rPr>
            </w:pPr>
            <w:r>
              <w:rPr>
                <w:rFonts w:ascii="Arial" w:cs="Arial" w:eastAsia="Arial" w:hAnsi="Arial"/>
                <w:sz w:val="18"/>
                <w:szCs w:val="18"/>
                <w:color w:val="auto"/>
              </w:rPr>
              <w:t>4,498</w:t>
            </w:r>
          </w:p>
        </w:tc>
        <w:tc>
          <w:tcPr>
            <w:tcW w:w="260" w:type="dxa"/>
            <w:vAlign w:val="bottom"/>
          </w:tcPr>
          <w:p>
            <w:pPr>
              <w:spacing w:after="0"/>
              <w:rPr>
                <w:sz w:val="16"/>
                <w:szCs w:val="16"/>
                <w:color w:val="auto"/>
              </w:rPr>
            </w:pPr>
          </w:p>
        </w:tc>
        <w:tc>
          <w:tcPr>
            <w:tcW w:w="940" w:type="dxa"/>
            <w:vAlign w:val="bottom"/>
          </w:tcPr>
          <w:p>
            <w:pPr>
              <w:jc w:val="right"/>
              <w:ind w:right="56"/>
              <w:spacing w:after="0" w:line="189" w:lineRule="exact"/>
              <w:rPr>
                <w:sz w:val="20"/>
                <w:szCs w:val="20"/>
                <w:color w:val="auto"/>
              </w:rPr>
            </w:pPr>
            <w:r>
              <w:rPr>
                <w:rFonts w:ascii="Arial" w:cs="Arial" w:eastAsia="Arial" w:hAnsi="Arial"/>
                <w:sz w:val="18"/>
                <w:szCs w:val="18"/>
                <w:color w:val="auto"/>
              </w:rPr>
              <w:t>17,580</w:t>
            </w:r>
          </w:p>
        </w:tc>
        <w:tc>
          <w:tcPr>
            <w:tcW w:w="280" w:type="dxa"/>
            <w:vAlign w:val="bottom"/>
          </w:tcPr>
          <w:p>
            <w:pPr>
              <w:spacing w:after="0"/>
              <w:rPr>
                <w:sz w:val="16"/>
                <w:szCs w:val="16"/>
                <w:color w:val="auto"/>
              </w:rPr>
            </w:pPr>
          </w:p>
        </w:tc>
        <w:tc>
          <w:tcPr>
            <w:tcW w:w="940" w:type="dxa"/>
            <w:vAlign w:val="bottom"/>
          </w:tcPr>
          <w:p>
            <w:pPr>
              <w:jc w:val="right"/>
              <w:ind w:right="54"/>
              <w:spacing w:after="0" w:line="189" w:lineRule="exact"/>
              <w:rPr>
                <w:sz w:val="20"/>
                <w:szCs w:val="20"/>
                <w:color w:val="auto"/>
              </w:rPr>
            </w:pPr>
            <w:r>
              <w:rPr>
                <w:rFonts w:ascii="Arial" w:cs="Arial" w:eastAsia="Arial" w:hAnsi="Arial"/>
                <w:sz w:val="18"/>
                <w:szCs w:val="18"/>
                <w:color w:val="auto"/>
              </w:rPr>
              <w:t>1,181</w:t>
            </w: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18,077</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8"/>
              <w:spacing w:after="0" w:line="189" w:lineRule="exact"/>
              <w:rPr>
                <w:sz w:val="20"/>
                <w:szCs w:val="20"/>
                <w:color w:val="auto"/>
              </w:rPr>
            </w:pPr>
            <w:r>
              <w:rPr>
                <w:rFonts w:ascii="Arial" w:cs="Arial" w:eastAsia="Arial" w:hAnsi="Arial"/>
                <w:sz w:val="18"/>
                <w:szCs w:val="18"/>
                <w:color w:val="auto"/>
              </w:rPr>
              <w:t>478</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8"/>
              <w:spacing w:after="0" w:line="189" w:lineRule="exact"/>
              <w:rPr>
                <w:sz w:val="20"/>
                <w:szCs w:val="20"/>
                <w:color w:val="auto"/>
              </w:rPr>
            </w:pPr>
            <w:r>
              <w:rPr>
                <w:rFonts w:ascii="Arial" w:cs="Arial" w:eastAsia="Arial" w:hAnsi="Arial"/>
                <w:sz w:val="18"/>
                <w:szCs w:val="18"/>
                <w:color w:val="auto"/>
              </w:rPr>
              <w:t>453</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6"/>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6"/>
              <w:spacing w:after="0" w:line="189" w:lineRule="exact"/>
              <w:rPr>
                <w:sz w:val="20"/>
                <w:szCs w:val="20"/>
                <w:color w:val="auto"/>
              </w:rPr>
            </w:pPr>
            <w:r>
              <w:rPr>
                <w:rFonts w:ascii="Arial" w:cs="Arial" w:eastAsia="Arial" w:hAnsi="Arial"/>
                <w:sz w:val="18"/>
                <w:szCs w:val="18"/>
                <w:color w:val="auto"/>
              </w:rPr>
              <w:t>453</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4"/>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189"/>
        </w:trPr>
        <w:tc>
          <w:tcPr>
            <w:tcW w:w="202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100" w:type="dxa"/>
            <w:vAlign w:val="bottom"/>
          </w:tcPr>
          <w:p>
            <w:pPr>
              <w:spacing w:after="0"/>
              <w:rPr>
                <w:sz w:val="16"/>
                <w:szCs w:val="16"/>
                <w:color w:val="auto"/>
              </w:rPr>
            </w:pPr>
          </w:p>
        </w:tc>
        <w:tc>
          <w:tcPr>
            <w:tcW w:w="960" w:type="dxa"/>
            <w:vAlign w:val="bottom"/>
          </w:tcPr>
          <w:p>
            <w:pPr>
              <w:jc w:val="right"/>
              <w:ind w:right="58"/>
              <w:spacing w:after="0" w:line="189" w:lineRule="exact"/>
              <w:rPr>
                <w:sz w:val="20"/>
                <w:szCs w:val="20"/>
                <w:color w:val="auto"/>
              </w:rPr>
            </w:pPr>
            <w:r>
              <w:rPr>
                <w:rFonts w:ascii="Arial" w:cs="Arial" w:eastAsia="Arial" w:hAnsi="Arial"/>
                <w:sz w:val="18"/>
                <w:szCs w:val="18"/>
                <w:color w:val="auto"/>
              </w:rPr>
              <w:t>14,418</w:t>
            </w:r>
          </w:p>
        </w:tc>
        <w:tc>
          <w:tcPr>
            <w:tcW w:w="260" w:type="dxa"/>
            <w:vAlign w:val="bottom"/>
          </w:tcPr>
          <w:p>
            <w:pPr>
              <w:spacing w:after="0"/>
              <w:rPr>
                <w:sz w:val="16"/>
                <w:szCs w:val="16"/>
                <w:color w:val="auto"/>
              </w:rPr>
            </w:pPr>
          </w:p>
        </w:tc>
        <w:tc>
          <w:tcPr>
            <w:tcW w:w="920" w:type="dxa"/>
            <w:vAlign w:val="bottom"/>
          </w:tcPr>
          <w:p>
            <w:pPr>
              <w:jc w:val="right"/>
              <w:ind w:right="58"/>
              <w:spacing w:after="0" w:line="189" w:lineRule="exact"/>
              <w:rPr>
                <w:sz w:val="20"/>
                <w:szCs w:val="20"/>
                <w:color w:val="auto"/>
              </w:rPr>
            </w:pPr>
            <w:r>
              <w:rPr>
                <w:rFonts w:ascii="Arial" w:cs="Arial" w:eastAsia="Arial" w:hAnsi="Arial"/>
                <w:sz w:val="18"/>
                <w:szCs w:val="18"/>
                <w:color w:val="auto"/>
              </w:rPr>
              <w:t>13,196</w:t>
            </w:r>
          </w:p>
        </w:tc>
        <w:tc>
          <w:tcPr>
            <w:tcW w:w="260" w:type="dxa"/>
            <w:vAlign w:val="bottom"/>
          </w:tcPr>
          <w:p>
            <w:pPr>
              <w:spacing w:after="0"/>
              <w:rPr>
                <w:sz w:val="16"/>
                <w:szCs w:val="16"/>
                <w:color w:val="auto"/>
              </w:rPr>
            </w:pPr>
          </w:p>
        </w:tc>
        <w:tc>
          <w:tcPr>
            <w:tcW w:w="980" w:type="dxa"/>
            <w:vAlign w:val="bottom"/>
          </w:tcPr>
          <w:p>
            <w:pPr>
              <w:jc w:val="right"/>
              <w:ind w:right="56"/>
              <w:spacing w:after="0" w:line="189" w:lineRule="exact"/>
              <w:rPr>
                <w:sz w:val="20"/>
                <w:szCs w:val="20"/>
                <w:color w:val="auto"/>
              </w:rPr>
            </w:pPr>
            <w:r>
              <w:rPr>
                <w:rFonts w:ascii="Arial" w:cs="Arial" w:eastAsia="Arial" w:hAnsi="Arial"/>
                <w:sz w:val="18"/>
                <w:szCs w:val="18"/>
                <w:color w:val="auto"/>
              </w:rPr>
              <w:t>61</w:t>
            </w:r>
          </w:p>
        </w:tc>
        <w:tc>
          <w:tcPr>
            <w:tcW w:w="260" w:type="dxa"/>
            <w:vAlign w:val="bottom"/>
          </w:tcPr>
          <w:p>
            <w:pPr>
              <w:spacing w:after="0"/>
              <w:rPr>
                <w:sz w:val="16"/>
                <w:szCs w:val="16"/>
                <w:color w:val="auto"/>
              </w:rPr>
            </w:pPr>
          </w:p>
        </w:tc>
        <w:tc>
          <w:tcPr>
            <w:tcW w:w="940" w:type="dxa"/>
            <w:vAlign w:val="bottom"/>
          </w:tcPr>
          <w:p>
            <w:pPr>
              <w:jc w:val="right"/>
              <w:ind w:right="56"/>
              <w:spacing w:after="0" w:line="189" w:lineRule="exact"/>
              <w:rPr>
                <w:sz w:val="20"/>
                <w:szCs w:val="20"/>
                <w:color w:val="auto"/>
              </w:rPr>
            </w:pPr>
            <w:r>
              <w:rPr>
                <w:rFonts w:ascii="Arial" w:cs="Arial" w:eastAsia="Arial" w:hAnsi="Arial"/>
                <w:sz w:val="18"/>
                <w:szCs w:val="18"/>
                <w:color w:val="auto"/>
              </w:rPr>
              <w:t>13,257</w:t>
            </w:r>
          </w:p>
        </w:tc>
        <w:tc>
          <w:tcPr>
            <w:tcW w:w="280" w:type="dxa"/>
            <w:vAlign w:val="bottom"/>
          </w:tcPr>
          <w:p>
            <w:pPr>
              <w:spacing w:after="0"/>
              <w:rPr>
                <w:sz w:val="16"/>
                <w:szCs w:val="16"/>
                <w:color w:val="auto"/>
              </w:rPr>
            </w:pPr>
          </w:p>
        </w:tc>
        <w:tc>
          <w:tcPr>
            <w:tcW w:w="940" w:type="dxa"/>
            <w:vAlign w:val="bottom"/>
          </w:tcPr>
          <w:p>
            <w:pPr>
              <w:jc w:val="right"/>
              <w:ind w:right="54"/>
              <w:spacing w:after="0" w:line="189" w:lineRule="exact"/>
              <w:rPr>
                <w:sz w:val="20"/>
                <w:szCs w:val="20"/>
                <w:color w:val="auto"/>
              </w:rPr>
            </w:pPr>
            <w:r>
              <w:rPr>
                <w:rFonts w:ascii="Arial" w:cs="Arial" w:eastAsia="Arial" w:hAnsi="Arial"/>
                <w:sz w:val="18"/>
                <w:szCs w:val="18"/>
                <w:color w:val="auto"/>
              </w:rPr>
              <w:t>61</w:t>
            </w: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14,110</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8"/>
              <w:spacing w:after="0" w:line="189" w:lineRule="exact"/>
              <w:rPr>
                <w:sz w:val="20"/>
                <w:szCs w:val="20"/>
                <w:color w:val="auto"/>
              </w:rPr>
            </w:pPr>
            <w:r>
              <w:rPr>
                <w:rFonts w:ascii="Arial" w:cs="Arial" w:eastAsia="Arial" w:hAnsi="Arial"/>
                <w:sz w:val="18"/>
                <w:szCs w:val="18"/>
                <w:color w:val="auto"/>
              </w:rPr>
              <w:t>117</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58"/>
              <w:spacing w:after="0" w:line="189" w:lineRule="exact"/>
              <w:rPr>
                <w:sz w:val="20"/>
                <w:szCs w:val="20"/>
                <w:color w:val="auto"/>
              </w:rPr>
            </w:pPr>
            <w:r>
              <w:rPr>
                <w:rFonts w:ascii="Arial" w:cs="Arial" w:eastAsia="Arial" w:hAnsi="Arial"/>
                <w:sz w:val="18"/>
                <w:szCs w:val="18"/>
                <w:color w:val="auto"/>
              </w:rPr>
              <w:t>33</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6"/>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56"/>
              <w:spacing w:after="0" w:line="189" w:lineRule="exact"/>
              <w:rPr>
                <w:sz w:val="20"/>
                <w:szCs w:val="20"/>
                <w:color w:val="auto"/>
              </w:rPr>
            </w:pPr>
            <w:r>
              <w:rPr>
                <w:rFonts w:ascii="Arial" w:cs="Arial" w:eastAsia="Arial" w:hAnsi="Arial"/>
                <w:sz w:val="18"/>
                <w:szCs w:val="18"/>
                <w:color w:val="auto"/>
              </w:rPr>
              <w:t>33</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54"/>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0"/>
        </w:trPr>
        <w:tc>
          <w:tcPr>
            <w:tcW w:w="2020" w:type="dxa"/>
            <w:vAlign w:val="bottom"/>
          </w:tcPr>
          <w:p>
            <w:pPr>
              <w:ind w:left="120"/>
              <w:spacing w:after="0" w:line="182"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8"/>
              <w:spacing w:after="0" w:line="182" w:lineRule="exact"/>
              <w:rPr>
                <w:sz w:val="20"/>
                <w:szCs w:val="20"/>
                <w:color w:val="auto"/>
              </w:rPr>
            </w:pPr>
            <w:r>
              <w:rPr>
                <w:rFonts w:ascii="Arial" w:cs="Arial" w:eastAsia="Arial" w:hAnsi="Arial"/>
                <w:sz w:val="18"/>
                <w:szCs w:val="18"/>
                <w:color w:val="auto"/>
              </w:rPr>
              <w:t>55,534</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8"/>
              <w:spacing w:after="0" w:line="182" w:lineRule="exact"/>
              <w:rPr>
                <w:sz w:val="20"/>
                <w:szCs w:val="20"/>
                <w:color w:val="auto"/>
              </w:rPr>
            </w:pPr>
            <w:r>
              <w:rPr>
                <w:rFonts w:ascii="Arial" w:cs="Arial" w:eastAsia="Arial" w:hAnsi="Arial"/>
                <w:sz w:val="18"/>
                <w:szCs w:val="18"/>
                <w:color w:val="auto"/>
              </w:rPr>
              <w:t>33,622</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6"/>
              <w:spacing w:after="0" w:line="182" w:lineRule="exact"/>
              <w:rPr>
                <w:sz w:val="20"/>
                <w:szCs w:val="20"/>
                <w:color w:val="auto"/>
              </w:rPr>
            </w:pPr>
            <w:r>
              <w:rPr>
                <w:rFonts w:ascii="Arial" w:cs="Arial" w:eastAsia="Arial" w:hAnsi="Arial"/>
                <w:sz w:val="18"/>
                <w:szCs w:val="18"/>
                <w:color w:val="auto"/>
              </w:rPr>
              <w:t>16,560</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6"/>
              <w:spacing w:after="0" w:line="182" w:lineRule="exact"/>
              <w:rPr>
                <w:sz w:val="20"/>
                <w:szCs w:val="20"/>
                <w:color w:val="auto"/>
              </w:rPr>
            </w:pPr>
            <w:r>
              <w:rPr>
                <w:rFonts w:ascii="Arial" w:cs="Arial" w:eastAsia="Arial" w:hAnsi="Arial"/>
                <w:sz w:val="18"/>
                <w:szCs w:val="18"/>
                <w:color w:val="auto"/>
              </w:rPr>
              <w:t>50,182</w:t>
            </w:r>
          </w:p>
        </w:tc>
        <w:tc>
          <w:tcPr>
            <w:tcW w:w="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4"/>
              <w:spacing w:after="0" w:line="182" w:lineRule="exact"/>
              <w:rPr>
                <w:sz w:val="20"/>
                <w:szCs w:val="20"/>
                <w:color w:val="auto"/>
              </w:rPr>
            </w:pPr>
            <w:r>
              <w:rPr>
                <w:rFonts w:ascii="Arial" w:cs="Arial" w:eastAsia="Arial" w:hAnsi="Arial"/>
                <w:sz w:val="18"/>
                <w:szCs w:val="18"/>
                <w:color w:val="auto"/>
              </w:rPr>
              <w:t>5,561</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46,303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480"/>
        <w:spacing w:after="0" w:line="224" w:lineRule="auto"/>
        <w:rPr>
          <w:sz w:val="20"/>
          <w:szCs w:val="20"/>
          <w:color w:val="auto"/>
        </w:rPr>
      </w:pPr>
      <w:r>
        <w:rPr>
          <w:rFonts w:ascii="Arial" w:cs="Arial" w:eastAsia="Arial" w:hAnsi="Arial"/>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w:t>
      </w:r>
    </w:p>
    <w:p>
      <w:pPr>
        <w:spacing w:after="0" w:line="123"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Company holds acquired loans from business combinations with uncollected principal balances. These loans are carried net of a fair value adjustment for credit risk and interest rates and are only included in the allowance calculation to the extent that the reserve requirement exceeds the fair value adjustment. As the acquired loans renew, it is generally necessary to establish an allowance, which represents an amount that, in management’s opinion, will be adequate to absorb probable credit losses in such loans. The recorded investment of all acquired loans as of March 31, 2019 totaled approximately $2.0 billion.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 xml:space="preserve">The following table details activity in the allowance for loan losses. Allocation of a portion of the allowance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6"/>
          </w:tcPr>
          <w:p>
            <w:pPr>
              <w:jc w:val="right"/>
              <w:ind w:right="36"/>
              <w:spacing w:after="0"/>
              <w:rPr>
                <w:sz w:val="20"/>
                <w:szCs w:val="20"/>
                <w:color w:val="auto"/>
              </w:rPr>
            </w:pPr>
            <w:r>
              <w:rPr>
                <w:rFonts w:ascii="Arial" w:cs="Arial" w:eastAsia="Arial" w:hAnsi="Arial"/>
                <w:sz w:val="14"/>
                <w:szCs w:val="14"/>
                <w:b w:val="1"/>
                <w:bCs w:val="1"/>
                <w:color w:val="auto"/>
              </w:rPr>
              <w:t>As of and for the Three Months Ended March 31, 2019</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2"/>
              </w:rPr>
              <w:t>Commercial</w:t>
            </w:r>
          </w:p>
        </w:tc>
        <w:tc>
          <w:tcPr>
            <w:tcW w:w="1220" w:type="dxa"/>
            <w:vAlign w:val="bottom"/>
            <w:gridSpan w:val="2"/>
          </w:tcPr>
          <w:p>
            <w:pPr>
              <w:jc w:val="right"/>
              <w:ind w:right="176"/>
              <w:spacing w:after="0" w:line="119" w:lineRule="exact"/>
              <w:rPr>
                <w:sz w:val="20"/>
                <w:szCs w:val="20"/>
                <w:color w:val="auto"/>
              </w:rPr>
            </w:pPr>
            <w:r>
              <w:rPr>
                <w:rFonts w:ascii="Arial" w:cs="Arial" w:eastAsia="Arial" w:hAnsi="Arial"/>
                <w:sz w:val="13"/>
                <w:szCs w:val="13"/>
                <w:b w:val="1"/>
                <w:bCs w:val="1"/>
                <w:color w:val="auto"/>
              </w:rPr>
              <w:t>Commercial</w:t>
            </w:r>
          </w:p>
        </w:tc>
        <w:tc>
          <w:tcPr>
            <w:tcW w:w="240" w:type="dxa"/>
            <w:vAlign w:val="bottom"/>
          </w:tcPr>
          <w:p>
            <w:pPr>
              <w:spacing w:after="0"/>
              <w:rPr>
                <w:sz w:val="10"/>
                <w:szCs w:val="10"/>
                <w:color w:val="auto"/>
              </w:rPr>
            </w:pPr>
          </w:p>
        </w:tc>
        <w:tc>
          <w:tcPr>
            <w:tcW w:w="980" w:type="dxa"/>
            <w:vAlign w:val="bottom"/>
          </w:tcPr>
          <w:p>
            <w:pPr>
              <w:jc w:val="right"/>
              <w:ind w:right="194"/>
              <w:spacing w:after="0" w:line="119" w:lineRule="exact"/>
              <w:rPr>
                <w:sz w:val="20"/>
                <w:szCs w:val="20"/>
                <w:color w:val="auto"/>
              </w:rPr>
            </w:pPr>
            <w:r>
              <w:rPr>
                <w:rFonts w:ascii="Arial" w:cs="Arial" w:eastAsia="Arial" w:hAnsi="Arial"/>
                <w:sz w:val="13"/>
                <w:szCs w:val="13"/>
                <w:b w:val="1"/>
                <w:bCs w:val="1"/>
                <w:color w:val="auto"/>
                <w:w w:val="96"/>
              </w:rPr>
              <w:t>Real Estate</w:t>
            </w:r>
          </w:p>
        </w:tc>
        <w:tc>
          <w:tcPr>
            <w:tcW w:w="220" w:type="dxa"/>
            <w:vAlign w:val="bottom"/>
          </w:tcPr>
          <w:p>
            <w:pPr>
              <w:spacing w:after="0"/>
              <w:rPr>
                <w:sz w:val="10"/>
                <w:szCs w:val="10"/>
                <w:color w:val="auto"/>
              </w:rPr>
            </w:pPr>
          </w:p>
        </w:tc>
        <w:tc>
          <w:tcPr>
            <w:tcW w:w="960" w:type="dxa"/>
            <w:vAlign w:val="bottom"/>
          </w:tcPr>
          <w:p>
            <w:pPr>
              <w:jc w:val="center"/>
              <w:ind w:right="156"/>
              <w:spacing w:after="0" w:line="119" w:lineRule="exact"/>
              <w:rPr>
                <w:sz w:val="20"/>
                <w:szCs w:val="20"/>
                <w:color w:val="auto"/>
              </w:rPr>
            </w:pPr>
            <w:r>
              <w:rPr>
                <w:rFonts w:ascii="Arial" w:cs="Arial" w:eastAsia="Arial" w:hAnsi="Arial"/>
                <w:sz w:val="13"/>
                <w:szCs w:val="13"/>
                <w:b w:val="1"/>
                <w:bCs w:val="1"/>
                <w:color w:val="auto"/>
              </w:rPr>
              <w:t>Retail Real</w:t>
            </w: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Pr>
          <w:p>
            <w:pPr>
              <w:spacing w:after="0"/>
              <w:rPr>
                <w:sz w:val="10"/>
                <w:szCs w:val="10"/>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0"/>
              </w:rPr>
              <w:t>Real Estate</w:t>
            </w:r>
          </w:p>
        </w:tc>
        <w:tc>
          <w:tcPr>
            <w:tcW w:w="122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4"/>
                <w:szCs w:val="14"/>
                <w:b w:val="1"/>
                <w:bCs w:val="1"/>
                <w:color w:val="auto"/>
              </w:rPr>
              <w:t>Construction</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5"/>
              </w:rPr>
              <w:t>Estate</w:t>
            </w:r>
          </w:p>
        </w:tc>
        <w:tc>
          <w:tcPr>
            <w:tcW w:w="120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13"/>
              <w:spacing w:after="0" w:line="182" w:lineRule="exact"/>
              <w:rPr>
                <w:sz w:val="20"/>
                <w:szCs w:val="20"/>
                <w:color w:val="auto"/>
              </w:rPr>
            </w:pPr>
            <w:r>
              <w:rPr>
                <w:rFonts w:ascii="Arial" w:cs="Arial" w:eastAsia="Arial" w:hAnsi="Arial"/>
                <w:sz w:val="18"/>
                <w:szCs w:val="18"/>
                <w:color w:val="auto"/>
              </w:rPr>
              <w:t>17,829</w:t>
            </w:r>
          </w:p>
        </w:tc>
        <w:tc>
          <w:tcPr>
            <w:tcW w:w="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6"/>
              <w:spacing w:after="0" w:line="182" w:lineRule="exact"/>
              <w:rPr>
                <w:sz w:val="20"/>
                <w:szCs w:val="20"/>
                <w:color w:val="auto"/>
              </w:rPr>
            </w:pPr>
            <w:r>
              <w:rPr>
                <w:rFonts w:ascii="Arial" w:cs="Arial" w:eastAsia="Arial" w:hAnsi="Arial"/>
                <w:sz w:val="18"/>
                <w:szCs w:val="18"/>
                <w:color w:val="auto"/>
              </w:rPr>
              <w:t>21,137</w:t>
            </w:r>
          </w:p>
        </w:tc>
        <w:tc>
          <w:tcPr>
            <w:tcW w:w="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4"/>
              <w:spacing w:after="0" w:line="182" w:lineRule="exact"/>
              <w:rPr>
                <w:sz w:val="20"/>
                <w:szCs w:val="20"/>
                <w:color w:val="auto"/>
              </w:rPr>
            </w:pPr>
            <w:r>
              <w:rPr>
                <w:rFonts w:ascii="Arial" w:cs="Arial" w:eastAsia="Arial" w:hAnsi="Arial"/>
                <w:sz w:val="18"/>
                <w:szCs w:val="18"/>
                <w:color w:val="auto"/>
              </w:rPr>
              <w:t>2,723</w:t>
            </w:r>
          </w:p>
        </w:tc>
        <w:tc>
          <w:tcPr>
            <w:tcW w:w="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line="182" w:lineRule="exact"/>
              <w:rPr>
                <w:sz w:val="20"/>
                <w:szCs w:val="20"/>
                <w:color w:val="auto"/>
              </w:rPr>
            </w:pPr>
            <w:r>
              <w:rPr>
                <w:rFonts w:ascii="Arial" w:cs="Arial" w:eastAsia="Arial" w:hAnsi="Arial"/>
                <w:sz w:val="18"/>
                <w:szCs w:val="18"/>
                <w:color w:val="auto"/>
              </w:rPr>
              <w:t>8,471</w:t>
            </w:r>
          </w:p>
        </w:tc>
        <w:tc>
          <w:tcPr>
            <w:tcW w:w="580" w:type="dxa"/>
            <w:vAlign w:val="bottom"/>
            <w:shd w:val="clear" w:color="auto" w:fill="CCEEFF"/>
          </w:tcPr>
          <w:p>
            <w:pPr>
              <w:jc w:val="right"/>
              <w:ind w:right="296"/>
              <w:spacing w:after="0" w:line="18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488</w:t>
            </w:r>
          </w:p>
        </w:tc>
        <w:tc>
          <w:tcPr>
            <w:tcW w:w="3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189"/>
        </w:trPr>
        <w:tc>
          <w:tcPr>
            <w:tcW w:w="2100" w:type="dxa"/>
            <w:vAlign w:val="bottom"/>
          </w:tcPr>
          <w:p>
            <w:pPr>
              <w:spacing w:after="0" w:line="189" w:lineRule="exact"/>
              <w:rPr>
                <w:sz w:val="20"/>
                <w:szCs w:val="20"/>
                <w:color w:val="auto"/>
              </w:rPr>
            </w:pPr>
            <w:r>
              <w:rPr>
                <w:rFonts w:ascii="Arial" w:cs="Arial" w:eastAsia="Arial" w:hAnsi="Arial"/>
                <w:sz w:val="18"/>
                <w:szCs w:val="18"/>
                <w:color w:val="auto"/>
              </w:rPr>
              <w:t>Provision for loan losses</w:t>
            </w:r>
          </w:p>
        </w:tc>
        <w:tc>
          <w:tcPr>
            <w:tcW w:w="80" w:type="dxa"/>
            <w:vAlign w:val="bottom"/>
          </w:tcPr>
          <w:p>
            <w:pPr>
              <w:spacing w:after="0"/>
              <w:rPr>
                <w:sz w:val="16"/>
                <w:szCs w:val="16"/>
                <w:color w:val="auto"/>
              </w:rPr>
            </w:pPr>
          </w:p>
        </w:tc>
        <w:tc>
          <w:tcPr>
            <w:tcW w:w="1000" w:type="dxa"/>
            <w:vAlign w:val="bottom"/>
          </w:tcPr>
          <w:p>
            <w:pPr>
              <w:jc w:val="right"/>
              <w:ind w:right="113"/>
              <w:spacing w:after="0" w:line="189" w:lineRule="exact"/>
              <w:rPr>
                <w:sz w:val="20"/>
                <w:szCs w:val="20"/>
                <w:color w:val="auto"/>
              </w:rPr>
            </w:pPr>
            <w:r>
              <w:rPr>
                <w:rFonts w:ascii="Arial" w:cs="Arial" w:eastAsia="Arial" w:hAnsi="Arial"/>
                <w:sz w:val="18"/>
                <w:szCs w:val="18"/>
                <w:color w:val="auto"/>
              </w:rPr>
              <w:t>1,793</w:t>
            </w:r>
          </w:p>
        </w:tc>
        <w:tc>
          <w:tcPr>
            <w:tcW w:w="240" w:type="dxa"/>
            <w:vAlign w:val="bottom"/>
          </w:tcPr>
          <w:p>
            <w:pPr>
              <w:spacing w:after="0"/>
              <w:rPr>
                <w:sz w:val="16"/>
                <w:szCs w:val="16"/>
                <w:color w:val="auto"/>
              </w:rPr>
            </w:pPr>
          </w:p>
        </w:tc>
        <w:tc>
          <w:tcPr>
            <w:tcW w:w="980" w:type="dxa"/>
            <w:vAlign w:val="bottom"/>
          </w:tcPr>
          <w:p>
            <w:pPr>
              <w:jc w:val="right"/>
              <w:ind w:right="56"/>
              <w:spacing w:after="0" w:line="189" w:lineRule="exact"/>
              <w:rPr>
                <w:sz w:val="20"/>
                <w:szCs w:val="20"/>
                <w:color w:val="auto"/>
              </w:rPr>
            </w:pPr>
            <w:r>
              <w:rPr>
                <w:rFonts w:ascii="Arial" w:cs="Arial" w:eastAsia="Arial" w:hAnsi="Arial"/>
                <w:sz w:val="18"/>
                <w:szCs w:val="18"/>
                <w:color w:val="auto"/>
              </w:rPr>
              <w:t>(1,089)</w:t>
            </w:r>
          </w:p>
        </w:tc>
        <w:tc>
          <w:tcPr>
            <w:tcW w:w="240" w:type="dxa"/>
            <w:vAlign w:val="bottom"/>
          </w:tcPr>
          <w:p>
            <w:pPr>
              <w:spacing w:after="0"/>
              <w:rPr>
                <w:sz w:val="16"/>
                <w:szCs w:val="16"/>
                <w:color w:val="auto"/>
              </w:rPr>
            </w:pPr>
          </w:p>
        </w:tc>
        <w:tc>
          <w:tcPr>
            <w:tcW w:w="980" w:type="dxa"/>
            <w:vAlign w:val="bottom"/>
          </w:tcPr>
          <w:p>
            <w:pPr>
              <w:jc w:val="right"/>
              <w:ind w:right="94"/>
              <w:spacing w:after="0" w:line="189"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6"/>
                <w:szCs w:val="16"/>
                <w:color w:val="auto"/>
              </w:rPr>
            </w:pPr>
          </w:p>
        </w:tc>
        <w:tc>
          <w:tcPr>
            <w:tcW w:w="960" w:type="dxa"/>
            <w:vAlign w:val="bottom"/>
          </w:tcPr>
          <w:p>
            <w:pPr>
              <w:jc w:val="right"/>
              <w:ind w:right="76"/>
              <w:spacing w:after="0" w:line="189" w:lineRule="exact"/>
              <w:rPr>
                <w:sz w:val="20"/>
                <w:szCs w:val="20"/>
                <w:color w:val="auto"/>
              </w:rPr>
            </w:pPr>
            <w:r>
              <w:rPr>
                <w:rFonts w:ascii="Arial" w:cs="Arial" w:eastAsia="Arial" w:hAnsi="Arial"/>
                <w:sz w:val="18"/>
                <w:szCs w:val="18"/>
                <w:color w:val="auto"/>
              </w:rPr>
              <w:t>1,357</w:t>
            </w:r>
          </w:p>
        </w:tc>
        <w:tc>
          <w:tcPr>
            <w:tcW w:w="580" w:type="dxa"/>
            <w:vAlign w:val="bottom"/>
          </w:tcPr>
          <w:p>
            <w:pPr>
              <w:spacing w:after="0"/>
              <w:rPr>
                <w:sz w:val="16"/>
                <w:szCs w:val="16"/>
                <w:color w:val="auto"/>
              </w:rPr>
            </w:pPr>
          </w:p>
        </w:tc>
        <w:tc>
          <w:tcPr>
            <w:tcW w:w="620" w:type="dxa"/>
            <w:vAlign w:val="bottom"/>
          </w:tcPr>
          <w:p>
            <w:pPr>
              <w:jc w:val="right"/>
              <w:ind w:right="70"/>
              <w:spacing w:after="0" w:line="189" w:lineRule="exact"/>
              <w:rPr>
                <w:sz w:val="20"/>
                <w:szCs w:val="20"/>
                <w:color w:val="auto"/>
              </w:rPr>
            </w:pPr>
            <w:r>
              <w:rPr>
                <w:rFonts w:ascii="Arial" w:cs="Arial" w:eastAsia="Arial" w:hAnsi="Arial"/>
                <w:sz w:val="18"/>
                <w:szCs w:val="18"/>
                <w:color w:val="auto"/>
              </w:rPr>
              <w:t>48</w:t>
            </w:r>
          </w:p>
        </w:tc>
        <w:tc>
          <w:tcPr>
            <w:tcW w:w="3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Charged-off</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(1,807)</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6"/>
              <w:spacing w:after="0" w:line="189" w:lineRule="exact"/>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4"/>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6"/>
              <w:spacing w:after="0" w:line="189" w:lineRule="exact"/>
              <w:rPr>
                <w:sz w:val="20"/>
                <w:szCs w:val="20"/>
                <w:color w:val="auto"/>
              </w:rPr>
            </w:pPr>
            <w:r>
              <w:rPr>
                <w:rFonts w:ascii="Arial" w:cs="Arial" w:eastAsia="Arial" w:hAnsi="Arial"/>
                <w:sz w:val="18"/>
                <w:szCs w:val="18"/>
                <w:color w:val="auto"/>
              </w:rPr>
              <w:t>(517)</w:t>
            </w: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Recoveries</w:t>
            </w: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3"/>
              <w:spacing w:after="0" w:line="189" w:lineRule="exact"/>
              <w:rPr>
                <w:sz w:val="20"/>
                <w:szCs w:val="20"/>
                <w:color w:val="auto"/>
              </w:rPr>
            </w:pPr>
            <w:r>
              <w:rPr>
                <w:rFonts w:ascii="Arial" w:cs="Arial" w:eastAsia="Arial" w:hAnsi="Arial"/>
                <w:sz w:val="18"/>
                <w:szCs w:val="18"/>
                <w:color w:val="auto"/>
              </w:rPr>
              <w:t>183</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6"/>
              <w:spacing w:after="0" w:line="189" w:lineRule="exact"/>
              <w:rPr>
                <w:sz w:val="20"/>
                <w:szCs w:val="20"/>
                <w:color w:val="auto"/>
              </w:rPr>
            </w:pPr>
            <w:r>
              <w:rPr>
                <w:rFonts w:ascii="Arial" w:cs="Arial" w:eastAsia="Arial" w:hAnsi="Arial"/>
                <w:sz w:val="18"/>
                <w:szCs w:val="18"/>
                <w:color w:val="auto"/>
              </w:rPr>
              <w:t>64</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4"/>
              <w:spacing w:after="0" w:line="189" w:lineRule="exact"/>
              <w:rPr>
                <w:sz w:val="20"/>
                <w:szCs w:val="20"/>
                <w:color w:val="auto"/>
              </w:rPr>
            </w:pPr>
            <w:r>
              <w:rPr>
                <w:rFonts w:ascii="Arial" w:cs="Arial" w:eastAsia="Arial" w:hAnsi="Arial"/>
                <w:sz w:val="18"/>
                <w:szCs w:val="18"/>
                <w:color w:val="auto"/>
              </w:rPr>
              <w:t>82</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6"/>
              <w:spacing w:after="0" w:line="189" w:lineRule="exact"/>
              <w:rPr>
                <w:sz w:val="20"/>
                <w:szCs w:val="20"/>
                <w:color w:val="auto"/>
              </w:rPr>
            </w:pPr>
            <w:r>
              <w:rPr>
                <w:rFonts w:ascii="Arial" w:cs="Arial" w:eastAsia="Arial" w:hAnsi="Arial"/>
                <w:sz w:val="18"/>
                <w:szCs w:val="18"/>
                <w:color w:val="auto"/>
              </w:rPr>
              <w:t>192</w:t>
            </w:r>
          </w:p>
        </w:tc>
        <w:tc>
          <w:tcPr>
            <w:tcW w:w="5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rPr>
              <w:t>104</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90"/>
        </w:trPr>
        <w:tc>
          <w:tcPr>
            <w:tcW w:w="21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Ending balance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13"/>
              <w:spacing w:after="0" w:line="182" w:lineRule="exact"/>
              <w:rPr>
                <w:sz w:val="20"/>
                <w:szCs w:val="20"/>
                <w:color w:val="auto"/>
              </w:rPr>
            </w:pPr>
            <w:r>
              <w:rPr>
                <w:rFonts w:ascii="Arial" w:cs="Arial" w:eastAsia="Arial" w:hAnsi="Arial"/>
                <w:sz w:val="18"/>
                <w:szCs w:val="18"/>
                <w:color w:val="auto"/>
              </w:rPr>
              <w:t>17,998</w:t>
            </w: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6"/>
              <w:spacing w:after="0" w:line="182" w:lineRule="exact"/>
              <w:rPr>
                <w:sz w:val="20"/>
                <w:szCs w:val="20"/>
                <w:color w:val="auto"/>
              </w:rPr>
            </w:pPr>
            <w:r>
              <w:rPr>
                <w:rFonts w:ascii="Arial" w:cs="Arial" w:eastAsia="Arial" w:hAnsi="Arial"/>
                <w:sz w:val="18"/>
                <w:szCs w:val="18"/>
                <w:color w:val="auto"/>
              </w:rPr>
              <w:t>20,097</w:t>
            </w: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4"/>
              <w:spacing w:after="0" w:line="182" w:lineRule="exact"/>
              <w:rPr>
                <w:sz w:val="20"/>
                <w:szCs w:val="20"/>
                <w:color w:val="auto"/>
              </w:rPr>
            </w:pPr>
            <w:r>
              <w:rPr>
                <w:rFonts w:ascii="Arial" w:cs="Arial" w:eastAsia="Arial" w:hAnsi="Arial"/>
                <w:sz w:val="18"/>
                <w:szCs w:val="18"/>
                <w:color w:val="auto"/>
              </w:rPr>
              <w:t>2,807</w:t>
            </w:r>
          </w:p>
        </w:tc>
        <w:tc>
          <w:tcPr>
            <w:tcW w:w="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6"/>
              <w:spacing w:after="0" w:line="182" w:lineRule="exact"/>
              <w:rPr>
                <w:sz w:val="20"/>
                <w:szCs w:val="20"/>
                <w:color w:val="auto"/>
              </w:rPr>
            </w:pPr>
            <w:r>
              <w:rPr>
                <w:rFonts w:ascii="Arial" w:cs="Arial" w:eastAsia="Arial" w:hAnsi="Arial"/>
                <w:sz w:val="18"/>
                <w:szCs w:val="18"/>
                <w:color w:val="auto"/>
              </w:rPr>
              <w:t>9,503</w:t>
            </w:r>
          </w:p>
        </w:tc>
        <w:tc>
          <w:tcPr>
            <w:tcW w:w="580" w:type="dxa"/>
            <w:vAlign w:val="bottom"/>
            <w:tcBorders>
              <w:bottom w:val="single" w:sz="8" w:color="auto"/>
            </w:tcBorders>
            <w:shd w:val="clear" w:color="auto" w:fill="CCEEFF"/>
          </w:tcPr>
          <w:p>
            <w:pPr>
              <w:jc w:val="right"/>
              <w:ind w:right="296"/>
              <w:spacing w:after="0" w:line="182"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510</w:t>
            </w:r>
          </w:p>
        </w:tc>
        <w:tc>
          <w:tcPr>
            <w:tcW w:w="3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50,915</w:t>
            </w:r>
          </w:p>
        </w:tc>
        <w:tc>
          <w:tcPr>
            <w:tcW w:w="0" w:type="dxa"/>
            <w:vAlign w:val="bottom"/>
          </w:tcPr>
          <w:p>
            <w:pPr>
              <w:spacing w:after="0"/>
              <w:rPr>
                <w:sz w:val="1"/>
                <w:szCs w:val="1"/>
                <w:color w:val="auto"/>
              </w:rPr>
            </w:pPr>
          </w:p>
        </w:tc>
      </w:tr>
      <w:tr>
        <w:trPr>
          <w:trHeight w:val="513"/>
        </w:trPr>
        <w:tc>
          <w:tcPr>
            <w:tcW w:w="2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6"/>
          </w:tcPr>
          <w:p>
            <w:pPr>
              <w:jc w:val="right"/>
              <w:ind w:right="36"/>
              <w:spacing w:after="0"/>
              <w:rPr>
                <w:sz w:val="20"/>
                <w:szCs w:val="20"/>
                <w:color w:val="auto"/>
              </w:rPr>
            </w:pPr>
            <w:r>
              <w:rPr>
                <w:rFonts w:ascii="Arial" w:cs="Arial" w:eastAsia="Arial" w:hAnsi="Arial"/>
                <w:sz w:val="14"/>
                <w:szCs w:val="14"/>
                <w:b w:val="1"/>
                <w:bCs w:val="1"/>
                <w:color w:val="auto"/>
              </w:rPr>
              <w:t>As of and for the Three Months Ended March 31, 2018</w:t>
            </w: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Commercial</w:t>
            </w:r>
          </w:p>
        </w:tc>
        <w:tc>
          <w:tcPr>
            <w:tcW w:w="240" w:type="dxa"/>
            <w:vAlign w:val="bottom"/>
          </w:tcPr>
          <w:p>
            <w:pPr>
              <w:spacing w:after="0"/>
              <w:rPr>
                <w:sz w:val="10"/>
                <w:szCs w:val="10"/>
                <w:color w:val="auto"/>
              </w:rPr>
            </w:pPr>
          </w:p>
        </w:tc>
        <w:tc>
          <w:tcPr>
            <w:tcW w:w="98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Commercial</w:t>
            </w:r>
          </w:p>
        </w:tc>
        <w:tc>
          <w:tcPr>
            <w:tcW w:w="240" w:type="dxa"/>
            <w:vAlign w:val="bottom"/>
          </w:tcPr>
          <w:p>
            <w:pPr>
              <w:spacing w:after="0"/>
              <w:rPr>
                <w:sz w:val="10"/>
                <w:szCs w:val="10"/>
                <w:color w:val="auto"/>
              </w:rPr>
            </w:pPr>
          </w:p>
        </w:tc>
        <w:tc>
          <w:tcPr>
            <w:tcW w:w="980" w:type="dxa"/>
            <w:vAlign w:val="bottom"/>
          </w:tcPr>
          <w:p>
            <w:pPr>
              <w:jc w:val="right"/>
              <w:ind w:right="154"/>
              <w:spacing w:after="0" w:line="119" w:lineRule="exact"/>
              <w:rPr>
                <w:sz w:val="20"/>
                <w:szCs w:val="20"/>
                <w:color w:val="auto"/>
              </w:rPr>
            </w:pPr>
            <w:r>
              <w:rPr>
                <w:rFonts w:ascii="Arial" w:cs="Arial" w:eastAsia="Arial" w:hAnsi="Arial"/>
                <w:sz w:val="13"/>
                <w:szCs w:val="13"/>
                <w:b w:val="1"/>
                <w:bCs w:val="1"/>
                <w:color w:val="auto"/>
              </w:rPr>
              <w:t>Real Estate</w:t>
            </w:r>
          </w:p>
        </w:tc>
        <w:tc>
          <w:tcPr>
            <w:tcW w:w="220" w:type="dxa"/>
            <w:vAlign w:val="bottom"/>
          </w:tcPr>
          <w:p>
            <w:pPr>
              <w:spacing w:after="0"/>
              <w:rPr>
                <w:sz w:val="10"/>
                <w:szCs w:val="10"/>
                <w:color w:val="auto"/>
              </w:rPr>
            </w:pPr>
          </w:p>
        </w:tc>
        <w:tc>
          <w:tcPr>
            <w:tcW w:w="960" w:type="dxa"/>
            <w:vAlign w:val="bottom"/>
          </w:tcPr>
          <w:p>
            <w:pPr>
              <w:jc w:val="center"/>
              <w:ind w:right="116"/>
              <w:spacing w:after="0" w:line="119" w:lineRule="exact"/>
              <w:rPr>
                <w:sz w:val="20"/>
                <w:szCs w:val="20"/>
                <w:color w:val="auto"/>
              </w:rPr>
            </w:pPr>
            <w:r>
              <w:rPr>
                <w:rFonts w:ascii="Arial" w:cs="Arial" w:eastAsia="Arial" w:hAnsi="Arial"/>
                <w:sz w:val="13"/>
                <w:szCs w:val="13"/>
                <w:b w:val="1"/>
                <w:bCs w:val="1"/>
                <w:color w:val="auto"/>
              </w:rPr>
              <w:t>Retail Real</w:t>
            </w: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Pr>
          <w:p>
            <w:pPr>
              <w:spacing w:after="0"/>
              <w:rPr>
                <w:sz w:val="10"/>
                <w:szCs w:val="10"/>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Real Estate</w:t>
            </w:r>
          </w:p>
        </w:tc>
        <w:tc>
          <w:tcPr>
            <w:tcW w:w="122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rPr>
              <w:t>Construction</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Estate</w:t>
            </w:r>
          </w:p>
        </w:tc>
        <w:tc>
          <w:tcPr>
            <w:tcW w:w="120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73"/>
              <w:spacing w:after="0" w:line="182" w:lineRule="exact"/>
              <w:rPr>
                <w:sz w:val="20"/>
                <w:szCs w:val="20"/>
                <w:color w:val="auto"/>
              </w:rPr>
            </w:pPr>
            <w:r>
              <w:rPr>
                <w:rFonts w:ascii="Arial" w:cs="Arial" w:eastAsia="Arial" w:hAnsi="Arial"/>
                <w:sz w:val="18"/>
                <w:szCs w:val="18"/>
                <w:color w:val="auto"/>
              </w:rPr>
              <w:t>14,779</w:t>
            </w:r>
          </w:p>
        </w:tc>
        <w:tc>
          <w:tcPr>
            <w:tcW w:w="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6"/>
              <w:spacing w:after="0" w:line="182" w:lineRule="exact"/>
              <w:rPr>
                <w:sz w:val="20"/>
                <w:szCs w:val="20"/>
                <w:color w:val="auto"/>
              </w:rPr>
            </w:pPr>
            <w:r>
              <w:rPr>
                <w:rFonts w:ascii="Arial" w:cs="Arial" w:eastAsia="Arial" w:hAnsi="Arial"/>
                <w:sz w:val="18"/>
                <w:szCs w:val="18"/>
                <w:color w:val="auto"/>
              </w:rPr>
              <w:t>21,813</w:t>
            </w:r>
          </w:p>
        </w:tc>
        <w:tc>
          <w:tcPr>
            <w:tcW w:w="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line="182" w:lineRule="exact"/>
              <w:rPr>
                <w:sz w:val="20"/>
                <w:szCs w:val="20"/>
                <w:color w:val="auto"/>
              </w:rPr>
            </w:pPr>
            <w:r>
              <w:rPr>
                <w:rFonts w:ascii="Arial" w:cs="Arial" w:eastAsia="Arial" w:hAnsi="Arial"/>
                <w:sz w:val="18"/>
                <w:szCs w:val="18"/>
                <w:color w:val="auto"/>
              </w:rPr>
              <w:t>2,861</w:t>
            </w:r>
          </w:p>
        </w:tc>
        <w:tc>
          <w:tcPr>
            <w:tcW w:w="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line="182" w:lineRule="exact"/>
              <w:rPr>
                <w:sz w:val="20"/>
                <w:szCs w:val="20"/>
                <w:color w:val="auto"/>
              </w:rPr>
            </w:pPr>
            <w:r>
              <w:rPr>
                <w:rFonts w:ascii="Arial" w:cs="Arial" w:eastAsia="Arial" w:hAnsi="Arial"/>
                <w:sz w:val="18"/>
                <w:szCs w:val="18"/>
                <w:color w:val="auto"/>
              </w:rPr>
              <w:t>13,783</w:t>
            </w:r>
          </w:p>
        </w:tc>
        <w:tc>
          <w:tcPr>
            <w:tcW w:w="580" w:type="dxa"/>
            <w:vAlign w:val="bottom"/>
            <w:shd w:val="clear" w:color="auto" w:fill="CCEEFF"/>
          </w:tcPr>
          <w:p>
            <w:pPr>
              <w:jc w:val="right"/>
              <w:ind w:right="276"/>
              <w:spacing w:after="0" w:line="18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346</w:t>
            </w:r>
          </w:p>
        </w:tc>
        <w:tc>
          <w:tcPr>
            <w:tcW w:w="3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53,582</w:t>
            </w:r>
          </w:p>
        </w:tc>
        <w:tc>
          <w:tcPr>
            <w:tcW w:w="0" w:type="dxa"/>
            <w:vAlign w:val="bottom"/>
          </w:tcPr>
          <w:p>
            <w:pPr>
              <w:spacing w:after="0"/>
              <w:rPr>
                <w:sz w:val="1"/>
                <w:szCs w:val="1"/>
                <w:color w:val="auto"/>
              </w:rPr>
            </w:pPr>
          </w:p>
        </w:tc>
      </w:tr>
      <w:tr>
        <w:trPr>
          <w:trHeight w:val="189"/>
        </w:trPr>
        <w:tc>
          <w:tcPr>
            <w:tcW w:w="2100" w:type="dxa"/>
            <w:vAlign w:val="bottom"/>
          </w:tcPr>
          <w:p>
            <w:pPr>
              <w:spacing w:after="0" w:line="189" w:lineRule="exact"/>
              <w:rPr>
                <w:sz w:val="20"/>
                <w:szCs w:val="20"/>
                <w:color w:val="auto"/>
              </w:rPr>
            </w:pPr>
            <w:r>
              <w:rPr>
                <w:rFonts w:ascii="Arial" w:cs="Arial" w:eastAsia="Arial" w:hAnsi="Arial"/>
                <w:sz w:val="18"/>
                <w:szCs w:val="18"/>
                <w:color w:val="auto"/>
              </w:rPr>
              <w:t>Provision for loan losses</w:t>
            </w:r>
          </w:p>
        </w:tc>
        <w:tc>
          <w:tcPr>
            <w:tcW w:w="80" w:type="dxa"/>
            <w:vAlign w:val="bottom"/>
          </w:tcPr>
          <w:p>
            <w:pPr>
              <w:spacing w:after="0"/>
              <w:rPr>
                <w:sz w:val="16"/>
                <w:szCs w:val="16"/>
                <w:color w:val="auto"/>
              </w:rPr>
            </w:pPr>
          </w:p>
        </w:tc>
        <w:tc>
          <w:tcPr>
            <w:tcW w:w="1000" w:type="dxa"/>
            <w:vAlign w:val="bottom"/>
          </w:tcPr>
          <w:p>
            <w:pPr>
              <w:jc w:val="right"/>
              <w:ind w:right="73"/>
              <w:spacing w:after="0" w:line="189" w:lineRule="exact"/>
              <w:rPr>
                <w:sz w:val="20"/>
                <w:szCs w:val="20"/>
                <w:color w:val="auto"/>
              </w:rPr>
            </w:pPr>
            <w:r>
              <w:rPr>
                <w:rFonts w:ascii="Arial" w:cs="Arial" w:eastAsia="Arial" w:hAnsi="Arial"/>
                <w:sz w:val="18"/>
                <w:szCs w:val="18"/>
                <w:color w:val="auto"/>
              </w:rPr>
              <w:t>3,003</w:t>
            </w:r>
          </w:p>
        </w:tc>
        <w:tc>
          <w:tcPr>
            <w:tcW w:w="240" w:type="dxa"/>
            <w:vAlign w:val="bottom"/>
          </w:tcPr>
          <w:p>
            <w:pPr>
              <w:spacing w:after="0"/>
              <w:rPr>
                <w:sz w:val="16"/>
                <w:szCs w:val="16"/>
                <w:color w:val="auto"/>
              </w:rPr>
            </w:pPr>
          </w:p>
        </w:tc>
        <w:tc>
          <w:tcPr>
            <w:tcW w:w="980" w:type="dxa"/>
            <w:vAlign w:val="bottom"/>
          </w:tcPr>
          <w:p>
            <w:pPr>
              <w:jc w:val="right"/>
              <w:ind w:right="56"/>
              <w:spacing w:after="0" w:line="189" w:lineRule="exact"/>
              <w:rPr>
                <w:sz w:val="20"/>
                <w:szCs w:val="20"/>
                <w:color w:val="auto"/>
              </w:rPr>
            </w:pPr>
            <w:r>
              <w:rPr>
                <w:rFonts w:ascii="Arial" w:cs="Arial" w:eastAsia="Arial" w:hAnsi="Arial"/>
                <w:sz w:val="18"/>
                <w:szCs w:val="18"/>
                <w:color w:val="auto"/>
              </w:rPr>
              <w:t>1,536</w:t>
            </w:r>
          </w:p>
        </w:tc>
        <w:tc>
          <w:tcPr>
            <w:tcW w:w="240" w:type="dxa"/>
            <w:vAlign w:val="bottom"/>
          </w:tcPr>
          <w:p>
            <w:pPr>
              <w:spacing w:after="0"/>
              <w:rPr>
                <w:sz w:val="16"/>
                <w:szCs w:val="16"/>
                <w:color w:val="auto"/>
              </w:rPr>
            </w:pPr>
          </w:p>
        </w:tc>
        <w:tc>
          <w:tcPr>
            <w:tcW w:w="980" w:type="dxa"/>
            <w:vAlign w:val="bottom"/>
          </w:tcPr>
          <w:p>
            <w:pPr>
              <w:jc w:val="right"/>
              <w:ind w:right="74"/>
              <w:spacing w:after="0" w:line="189"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6"/>
                <w:szCs w:val="16"/>
                <w:color w:val="auto"/>
              </w:rPr>
            </w:pPr>
          </w:p>
        </w:tc>
        <w:tc>
          <w:tcPr>
            <w:tcW w:w="960" w:type="dxa"/>
            <w:vAlign w:val="bottom"/>
          </w:tcPr>
          <w:p>
            <w:pPr>
              <w:jc w:val="right"/>
              <w:ind w:right="16"/>
              <w:spacing w:after="0" w:line="189" w:lineRule="exact"/>
              <w:rPr>
                <w:sz w:val="20"/>
                <w:szCs w:val="20"/>
                <w:color w:val="auto"/>
              </w:rPr>
            </w:pPr>
            <w:r>
              <w:rPr>
                <w:rFonts w:ascii="Arial" w:cs="Arial" w:eastAsia="Arial" w:hAnsi="Arial"/>
                <w:sz w:val="18"/>
                <w:szCs w:val="18"/>
                <w:color w:val="auto"/>
              </w:rPr>
              <w:t>(3,662)</w:t>
            </w:r>
          </w:p>
        </w:tc>
        <w:tc>
          <w:tcPr>
            <w:tcW w:w="580" w:type="dxa"/>
            <w:vAlign w:val="bottom"/>
          </w:tcPr>
          <w:p>
            <w:pPr>
              <w:spacing w:after="0"/>
              <w:rPr>
                <w:sz w:val="16"/>
                <w:szCs w:val="16"/>
                <w:color w:val="auto"/>
              </w:rPr>
            </w:pPr>
          </w:p>
        </w:tc>
        <w:tc>
          <w:tcPr>
            <w:tcW w:w="620" w:type="dxa"/>
            <w:vAlign w:val="bottom"/>
          </w:tcPr>
          <w:p>
            <w:pPr>
              <w:jc w:val="right"/>
              <w:ind w:right="70"/>
              <w:spacing w:after="0" w:line="189" w:lineRule="exact"/>
              <w:rPr>
                <w:sz w:val="20"/>
                <w:szCs w:val="20"/>
                <w:color w:val="auto"/>
              </w:rPr>
            </w:pPr>
            <w:r>
              <w:rPr>
                <w:rFonts w:ascii="Arial" w:cs="Arial" w:eastAsia="Arial" w:hAnsi="Arial"/>
                <w:sz w:val="18"/>
                <w:szCs w:val="18"/>
                <w:color w:val="auto"/>
              </w:rPr>
              <w:t>129</w:t>
            </w:r>
          </w:p>
        </w:tc>
        <w:tc>
          <w:tcPr>
            <w:tcW w:w="3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Charged-off</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3"/>
              <w:spacing w:after="0" w:line="189" w:lineRule="exact"/>
              <w:rPr>
                <w:sz w:val="20"/>
                <w:szCs w:val="20"/>
                <w:color w:val="auto"/>
              </w:rPr>
            </w:pPr>
            <w:r>
              <w:rPr>
                <w:rFonts w:ascii="Arial" w:cs="Arial" w:eastAsia="Arial" w:hAnsi="Arial"/>
                <w:sz w:val="18"/>
                <w:szCs w:val="18"/>
                <w:color w:val="auto"/>
              </w:rPr>
              <w:t>(781)</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(1,315)</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4"/>
              <w:spacing w:after="0" w:line="189" w:lineRule="exact"/>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
              <w:spacing w:after="0" w:line="189" w:lineRule="exact"/>
              <w:rPr>
                <w:sz w:val="20"/>
                <w:szCs w:val="20"/>
                <w:color w:val="auto"/>
              </w:rPr>
            </w:pPr>
            <w:r>
              <w:rPr>
                <w:rFonts w:ascii="Arial" w:cs="Arial" w:eastAsia="Arial" w:hAnsi="Arial"/>
                <w:sz w:val="18"/>
                <w:szCs w:val="18"/>
                <w:color w:val="auto"/>
              </w:rPr>
              <w:t>(530)</w:t>
            </w: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(207)</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Recoveries</w:t>
            </w: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3"/>
              <w:spacing w:after="0" w:line="189" w:lineRule="exact"/>
              <w:rPr>
                <w:sz w:val="20"/>
                <w:szCs w:val="20"/>
                <w:color w:val="auto"/>
              </w:rPr>
            </w:pPr>
            <w:r>
              <w:rPr>
                <w:rFonts w:ascii="Arial" w:cs="Arial" w:eastAsia="Arial" w:hAnsi="Arial"/>
                <w:sz w:val="18"/>
                <w:szCs w:val="18"/>
                <w:color w:val="auto"/>
              </w:rPr>
              <w:t>576</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6"/>
              <w:spacing w:after="0" w:line="189" w:lineRule="exact"/>
              <w:rPr>
                <w:sz w:val="20"/>
                <w:szCs w:val="20"/>
                <w:color w:val="auto"/>
              </w:rPr>
            </w:pPr>
            <w:r>
              <w:rPr>
                <w:rFonts w:ascii="Arial" w:cs="Arial" w:eastAsia="Arial" w:hAnsi="Arial"/>
                <w:sz w:val="18"/>
                <w:szCs w:val="18"/>
                <w:color w:val="auto"/>
              </w:rPr>
              <w:t>56</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4"/>
              <w:spacing w:after="0" w:line="189" w:lineRule="exact"/>
              <w:rPr>
                <w:sz w:val="20"/>
                <w:szCs w:val="20"/>
                <w:color w:val="auto"/>
              </w:rPr>
            </w:pPr>
            <w:r>
              <w:rPr>
                <w:rFonts w:ascii="Arial" w:cs="Arial" w:eastAsia="Arial" w:hAnsi="Arial"/>
                <w:sz w:val="18"/>
                <w:szCs w:val="18"/>
                <w:color w:val="auto"/>
              </w:rPr>
              <w:t>33</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6"/>
              <w:spacing w:after="0" w:line="189" w:lineRule="exact"/>
              <w:rPr>
                <w:sz w:val="20"/>
                <w:szCs w:val="20"/>
                <w:color w:val="auto"/>
              </w:rPr>
            </w:pPr>
            <w:r>
              <w:rPr>
                <w:rFonts w:ascii="Arial" w:cs="Arial" w:eastAsia="Arial" w:hAnsi="Arial"/>
                <w:sz w:val="18"/>
                <w:szCs w:val="18"/>
                <w:color w:val="auto"/>
              </w:rPr>
              <w:t>245</w:t>
            </w:r>
          </w:p>
        </w:tc>
        <w:tc>
          <w:tcPr>
            <w:tcW w:w="5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rPr>
              <w:t>79</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190"/>
        </w:trPr>
        <w:tc>
          <w:tcPr>
            <w:tcW w:w="21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Ending balance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73"/>
              <w:spacing w:after="0" w:line="182" w:lineRule="exact"/>
              <w:rPr>
                <w:sz w:val="20"/>
                <w:szCs w:val="20"/>
                <w:color w:val="auto"/>
              </w:rPr>
            </w:pPr>
            <w:r>
              <w:rPr>
                <w:rFonts w:ascii="Arial" w:cs="Arial" w:eastAsia="Arial" w:hAnsi="Arial"/>
                <w:sz w:val="18"/>
                <w:szCs w:val="18"/>
                <w:color w:val="auto"/>
              </w:rPr>
              <w:t>17,577</w:t>
            </w: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6"/>
              <w:spacing w:after="0" w:line="182" w:lineRule="exact"/>
              <w:rPr>
                <w:sz w:val="20"/>
                <w:szCs w:val="20"/>
                <w:color w:val="auto"/>
              </w:rPr>
            </w:pPr>
            <w:r>
              <w:rPr>
                <w:rFonts w:ascii="Arial" w:cs="Arial" w:eastAsia="Arial" w:hAnsi="Arial"/>
                <w:sz w:val="18"/>
                <w:szCs w:val="18"/>
                <w:color w:val="auto"/>
              </w:rPr>
              <w:t>22,090</w:t>
            </w: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4"/>
              <w:spacing w:after="0" w:line="182" w:lineRule="exact"/>
              <w:rPr>
                <w:sz w:val="20"/>
                <w:szCs w:val="20"/>
                <w:color w:val="auto"/>
              </w:rPr>
            </w:pPr>
            <w:r>
              <w:rPr>
                <w:rFonts w:ascii="Arial" w:cs="Arial" w:eastAsia="Arial" w:hAnsi="Arial"/>
                <w:sz w:val="18"/>
                <w:szCs w:val="18"/>
                <w:color w:val="auto"/>
              </w:rPr>
              <w:t>2,799</w:t>
            </w:r>
          </w:p>
        </w:tc>
        <w:tc>
          <w:tcPr>
            <w:tcW w:w="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6"/>
              <w:spacing w:after="0" w:line="182" w:lineRule="exact"/>
              <w:rPr>
                <w:sz w:val="20"/>
                <w:szCs w:val="20"/>
                <w:color w:val="auto"/>
              </w:rPr>
            </w:pPr>
            <w:r>
              <w:rPr>
                <w:rFonts w:ascii="Arial" w:cs="Arial" w:eastAsia="Arial" w:hAnsi="Arial"/>
                <w:sz w:val="18"/>
                <w:szCs w:val="18"/>
                <w:color w:val="auto"/>
              </w:rPr>
              <w:t>9,836</w:t>
            </w:r>
          </w:p>
        </w:tc>
        <w:tc>
          <w:tcPr>
            <w:tcW w:w="580" w:type="dxa"/>
            <w:vAlign w:val="bottom"/>
            <w:tcBorders>
              <w:bottom w:val="single" w:sz="8" w:color="auto"/>
            </w:tcBorders>
            <w:shd w:val="clear" w:color="auto" w:fill="CCEEFF"/>
          </w:tcPr>
          <w:p>
            <w:pPr>
              <w:jc w:val="right"/>
              <w:ind w:right="276"/>
              <w:spacing w:after="0" w:line="182"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347</w:t>
            </w:r>
          </w:p>
        </w:tc>
        <w:tc>
          <w:tcPr>
            <w:tcW w:w="3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52,649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223" w:lineRule="auto"/>
        <w:rPr>
          <w:sz w:val="20"/>
          <w:szCs w:val="20"/>
          <w:color w:val="auto"/>
        </w:rPr>
      </w:pPr>
      <w:r>
        <w:rPr>
          <w:rFonts w:ascii="Arial" w:cs="Arial" w:eastAsia="Arial" w:hAnsi="Arial"/>
          <w:sz w:val="18"/>
          <w:szCs w:val="18"/>
          <w:color w:val="auto"/>
        </w:rPr>
        <w:t xml:space="preserve">The following table presents the allowance for loan losses and recorded investments in portfolio loans by category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56"/>
        </w:trPr>
        <w:tc>
          <w:tcPr>
            <w:tcW w:w="2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454"/>
              <w:spacing w:after="0" w:line="157" w:lineRule="exact"/>
              <w:rPr>
                <w:sz w:val="20"/>
                <w:szCs w:val="20"/>
                <w:color w:val="auto"/>
              </w:rPr>
            </w:pPr>
            <w:r>
              <w:rPr>
                <w:rFonts w:ascii="Arial" w:cs="Arial" w:eastAsia="Arial" w:hAnsi="Arial"/>
                <w:sz w:val="14"/>
                <w:szCs w:val="14"/>
                <w:b w:val="1"/>
                <w:bCs w:val="1"/>
                <w:color w:val="auto"/>
                <w:w w:val="98"/>
              </w:rPr>
              <w:t>As of March 31, 2019</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94"/>
              <w:spacing w:after="0" w:line="160" w:lineRule="exact"/>
              <w:rPr>
                <w:sz w:val="20"/>
                <w:szCs w:val="20"/>
                <w:color w:val="auto"/>
              </w:rPr>
            </w:pPr>
            <w:r>
              <w:rPr>
                <w:rFonts w:ascii="Arial" w:cs="Arial" w:eastAsia="Arial" w:hAnsi="Arial"/>
                <w:sz w:val="14"/>
                <w:szCs w:val="14"/>
                <w:b w:val="1"/>
                <w:bCs w:val="1"/>
                <w:color w:val="auto"/>
                <w:w w:val="94"/>
              </w:rPr>
              <w:t>Commercial</w:t>
            </w:r>
          </w:p>
        </w:tc>
        <w:tc>
          <w:tcPr>
            <w:tcW w:w="1060" w:type="dxa"/>
            <w:vAlign w:val="bottom"/>
            <w:gridSpan w:val="2"/>
          </w:tcPr>
          <w:p>
            <w:pPr>
              <w:jc w:val="right"/>
              <w:ind w:right="72"/>
              <w:spacing w:after="0" w:line="160" w:lineRule="exact"/>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3"/>
                <w:szCs w:val="13"/>
                <w:color w:val="auto"/>
              </w:rPr>
            </w:pPr>
          </w:p>
        </w:tc>
        <w:tc>
          <w:tcPr>
            <w:tcW w:w="920" w:type="dxa"/>
            <w:vAlign w:val="bottom"/>
          </w:tcPr>
          <w:p>
            <w:pPr>
              <w:jc w:val="right"/>
              <w:ind w:right="114"/>
              <w:spacing w:after="0" w:line="160" w:lineRule="exact"/>
              <w:rPr>
                <w:sz w:val="20"/>
                <w:szCs w:val="20"/>
                <w:color w:val="auto"/>
              </w:rPr>
            </w:pPr>
            <w:r>
              <w:rPr>
                <w:rFonts w:ascii="Arial" w:cs="Arial" w:eastAsia="Arial" w:hAnsi="Arial"/>
                <w:sz w:val="14"/>
                <w:szCs w:val="14"/>
                <w:b w:val="1"/>
                <w:bCs w:val="1"/>
                <w:color w:val="auto"/>
                <w:w w:val="97"/>
              </w:rPr>
              <w:t>Retail Real</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00" w:type="dxa"/>
            <w:vAlign w:val="bottom"/>
            <w:vMerge w:val="restart"/>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Commercial</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Real Estate</w:t>
            </w:r>
          </w:p>
        </w:tc>
        <w:tc>
          <w:tcPr>
            <w:tcW w:w="10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Construction</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Estate</w:t>
            </w: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Retail Other</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Ending balance attributed to:</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00" w:type="dxa"/>
            <w:vAlign w:val="bottom"/>
          </w:tcPr>
          <w:p>
            <w:pPr>
              <w:spacing w:after="0" w:line="161" w:lineRule="exact"/>
              <w:rPr>
                <w:sz w:val="20"/>
                <w:szCs w:val="20"/>
                <w:color w:val="auto"/>
              </w:rPr>
            </w:pPr>
            <w:r>
              <w:rPr>
                <w:rFonts w:ascii="Arial" w:cs="Arial" w:eastAsia="Arial" w:hAnsi="Arial"/>
                <w:sz w:val="18"/>
                <w:szCs w:val="18"/>
                <w:color w:val="auto"/>
              </w:rPr>
              <w:t>Loans individually evaluated for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600" w:type="dxa"/>
            <w:vAlign w:val="bottom"/>
          </w:tcPr>
          <w:p>
            <w:pPr>
              <w:spacing w:after="0"/>
              <w:rPr>
                <w:sz w:val="20"/>
                <w:szCs w:val="20"/>
                <w:color w:val="auto"/>
              </w:rPr>
            </w:pPr>
            <w:r>
              <w:rPr>
                <w:rFonts w:ascii="Arial" w:cs="Arial" w:eastAsia="Arial" w:hAnsi="Arial"/>
                <w:sz w:val="18"/>
                <w:szCs w:val="18"/>
                <w:color w:val="auto"/>
              </w:rPr>
              <w:t>impairment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4,126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1,231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161"/>
        </w:trPr>
        <w:tc>
          <w:tcPr>
            <w:tcW w:w="26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Loans collectively evaluated for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13,872</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18,866</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2,807</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9,461</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510</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45,516</w:t>
            </w:r>
          </w:p>
        </w:tc>
        <w:tc>
          <w:tcPr>
            <w:tcW w:w="0" w:type="dxa"/>
            <w:vAlign w:val="bottom"/>
          </w:tcPr>
          <w:p>
            <w:pPr>
              <w:spacing w:after="0"/>
              <w:rPr>
                <w:sz w:val="1"/>
                <w:szCs w:val="1"/>
                <w:color w:val="auto"/>
              </w:rPr>
            </w:pPr>
          </w:p>
        </w:tc>
      </w:tr>
      <w:tr>
        <w:trPr>
          <w:trHeight w:val="190"/>
        </w:trPr>
        <w:tc>
          <w:tcPr>
            <w:tcW w:w="26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rPr>
              <w:t>17,998</w:t>
            </w:r>
          </w:p>
        </w:tc>
        <w:tc>
          <w:tcPr>
            <w:tcW w:w="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4"/>
              <w:spacing w:after="0" w:line="182" w:lineRule="exact"/>
              <w:rPr>
                <w:sz w:val="20"/>
                <w:szCs w:val="20"/>
                <w:color w:val="auto"/>
              </w:rPr>
            </w:pPr>
            <w:r>
              <w:rPr>
                <w:rFonts w:ascii="Arial" w:cs="Arial" w:eastAsia="Arial" w:hAnsi="Arial"/>
                <w:sz w:val="18"/>
                <w:szCs w:val="18"/>
                <w:color w:val="auto"/>
              </w:rPr>
              <w:t>20,097</w:t>
            </w:r>
          </w:p>
        </w:tc>
        <w:tc>
          <w:tcPr>
            <w:tcW w:w="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line="182" w:lineRule="exact"/>
              <w:rPr>
                <w:sz w:val="20"/>
                <w:szCs w:val="20"/>
                <w:color w:val="auto"/>
              </w:rPr>
            </w:pPr>
            <w:r>
              <w:rPr>
                <w:rFonts w:ascii="Arial" w:cs="Arial" w:eastAsia="Arial" w:hAnsi="Arial"/>
                <w:sz w:val="18"/>
                <w:szCs w:val="18"/>
                <w:color w:val="auto"/>
              </w:rPr>
              <w:t>2,807</w:t>
            </w:r>
          </w:p>
        </w:tc>
        <w:tc>
          <w:tcPr>
            <w:tcW w:w="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4"/>
              <w:spacing w:after="0" w:line="182" w:lineRule="exact"/>
              <w:rPr>
                <w:sz w:val="20"/>
                <w:szCs w:val="20"/>
                <w:color w:val="auto"/>
              </w:rPr>
            </w:pPr>
            <w:r>
              <w:rPr>
                <w:rFonts w:ascii="Arial" w:cs="Arial" w:eastAsia="Arial" w:hAnsi="Arial"/>
                <w:sz w:val="18"/>
                <w:szCs w:val="18"/>
                <w:color w:val="auto"/>
              </w:rPr>
              <w:t>9,503</w:t>
            </w:r>
          </w:p>
        </w:tc>
        <w:tc>
          <w:tcPr>
            <w:tcW w:w="300" w:type="dxa"/>
            <w:vAlign w:val="bottom"/>
            <w:tcBorders>
              <w:bottom w:val="single" w:sz="8" w:color="auto"/>
            </w:tcBorders>
          </w:tcPr>
          <w:p>
            <w:pPr>
              <w:ind w:left="120"/>
              <w:spacing w:after="0" w:line="18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510</w:t>
            </w: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50,915</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line="189" w:lineRule="exact"/>
              <w:rPr>
                <w:sz w:val="20"/>
                <w:szCs w:val="20"/>
                <w:color w:val="auto"/>
              </w:rPr>
            </w:pPr>
            <w:r>
              <w:rPr>
                <w:rFonts w:ascii="Arial" w:cs="Arial" w:eastAsia="Arial" w:hAnsi="Arial"/>
                <w:sz w:val="18"/>
                <w:szCs w:val="18"/>
                <w:color w:val="auto"/>
              </w:rPr>
              <w:t>Loans: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Loans individually evaluated for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16,361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15,733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13,296</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45,795</w:t>
            </w:r>
          </w:p>
        </w:tc>
        <w:tc>
          <w:tcPr>
            <w:tcW w:w="0" w:type="dxa"/>
            <w:vAlign w:val="bottom"/>
          </w:tcPr>
          <w:p>
            <w:pPr>
              <w:spacing w:after="0"/>
              <w:rPr>
                <w:sz w:val="1"/>
                <w:szCs w:val="1"/>
                <w:color w:val="auto"/>
              </w:rPr>
            </w:pPr>
          </w:p>
        </w:tc>
      </w:tr>
      <w:tr>
        <w:trPr>
          <w:trHeight w:val="161"/>
        </w:trPr>
        <w:tc>
          <w:tcPr>
            <w:tcW w:w="2600" w:type="dxa"/>
            <w:vAlign w:val="bottom"/>
          </w:tcPr>
          <w:p>
            <w:pPr>
              <w:spacing w:after="0" w:line="161" w:lineRule="exact"/>
              <w:rPr>
                <w:sz w:val="20"/>
                <w:szCs w:val="20"/>
                <w:color w:val="auto"/>
              </w:rPr>
            </w:pPr>
            <w:r>
              <w:rPr>
                <w:rFonts w:ascii="Arial" w:cs="Arial" w:eastAsia="Arial" w:hAnsi="Arial"/>
                <w:sz w:val="18"/>
                <w:szCs w:val="18"/>
                <w:color w:val="auto"/>
              </w:rPr>
              <w:t>Loans collectively evaluated for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600" w:type="dxa"/>
            <w:vAlign w:val="bottom"/>
          </w:tcPr>
          <w:p>
            <w:pPr>
              <w:spacing w:after="0"/>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1,640,630</w:t>
            </w:r>
          </w:p>
        </w:tc>
        <w:tc>
          <w:tcPr>
            <w:tcW w:w="22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w w:val="99"/>
              </w:rPr>
              <w:t>2,679,200</w:t>
            </w:r>
          </w:p>
        </w:tc>
        <w:tc>
          <w:tcPr>
            <w:tcW w:w="28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w w:val="95"/>
              </w:rPr>
              <w:t>387,238</w:t>
            </w:r>
          </w:p>
        </w:tc>
        <w:tc>
          <w:tcPr>
            <w:tcW w:w="22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97"/>
              </w:rPr>
              <w:t>1,705,025</w:t>
            </w: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52,510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6,464,603</w:t>
            </w:r>
          </w:p>
        </w:tc>
        <w:tc>
          <w:tcPr>
            <w:tcW w:w="0" w:type="dxa"/>
            <w:vAlign w:val="bottom"/>
          </w:tcPr>
          <w:p>
            <w:pPr>
              <w:spacing w:after="0"/>
              <w:rPr>
                <w:sz w:val="1"/>
                <w:szCs w:val="1"/>
                <w:color w:val="auto"/>
              </w:rPr>
            </w:pPr>
          </w:p>
        </w:tc>
      </w:tr>
      <w:tr>
        <w:trPr>
          <w:trHeight w:val="161"/>
        </w:trPr>
        <w:tc>
          <w:tcPr>
            <w:tcW w:w="26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PCI loans evaluated for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4,558</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0" w:type="dxa"/>
            <w:vAlign w:val="bottom"/>
          </w:tcPr>
          <w:p>
            <w:pPr>
              <w:spacing w:after="0"/>
              <w:rPr>
                <w:sz w:val="1"/>
                <w:szCs w:val="1"/>
                <w:color w:val="auto"/>
              </w:rPr>
            </w:pPr>
          </w:p>
        </w:tc>
      </w:tr>
      <w:tr>
        <w:trPr>
          <w:trHeight w:val="190"/>
        </w:trPr>
        <w:tc>
          <w:tcPr>
            <w:tcW w:w="2600" w:type="dxa"/>
            <w:vAlign w:val="bottom"/>
          </w:tcPr>
          <w:p>
            <w:pPr>
              <w:spacing w:after="0" w:line="182" w:lineRule="exact"/>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w w:val="99"/>
              </w:rPr>
              <w:t>1,657,022</w:t>
            </w:r>
          </w:p>
        </w:tc>
        <w:tc>
          <w:tcPr>
            <w:tcW w:w="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4"/>
              <w:spacing w:after="0" w:line="182" w:lineRule="exact"/>
              <w:rPr>
                <w:sz w:val="20"/>
                <w:szCs w:val="20"/>
                <w:color w:val="auto"/>
              </w:rPr>
            </w:pPr>
            <w:r>
              <w:rPr>
                <w:rFonts w:ascii="Arial" w:cs="Arial" w:eastAsia="Arial" w:hAnsi="Arial"/>
                <w:sz w:val="18"/>
                <w:szCs w:val="18"/>
                <w:color w:val="auto"/>
                <w:w w:val="99"/>
              </w:rPr>
              <w:t>2,699,491</w:t>
            </w:r>
          </w:p>
        </w:tc>
        <w:tc>
          <w:tcPr>
            <w:tcW w:w="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line="182" w:lineRule="exact"/>
              <w:rPr>
                <w:sz w:val="20"/>
                <w:szCs w:val="20"/>
                <w:color w:val="auto"/>
              </w:rPr>
            </w:pPr>
            <w:r>
              <w:rPr>
                <w:rFonts w:ascii="Arial" w:cs="Arial" w:eastAsia="Arial" w:hAnsi="Arial"/>
                <w:sz w:val="18"/>
                <w:szCs w:val="18"/>
                <w:color w:val="auto"/>
                <w:w w:val="95"/>
              </w:rPr>
              <w:t>387,623</w:t>
            </w:r>
          </w:p>
        </w:tc>
        <w:tc>
          <w:tcPr>
            <w:tcW w:w="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4"/>
              <w:spacing w:after="0" w:line="182" w:lineRule="exact"/>
              <w:rPr>
                <w:sz w:val="20"/>
                <w:szCs w:val="20"/>
                <w:color w:val="auto"/>
              </w:rPr>
            </w:pPr>
            <w:r>
              <w:rPr>
                <w:rFonts w:ascii="Arial" w:cs="Arial" w:eastAsia="Arial" w:hAnsi="Arial"/>
                <w:sz w:val="18"/>
                <w:szCs w:val="18"/>
                <w:color w:val="auto"/>
                <w:w w:val="97"/>
              </w:rPr>
              <w:t>1,718,415</w:t>
            </w:r>
          </w:p>
        </w:tc>
        <w:tc>
          <w:tcPr>
            <w:tcW w:w="300" w:type="dxa"/>
            <w:vAlign w:val="bottom"/>
            <w:tcBorders>
              <w:bottom w:val="single" w:sz="8" w:color="auto"/>
            </w:tcBorders>
          </w:tcPr>
          <w:p>
            <w:pPr>
              <w:ind w:left="120"/>
              <w:spacing w:after="0" w:line="18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52,530</w:t>
            </w: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6,515,081</w:t>
            </w:r>
          </w:p>
        </w:tc>
        <w:tc>
          <w:tcPr>
            <w:tcW w:w="0" w:type="dxa"/>
            <w:vAlign w:val="bottom"/>
          </w:tcPr>
          <w:p>
            <w:pPr>
              <w:spacing w:after="0"/>
              <w:rPr>
                <w:sz w:val="1"/>
                <w:szCs w:val="1"/>
                <w:color w:val="auto"/>
              </w:rPr>
            </w:pPr>
          </w:p>
        </w:tc>
      </w:tr>
      <w:tr>
        <w:trPr>
          <w:trHeight w:val="810"/>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w w:val="92"/>
              </w:rPr>
              <w:t>As of December 31, 2018</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89"/>
              </w:rPr>
              <w:t>Commercial</w:t>
            </w:r>
          </w:p>
        </w:tc>
        <w:tc>
          <w:tcPr>
            <w:tcW w:w="220" w:type="dxa"/>
            <w:vAlign w:val="bottom"/>
          </w:tcPr>
          <w:p>
            <w:pPr>
              <w:spacing w:after="0"/>
              <w:rPr>
                <w:sz w:val="10"/>
                <w:szCs w:val="10"/>
                <w:color w:val="auto"/>
              </w:rPr>
            </w:pPr>
          </w:p>
        </w:tc>
        <w:tc>
          <w:tcPr>
            <w:tcW w:w="90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w w:val="99"/>
              </w:rPr>
              <w:t>Commercial</w:t>
            </w:r>
          </w:p>
        </w:tc>
        <w:tc>
          <w:tcPr>
            <w:tcW w:w="1020" w:type="dxa"/>
            <w:vAlign w:val="bottom"/>
            <w:gridSpan w:val="2"/>
          </w:tcPr>
          <w:p>
            <w:pPr>
              <w:jc w:val="right"/>
              <w:ind w:right="52"/>
              <w:spacing w:after="0" w:line="119" w:lineRule="exact"/>
              <w:rPr>
                <w:sz w:val="20"/>
                <w:szCs w:val="20"/>
                <w:color w:val="auto"/>
              </w:rPr>
            </w:pPr>
            <w:r>
              <w:rPr>
                <w:rFonts w:ascii="Arial" w:cs="Arial" w:eastAsia="Arial" w:hAnsi="Arial"/>
                <w:sz w:val="13"/>
                <w:szCs w:val="13"/>
                <w:b w:val="1"/>
                <w:bCs w:val="1"/>
                <w:color w:val="auto"/>
              </w:rPr>
              <w:t>Real Estate</w:t>
            </w:r>
          </w:p>
        </w:tc>
        <w:tc>
          <w:tcPr>
            <w:tcW w:w="200" w:type="dxa"/>
            <w:vAlign w:val="bottom"/>
          </w:tcPr>
          <w:p>
            <w:pPr>
              <w:spacing w:after="0"/>
              <w:rPr>
                <w:sz w:val="10"/>
                <w:szCs w:val="10"/>
                <w:color w:val="auto"/>
              </w:rPr>
            </w:pPr>
          </w:p>
        </w:tc>
        <w:tc>
          <w:tcPr>
            <w:tcW w:w="90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Retail Real</w:t>
            </w: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Retail Other</w:t>
            </w:r>
          </w:p>
        </w:tc>
        <w:tc>
          <w:tcPr>
            <w:tcW w:w="240" w:type="dxa"/>
            <w:vAlign w:val="bottom"/>
          </w:tcPr>
          <w:p>
            <w:pPr>
              <w:spacing w:after="0"/>
              <w:rPr>
                <w:sz w:val="10"/>
                <w:szCs w:val="10"/>
                <w:color w:val="auto"/>
              </w:rPr>
            </w:pP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60" w:type="dxa"/>
            <w:vAlign w:val="bottom"/>
            <w:vMerge w:val="restart"/>
          </w:tcPr>
          <w:p>
            <w:pPr>
              <w:spacing w:after="0"/>
              <w:rPr>
                <w:sz w:val="20"/>
                <w:szCs w:val="20"/>
                <w:color w:val="auto"/>
              </w:rPr>
            </w:pPr>
            <w:r>
              <w:rPr>
                <w:rFonts w:ascii="Arial" w:cs="Arial" w:eastAsia="Arial" w:hAnsi="Arial"/>
                <w:sz w:val="18"/>
                <w:szCs w:val="18"/>
                <w:color w:val="auto"/>
              </w:rPr>
              <w:t>Allowance for loan losses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2"/>
              </w:rPr>
              <w:t>Real Estate</w:t>
            </w: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8"/>
              </w:rPr>
              <w:t>Construction</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Estate</w:t>
            </w:r>
          </w:p>
        </w:tc>
        <w:tc>
          <w:tcPr>
            <w:tcW w:w="100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Ending balance attributed to:</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760" w:type="dxa"/>
            <w:vAlign w:val="bottom"/>
          </w:tcPr>
          <w:p>
            <w:pPr>
              <w:spacing w:after="0" w:line="161" w:lineRule="exact"/>
              <w:rPr>
                <w:sz w:val="20"/>
                <w:szCs w:val="20"/>
                <w:color w:val="auto"/>
              </w:rPr>
            </w:pPr>
            <w:r>
              <w:rPr>
                <w:rFonts w:ascii="Arial" w:cs="Arial" w:eastAsia="Arial" w:hAnsi="Arial"/>
                <w:sz w:val="18"/>
                <w:szCs w:val="18"/>
                <w:color w:val="auto"/>
              </w:rPr>
              <w:t>Loans individually evaluated for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760" w:type="dxa"/>
            <w:vAlign w:val="bottom"/>
          </w:tcPr>
          <w:p>
            <w:pPr>
              <w:spacing w:after="0"/>
              <w:rPr>
                <w:sz w:val="20"/>
                <w:szCs w:val="20"/>
                <w:color w:val="auto"/>
              </w:rPr>
            </w:pPr>
            <w:r>
              <w:rPr>
                <w:rFonts w:ascii="Arial" w:cs="Arial" w:eastAsia="Arial" w:hAnsi="Arial"/>
                <w:sz w:val="18"/>
                <w:szCs w:val="18"/>
                <w:color w:val="auto"/>
              </w:rPr>
              <w:t>impairment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4,319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1,181</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61</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161"/>
        </w:trPr>
        <w:tc>
          <w:tcPr>
            <w:tcW w:w="276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Loans collectively evaluated for</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13,510</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19,956</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2,723</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8,410</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488</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45,087</w:t>
            </w:r>
          </w:p>
        </w:tc>
        <w:tc>
          <w:tcPr>
            <w:tcW w:w="0" w:type="dxa"/>
            <w:vAlign w:val="bottom"/>
          </w:tcPr>
          <w:p>
            <w:pPr>
              <w:spacing w:after="0"/>
              <w:rPr>
                <w:sz w:val="1"/>
                <w:szCs w:val="1"/>
                <w:color w:val="auto"/>
              </w:rPr>
            </w:pPr>
          </w:p>
        </w:tc>
      </w:tr>
      <w:tr>
        <w:trPr>
          <w:trHeight w:val="190"/>
        </w:trPr>
        <w:tc>
          <w:tcPr>
            <w:tcW w:w="276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rPr>
              <w:t>17,829</w:t>
            </w:r>
          </w:p>
        </w:tc>
        <w:tc>
          <w:tcPr>
            <w:tcW w:w="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
              <w:spacing w:after="0" w:line="182" w:lineRule="exact"/>
              <w:rPr>
                <w:sz w:val="20"/>
                <w:szCs w:val="20"/>
                <w:color w:val="auto"/>
              </w:rPr>
            </w:pPr>
            <w:r>
              <w:rPr>
                <w:rFonts w:ascii="Arial" w:cs="Arial" w:eastAsia="Arial" w:hAnsi="Arial"/>
                <w:sz w:val="18"/>
                <w:szCs w:val="18"/>
                <w:color w:val="auto"/>
              </w:rPr>
              <w:t>21,137</w:t>
            </w:r>
          </w:p>
        </w:tc>
        <w:tc>
          <w:tcPr>
            <w:tcW w:w="240" w:type="dxa"/>
            <w:vAlign w:val="bottom"/>
            <w:tcBorders>
              <w:bottom w:val="single" w:sz="8" w:color="auto"/>
            </w:tcBorders>
          </w:tcPr>
          <w:p>
            <w:pPr>
              <w:ind w:left="120"/>
              <w:spacing w:after="0" w:line="182"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rPr>
              <w:t>2,723</w:t>
            </w:r>
          </w:p>
        </w:tc>
        <w:tc>
          <w:tcPr>
            <w:tcW w:w="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5"/>
              <w:spacing w:after="0" w:line="182" w:lineRule="exact"/>
              <w:rPr>
                <w:sz w:val="20"/>
                <w:szCs w:val="20"/>
                <w:color w:val="auto"/>
              </w:rPr>
            </w:pPr>
            <w:r>
              <w:rPr>
                <w:rFonts w:ascii="Arial" w:cs="Arial" w:eastAsia="Arial" w:hAnsi="Arial"/>
                <w:sz w:val="18"/>
                <w:szCs w:val="18"/>
                <w:color w:val="auto"/>
              </w:rPr>
              <w:t>8,471</w:t>
            </w:r>
          </w:p>
        </w:tc>
        <w:tc>
          <w:tcPr>
            <w:tcW w:w="280" w:type="dxa"/>
            <w:vAlign w:val="bottom"/>
            <w:tcBorders>
              <w:bottom w:val="single" w:sz="8" w:color="auto"/>
            </w:tcBorders>
          </w:tcPr>
          <w:p>
            <w:pPr>
              <w:ind w:left="100"/>
              <w:spacing w:after="0" w:line="18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488</w:t>
            </w: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8"/>
                <w:szCs w:val="18"/>
                <w:color w:val="auto"/>
              </w:rPr>
              <w:t>Loans: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76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Loans individually evaluated for</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18,441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15,318</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13,159</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47,404</w:t>
            </w:r>
          </w:p>
        </w:tc>
        <w:tc>
          <w:tcPr>
            <w:tcW w:w="0" w:type="dxa"/>
            <w:vAlign w:val="bottom"/>
          </w:tcPr>
          <w:p>
            <w:pPr>
              <w:spacing w:after="0"/>
              <w:rPr>
                <w:sz w:val="1"/>
                <w:szCs w:val="1"/>
                <w:color w:val="auto"/>
              </w:rPr>
            </w:pPr>
          </w:p>
        </w:tc>
      </w:tr>
      <w:tr>
        <w:trPr>
          <w:trHeight w:val="161"/>
        </w:trPr>
        <w:tc>
          <w:tcPr>
            <w:tcW w:w="2760" w:type="dxa"/>
            <w:vAlign w:val="bottom"/>
          </w:tcPr>
          <w:p>
            <w:pPr>
              <w:spacing w:after="0" w:line="161" w:lineRule="exact"/>
              <w:rPr>
                <w:sz w:val="20"/>
                <w:szCs w:val="20"/>
                <w:color w:val="auto"/>
              </w:rPr>
            </w:pPr>
            <w:r>
              <w:rPr>
                <w:rFonts w:ascii="Arial" w:cs="Arial" w:eastAsia="Arial" w:hAnsi="Arial"/>
                <w:sz w:val="18"/>
                <w:szCs w:val="18"/>
                <w:color w:val="auto"/>
              </w:rPr>
              <w:t>Loans collectively evaluated for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760" w:type="dxa"/>
            <w:vAlign w:val="bottom"/>
          </w:tcPr>
          <w:p>
            <w:pPr>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1,386,247</w:t>
            </w:r>
          </w:p>
        </w:tc>
        <w:tc>
          <w:tcPr>
            <w:tcW w:w="22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2,349,243</w:t>
            </w:r>
          </w:p>
        </w:tc>
        <w:tc>
          <w:tcPr>
            <w:tcW w:w="24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w w:val="98"/>
              </w:rPr>
              <w:t>287,744</w:t>
            </w:r>
          </w:p>
        </w:tc>
        <w:tc>
          <w:tcPr>
            <w:tcW w:w="2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w w:val="94"/>
              </w:rPr>
              <w:t>1,466,876</w:t>
            </w:r>
          </w:p>
        </w:tc>
        <w:tc>
          <w:tcPr>
            <w:tcW w:w="28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28,136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5,518,246</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7"/>
              </w:rPr>
              <w:t>PCI loans evaluated for impairment</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2"/>
              <w:spacing w:after="0" w:line="189" w:lineRule="exact"/>
              <w:rPr>
                <w:sz w:val="20"/>
                <w:szCs w:val="20"/>
                <w:color w:val="auto"/>
              </w:rPr>
            </w:pPr>
            <w:r>
              <w:rPr>
                <w:rFonts w:ascii="Arial" w:cs="Arial" w:eastAsia="Arial" w:hAnsi="Arial"/>
                <w:sz w:val="18"/>
                <w:szCs w:val="18"/>
                <w:color w:val="auto"/>
              </w:rPr>
              <w:t>418</w:t>
            </w: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8"/>
                <w:szCs w:val="18"/>
                <w:color w:val="auto"/>
              </w:rPr>
              <w:t>2,262</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2"/>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8"/>
                <w:szCs w:val="18"/>
                <w:color w:val="auto"/>
              </w:rPr>
              <w:t>98</w:t>
            </w: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190"/>
        </w:trPr>
        <w:tc>
          <w:tcPr>
            <w:tcW w:w="2760" w:type="dxa"/>
            <w:vAlign w:val="bottom"/>
          </w:tcPr>
          <w:p>
            <w:pPr>
              <w:spacing w:after="0" w:line="182" w:lineRule="exact"/>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w w:val="94"/>
              </w:rPr>
              <w:t>1,405,106</w:t>
            </w:r>
          </w:p>
        </w:tc>
        <w:tc>
          <w:tcPr>
            <w:tcW w:w="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
              <w:spacing w:after="0" w:line="182" w:lineRule="exact"/>
              <w:rPr>
                <w:sz w:val="20"/>
                <w:szCs w:val="20"/>
                <w:color w:val="auto"/>
              </w:rPr>
            </w:pPr>
            <w:r>
              <w:rPr>
                <w:rFonts w:ascii="Arial" w:cs="Arial" w:eastAsia="Arial" w:hAnsi="Arial"/>
                <w:sz w:val="18"/>
                <w:szCs w:val="18"/>
                <w:color w:val="auto"/>
                <w:w w:val="97"/>
              </w:rPr>
              <w:t>2,366,823</w:t>
            </w:r>
          </w:p>
        </w:tc>
        <w:tc>
          <w:tcPr>
            <w:tcW w:w="240" w:type="dxa"/>
            <w:vAlign w:val="bottom"/>
            <w:tcBorders>
              <w:bottom w:val="single" w:sz="8" w:color="auto"/>
            </w:tcBorders>
          </w:tcPr>
          <w:p>
            <w:pPr>
              <w:ind w:left="120"/>
              <w:spacing w:after="0" w:line="182"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w w:val="98"/>
              </w:rPr>
              <w:t>288,197</w:t>
            </w:r>
          </w:p>
        </w:tc>
        <w:tc>
          <w:tcPr>
            <w:tcW w:w="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5"/>
              <w:spacing w:after="0" w:line="182" w:lineRule="exact"/>
              <w:rPr>
                <w:sz w:val="20"/>
                <w:szCs w:val="20"/>
                <w:color w:val="auto"/>
              </w:rPr>
            </w:pPr>
            <w:r>
              <w:rPr>
                <w:rFonts w:ascii="Arial" w:cs="Arial" w:eastAsia="Arial" w:hAnsi="Arial"/>
                <w:sz w:val="18"/>
                <w:szCs w:val="18"/>
                <w:color w:val="auto"/>
                <w:w w:val="94"/>
              </w:rPr>
              <w:t>1,480,133</w:t>
            </w:r>
          </w:p>
        </w:tc>
        <w:tc>
          <w:tcPr>
            <w:tcW w:w="280" w:type="dxa"/>
            <w:vAlign w:val="bottom"/>
            <w:tcBorders>
              <w:bottom w:val="single" w:sz="8" w:color="auto"/>
            </w:tcBorders>
          </w:tcPr>
          <w:p>
            <w:pPr>
              <w:ind w:left="100"/>
              <w:spacing w:after="0" w:line="18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28,169</w:t>
            </w: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5,568,428</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Deposits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900" w:type="dxa"/>
        <w:tblCellMar>
          <w:top w:w="0" w:type="dxa"/>
          <w:left w:w="0" w:type="dxa"/>
          <w:bottom w:w="0" w:type="dxa"/>
          <w:right w:w="0" w:type="dxa"/>
        </w:tblCellMar>
      </w:tblPr>
      <w:tr>
        <w:trPr>
          <w:trHeight w:val="158"/>
        </w:trPr>
        <w:tc>
          <w:tcPr>
            <w:tcW w:w="39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53"/>
              <w:spacing w:after="0" w:line="159" w:lineRule="exact"/>
              <w:rPr>
                <w:sz w:val="20"/>
                <w:szCs w:val="20"/>
                <w:color w:val="auto"/>
              </w:rPr>
            </w:pPr>
            <w:r>
              <w:rPr>
                <w:rFonts w:ascii="Arial" w:cs="Arial" w:eastAsia="Arial" w:hAnsi="Arial"/>
                <w:sz w:val="14"/>
                <w:szCs w:val="14"/>
                <w:b w:val="1"/>
                <w:bCs w:val="1"/>
                <w:color w:val="auto"/>
              </w:rPr>
              <w:t>March 31, 2019</w:t>
            </w: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3"/>
              <w:spacing w:after="0" w:line="159" w:lineRule="exact"/>
              <w:rPr>
                <w:sz w:val="20"/>
                <w:szCs w:val="20"/>
                <w:color w:val="auto"/>
              </w:rPr>
            </w:pPr>
            <w:r>
              <w:rPr>
                <w:rFonts w:ascii="Arial" w:cs="Arial" w:eastAsia="Arial" w:hAnsi="Arial"/>
                <w:sz w:val="14"/>
                <w:szCs w:val="14"/>
                <w:b w:val="1"/>
                <w:bCs w:val="1"/>
                <w:color w:val="auto"/>
                <w:w w:val="91"/>
              </w:rPr>
              <w:t>December 31, 2018</w:t>
            </w:r>
          </w:p>
        </w:tc>
      </w:tr>
      <w:tr>
        <w:trPr>
          <w:trHeight w:val="183"/>
        </w:trPr>
        <w:tc>
          <w:tcPr>
            <w:tcW w:w="3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Demand deposits, noninterest-bearing</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73"/>
              <w:spacing w:after="0" w:line="182" w:lineRule="exact"/>
              <w:rPr>
                <w:sz w:val="20"/>
                <w:szCs w:val="20"/>
                <w:color w:val="auto"/>
              </w:rPr>
            </w:pPr>
            <w:r>
              <w:rPr>
                <w:rFonts w:ascii="Arial" w:cs="Arial" w:eastAsia="Arial" w:hAnsi="Arial"/>
                <w:sz w:val="18"/>
                <w:szCs w:val="18"/>
                <w:color w:val="auto"/>
              </w:rPr>
              <w:t>1,791,339</w:t>
            </w:r>
          </w:p>
        </w:tc>
        <w:tc>
          <w:tcPr>
            <w:tcW w:w="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1,464,700</w:t>
            </w:r>
          </w:p>
        </w:tc>
      </w:tr>
      <w:tr>
        <w:trPr>
          <w:trHeight w:val="189"/>
        </w:trPr>
        <w:tc>
          <w:tcPr>
            <w:tcW w:w="3900" w:type="dxa"/>
            <w:vAlign w:val="bottom"/>
          </w:tcPr>
          <w:p>
            <w:pPr>
              <w:spacing w:after="0" w:line="189" w:lineRule="exact"/>
              <w:rPr>
                <w:sz w:val="20"/>
                <w:szCs w:val="20"/>
                <w:color w:val="auto"/>
              </w:rPr>
            </w:pPr>
            <w:r>
              <w:rPr>
                <w:rFonts w:ascii="Arial" w:cs="Arial" w:eastAsia="Arial" w:hAnsi="Arial"/>
                <w:sz w:val="18"/>
                <w:szCs w:val="18"/>
                <w:color w:val="auto"/>
              </w:rPr>
              <w:t>Interest-bearing transaction deposits</w:t>
            </w:r>
          </w:p>
        </w:tc>
        <w:tc>
          <w:tcPr>
            <w:tcW w:w="220" w:type="dxa"/>
            <w:vAlign w:val="bottom"/>
          </w:tcPr>
          <w:p>
            <w:pPr>
              <w:spacing w:after="0"/>
              <w:rPr>
                <w:sz w:val="16"/>
                <w:szCs w:val="16"/>
                <w:color w:val="auto"/>
              </w:rPr>
            </w:pPr>
          </w:p>
        </w:tc>
        <w:tc>
          <w:tcPr>
            <w:tcW w:w="1520" w:type="dxa"/>
            <w:vAlign w:val="bottom"/>
          </w:tcPr>
          <w:p>
            <w:pPr>
              <w:jc w:val="right"/>
              <w:ind w:right="73"/>
              <w:spacing w:after="0" w:line="189" w:lineRule="exact"/>
              <w:rPr>
                <w:sz w:val="20"/>
                <w:szCs w:val="20"/>
                <w:color w:val="auto"/>
              </w:rPr>
            </w:pPr>
            <w:r>
              <w:rPr>
                <w:rFonts w:ascii="Arial" w:cs="Arial" w:eastAsia="Arial" w:hAnsi="Arial"/>
                <w:sz w:val="18"/>
                <w:szCs w:val="18"/>
                <w:color w:val="auto"/>
              </w:rPr>
              <w:t>1,812,146</w:t>
            </w:r>
          </w:p>
        </w:tc>
        <w:tc>
          <w:tcPr>
            <w:tcW w:w="30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8"/>
                <w:szCs w:val="18"/>
                <w:color w:val="auto"/>
              </w:rPr>
              <w:t>1,435,574</w:t>
            </w:r>
          </w:p>
        </w:tc>
      </w:tr>
      <w:tr>
        <w:trPr>
          <w:trHeight w:val="189"/>
        </w:trPr>
        <w:tc>
          <w:tcPr>
            <w:tcW w:w="39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Saving deposits and money market deposits</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2,402,663</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1,852,044</w:t>
            </w:r>
          </w:p>
        </w:tc>
      </w:tr>
      <w:tr>
        <w:trPr>
          <w:trHeight w:val="189"/>
        </w:trPr>
        <w:tc>
          <w:tcPr>
            <w:tcW w:w="39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Time deposits</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3"/>
              <w:spacing w:after="0" w:line="189" w:lineRule="exact"/>
              <w:rPr>
                <w:sz w:val="20"/>
                <w:szCs w:val="20"/>
                <w:color w:val="auto"/>
              </w:rPr>
            </w:pPr>
            <w:r>
              <w:rPr>
                <w:rFonts w:ascii="Arial" w:cs="Arial" w:eastAsia="Arial" w:hAnsi="Arial"/>
                <w:sz w:val="18"/>
                <w:szCs w:val="18"/>
                <w:color w:val="auto"/>
              </w:rPr>
              <w:t>1,757,078</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1,497,003</w:t>
            </w:r>
          </w:p>
        </w:tc>
      </w:tr>
      <w:tr>
        <w:trPr>
          <w:trHeight w:val="190"/>
        </w:trPr>
        <w:tc>
          <w:tcPr>
            <w:tcW w:w="39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ind w:right="73"/>
              <w:spacing w:after="0" w:line="182" w:lineRule="exact"/>
              <w:rPr>
                <w:sz w:val="20"/>
                <w:szCs w:val="20"/>
                <w:color w:val="auto"/>
              </w:rPr>
            </w:pPr>
            <w:r>
              <w:rPr>
                <w:rFonts w:ascii="Arial" w:cs="Arial" w:eastAsia="Arial" w:hAnsi="Arial"/>
                <w:sz w:val="18"/>
                <w:szCs w:val="18"/>
                <w:color w:val="auto"/>
              </w:rPr>
              <w:t>7,763,226</w:t>
            </w:r>
          </w:p>
        </w:tc>
        <w:tc>
          <w:tcPr>
            <w:tcW w:w="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6,249,321</w:t>
            </w:r>
          </w:p>
        </w:tc>
      </w:tr>
    </w:tbl>
    <w:p>
      <w:pPr>
        <w:spacing w:after="0" w:line="148"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The Company held brokered saving deposits and money market deposits of $20.0 million and $17.5 million at March 31, 2019 and December 31, 2018, respectively.</w:t>
      </w:r>
    </w:p>
    <w:p>
      <w:pPr>
        <w:spacing w:after="0" w:line="121" w:lineRule="exact"/>
        <w:rPr>
          <w:sz w:val="20"/>
          <w:szCs w:val="20"/>
          <w:color w:val="auto"/>
        </w:rPr>
      </w:pPr>
    </w:p>
    <w:p>
      <w:pPr>
        <w:ind w:right="240"/>
        <w:spacing w:after="0" w:line="214" w:lineRule="auto"/>
        <w:rPr>
          <w:sz w:val="20"/>
          <w:szCs w:val="20"/>
          <w:color w:val="auto"/>
        </w:rPr>
      </w:pPr>
      <w:r>
        <w:rPr>
          <w:rFonts w:ascii="Arial" w:cs="Arial" w:eastAsia="Arial" w:hAnsi="Arial"/>
          <w:sz w:val="18"/>
          <w:szCs w:val="18"/>
          <w:color w:val="auto"/>
        </w:rPr>
        <w:t>The aggregate amount of time deposits with a minimum denomination of $100,000 was approximately $886.2 million and $673.7 million at March 31, 2019 and December 31, 2018, respectively. The aggregate amount of time deposits with a minimum denomination that meets or exceeds the Federal Deposit Insurance Corporation (“FDIC”) insurance limit of $250,000 was approximately $348.5 million and $264.1 million at March 31, 2019 and December 31, 2018, respectively. The Company held brokered time deposits of $121.9 million and $262.5 million at March 31, 2019 and December 31,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March 31, 2019, the 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April 1, 2019 – March 31, 2020</w:t>
            </w:r>
          </w:p>
        </w:tc>
        <w:tc>
          <w:tcPr>
            <w:tcW w:w="2140" w:type="dxa"/>
            <w:vAlign w:val="bottom"/>
            <w:gridSpan w:val="2"/>
            <w:shd w:val="clear" w:color="auto" w:fill="CCEEFF"/>
          </w:tcPr>
          <w:p>
            <w:pPr>
              <w:jc w:val="right"/>
              <w:ind w:right="56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1,094,836</w:t>
            </w:r>
          </w:p>
        </w:tc>
      </w:tr>
      <w:tr>
        <w:trPr>
          <w:trHeight w:val="189"/>
        </w:trPr>
        <w:tc>
          <w:tcPr>
            <w:tcW w:w="3680" w:type="dxa"/>
            <w:vAlign w:val="bottom"/>
          </w:tcPr>
          <w:p>
            <w:pPr>
              <w:spacing w:after="0" w:line="189" w:lineRule="exact"/>
              <w:rPr>
                <w:sz w:val="20"/>
                <w:szCs w:val="20"/>
                <w:color w:val="auto"/>
              </w:rPr>
            </w:pPr>
            <w:r>
              <w:rPr>
                <w:rFonts w:ascii="Arial" w:cs="Arial" w:eastAsia="Arial" w:hAnsi="Arial"/>
                <w:sz w:val="18"/>
                <w:szCs w:val="18"/>
                <w:color w:val="auto"/>
              </w:rPr>
              <w:t>April 1, 2020 – March 31, 2021</w:t>
            </w: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361,266</w:t>
            </w:r>
          </w:p>
        </w:tc>
      </w:tr>
      <w:tr>
        <w:trPr>
          <w:trHeight w:val="189"/>
        </w:trPr>
        <w:tc>
          <w:tcPr>
            <w:tcW w:w="3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April 1, 2021 – March 31, 2022</w:t>
            </w:r>
          </w:p>
        </w:tc>
        <w:tc>
          <w:tcPr>
            <w:tcW w:w="1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140,316</w:t>
            </w:r>
          </w:p>
        </w:tc>
      </w:tr>
      <w:tr>
        <w:trPr>
          <w:trHeight w:val="189"/>
        </w:trPr>
        <w:tc>
          <w:tcPr>
            <w:tcW w:w="3680" w:type="dxa"/>
            <w:vAlign w:val="bottom"/>
          </w:tcPr>
          <w:p>
            <w:pPr>
              <w:spacing w:after="0" w:line="189" w:lineRule="exact"/>
              <w:rPr>
                <w:sz w:val="20"/>
                <w:szCs w:val="20"/>
                <w:color w:val="auto"/>
              </w:rPr>
            </w:pPr>
            <w:r>
              <w:rPr>
                <w:rFonts w:ascii="Arial" w:cs="Arial" w:eastAsia="Arial" w:hAnsi="Arial"/>
                <w:sz w:val="18"/>
                <w:szCs w:val="18"/>
                <w:color w:val="auto"/>
              </w:rPr>
              <w:t>April 1, 2022 – March 31, 2023</w:t>
            </w: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86,067</w:t>
            </w:r>
          </w:p>
        </w:tc>
      </w:tr>
      <w:tr>
        <w:trPr>
          <w:trHeight w:val="189"/>
        </w:trPr>
        <w:tc>
          <w:tcPr>
            <w:tcW w:w="3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April 1, 2023 – March 31, 2024</w:t>
            </w:r>
          </w:p>
        </w:tc>
        <w:tc>
          <w:tcPr>
            <w:tcW w:w="1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73,720</w:t>
            </w:r>
          </w:p>
        </w:tc>
      </w:tr>
      <w:tr>
        <w:trPr>
          <w:trHeight w:val="189"/>
        </w:trPr>
        <w:tc>
          <w:tcPr>
            <w:tcW w:w="36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Thereafter</w:t>
            </w:r>
          </w:p>
        </w:tc>
        <w:tc>
          <w:tcPr>
            <w:tcW w:w="14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873</w:t>
            </w:r>
          </w:p>
        </w:tc>
      </w:tr>
      <w:tr>
        <w:trPr>
          <w:trHeight w:val="190"/>
        </w:trPr>
        <w:tc>
          <w:tcPr>
            <w:tcW w:w="36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1,757,078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Securities sold under agreements to repurchase, which are classified as secured borrowings, generally mature</w:t>
      </w:r>
    </w:p>
    <w:p>
      <w:pPr>
        <w:jc w:val="both"/>
        <w:ind w:right="360"/>
        <w:spacing w:after="0" w:line="231" w:lineRule="auto"/>
        <w:rPr>
          <w:sz w:val="20"/>
          <w:szCs w:val="20"/>
          <w:color w:val="auto"/>
        </w:rPr>
      </w:pPr>
      <w:r>
        <w:rPr>
          <w:rFonts w:ascii="Arial" w:cs="Arial" w:eastAsia="Arial" w:hAnsi="Arial"/>
          <w:sz w:val="17"/>
          <w:szCs w:val="17"/>
          <w:color w:val="auto"/>
        </w:rPr>
        <w:t>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include FHLB advances which mature in less than one year from date of origination.</w:t>
      </w:r>
    </w:p>
    <w:p>
      <w:pPr>
        <w:spacing w:after="0" w:line="144"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On January 29, 2019, the Company entered into an Amended and Restated Credit Agreement to allow any outstanding balance on the $20.0 million revolving facility at the maturity date of April 30, 2019 to be converted into a term loan with a maturity date of April 30, 2021. The revolving facility incurs a non-usage fee based on the undrawn amount. The Amended and Restated Credit Agreement also provided for a $60.0 million term loan (the “Term Loan”) with a maturity date of November 30, 2023. The loan has an annual interest rate of one-month LIBOR plus a spread of 1.50%. The proceeds of the Term Loan were used to fund the cash consideration related to the acquisition of Banc Ed. The Company had $58.5 million outstanding on March 31, 2019, $6.0 million of short-term and $52.5 million of long-term.</w:t>
      </w:r>
    </w:p>
    <w:p>
      <w:pPr>
        <w:spacing w:after="0" w:line="122"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On April 19, 2019, the company entered into an amendment to the Amended and Restated Credit Agreement to extend the maturity of its revolving loan facility from April 30, 2019 to April 30,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920" w:type="dxa"/>
        <w:tblCellMar>
          <w:top w:w="0" w:type="dxa"/>
          <w:left w:w="0" w:type="dxa"/>
          <w:bottom w:w="0" w:type="dxa"/>
          <w:right w:w="0" w:type="dxa"/>
        </w:tblCellMar>
      </w:tblPr>
      <w:tr>
        <w:trPr>
          <w:trHeight w:val="136"/>
        </w:trPr>
        <w:tc>
          <w:tcPr>
            <w:tcW w:w="4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77"/>
              <w:spacing w:after="0" w:line="13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97"/>
              <w:spacing w:after="0" w:line="136"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4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r>
      <w:tr>
        <w:trPr>
          <w:trHeight w:val="141"/>
        </w:trPr>
        <w:tc>
          <w:tcPr>
            <w:tcW w:w="444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Notes payable, FHLB, ranging in original maturity from</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nineteen months to ten years, collateralized by FHLB</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deposits, residential and commercial real estate loans and</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7"/>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FHLB stock.</w:t>
            </w:r>
          </w:p>
        </w:tc>
        <w:tc>
          <w:tcPr>
            <w:tcW w:w="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189"/>
        </w:trPr>
        <w:tc>
          <w:tcPr>
            <w:tcW w:w="44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52,500</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r>
      <w:tr>
        <w:trPr>
          <w:trHeight w:val="190"/>
        </w:trPr>
        <w:tc>
          <w:tcPr>
            <w:tcW w:w="44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long-term borrowings</w:t>
            </w: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89,476</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50,000</w:t>
            </w:r>
          </w:p>
        </w:tc>
      </w:tr>
    </w:tbl>
    <w:p>
      <w:pPr>
        <w:spacing w:after="0" w:line="148"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As of March 31, 2019, funds borrowed from the FHLB, consisted of variable-rate notes maturing through September 2024, with interest rates ranging from 1.64% to 3.04%. The weighted average rate on the long-term advances was 2.36% as of March 31, 2019. As of December 31, 2018, funds borrowed from the FHLB, listed above, consisted of variable-rate notes maturing through September 2024, with interest rates ranging from 2.20% to 2.41%. The weighted average rate on the long-term advances was 2.28% as of December 31, 2018.</w:t>
      </w:r>
    </w:p>
    <w:p>
      <w:pPr>
        <w:spacing w:after="0" w:line="122"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On May 25, 2017, the Company issued $40.0 million of 3.75% senior notes that mature on May 25, 2022. The senior notes are payable semi-annually on each May 25 and November 25, commencing on November 25, 2017. Additionally, on May 25, 2017, the Company issued $60.0 million of fixed-to-floating rate subordinated notes that mature on May 25, 2027. The subordinated notes, which qualify as Tier 2 capital for First Busey, are at an initial rate of 4.75% for five years and thereafter at an annual floating rate equal to three-month LIBOR plus a spread of 2.919%. The subordinated notes are payable semi-annually on each May 25 and November 25, commencing on November 25, 2017 during the five year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60"/>
        <w:spacing w:after="0" w:line="214" w:lineRule="auto"/>
        <w:rPr>
          <w:sz w:val="20"/>
          <w:szCs w:val="20"/>
          <w:color w:val="auto"/>
        </w:rPr>
      </w:pPr>
      <w:r>
        <w:rPr>
          <w:rFonts w:ascii="Arial" w:cs="Arial" w:eastAsia="Arial" w:hAnsi="Arial"/>
          <w:sz w:val="18"/>
          <w:szCs w:val="18"/>
          <w:color w:val="auto"/>
        </w:rPr>
        <w:t>fixed-term and thereafter each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 Unamortized debt issuance costs related to the senior notes and subordinated notes totaled $0.4 million and $0.8 million, respectively, at March 31, 2019. Unamortized debt issuance costs related to the senior notes and subordinated notes totaled $0.5 million and $0.9 million, respectively, at December 31, 2018.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Junior Subordinated Debt Owed to Unconsolidated Trusts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First Busey maintains statutory trusts for the sole purpose of issuing and servicing trust preferred securities and related trust common securities. The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instruments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acquisition of Pulaski Financial Corp. (“Pulaski”) in 2016, the Company acquired similar statutory trusts maintained by Pulaski and the fair value adjustment is being accreted over the weighted average remaining life. The Company had $71.2 million of junior subordinated debt owed to unconsolidated trusts at March 31, 2019 and December 31, 2018.</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 making payment on the related junior subordinated notes. The Company’s obligations under the junior subordinated notes and other relevant trust agreements, in aggregate, constitute a full and unconditional guarantee by the Company of each trust’s obligations under the trust preferred securities issued by each trust. The Company has the right to defer payment of interest on the notes, in which case the distributions on the trust preferred securities will also be deferred, for up to five years, but not beyond the stated maturity date.</w:t>
      </w:r>
    </w:p>
    <w:p>
      <w:pPr>
        <w:spacing w:after="0" w:line="12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Under current banking regulations, bank holding companies are allowed to include qualifying trust preferred securities in their Tier 1 Capital for regulatory capital purposes, subject to a 25% limitation to all core (Tier 1) capital elements, net of goodwill and other intangible assets less any associated deferred tax liability. As of March 31, 2019, 100% of the trust preferred securities qualified as Tier 1 capital under the final rule adopted in March 2005.</w:t>
      </w:r>
    </w:p>
    <w:p>
      <w:pPr>
        <w:spacing w:after="0" w:line="12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The Dodd-Frank Act mandated the Federal Reserve to establish minimum capital levels for holding companies on a consolidated basis as stringent as those required for FDIC-insured institutions. A result of this change is that the proceeds of hybrid instruments, such as trust preferred securities, are excluded from capital over a phase-out period. However, if such securities were issued prior to May 19, 2010 by bank holding companies with less than $15.0 billion of assets, they may be retained, subject to certain restrictions. Because the Company has assets of less than $15.0 billion, it is able to maintain its trust preferred proceeds as capital, but the Company has to comply with new capital mandates in other respects and will not be able to raise capital in the future through the issuance of trust preferred securities.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Common Share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25,469</w:t>
            </w:r>
          </w:p>
        </w:tc>
        <w:tc>
          <w:tcPr>
            <w:tcW w:w="28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21,917</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53,277</w:t>
            </w: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48,775</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ind w:left="120"/>
              <w:spacing w:after="0" w:line="161" w:lineRule="exact"/>
              <w:rPr>
                <w:sz w:val="20"/>
                <w:szCs w:val="20"/>
                <w:color w:val="auto"/>
              </w:rPr>
            </w:pPr>
            <w:r>
              <w:rPr>
                <w:rFonts w:ascii="Arial" w:cs="Arial" w:eastAsia="Arial" w:hAnsi="Arial"/>
                <w:sz w:val="18"/>
                <w:szCs w:val="18"/>
                <w:color w:val="auto"/>
              </w:rPr>
              <w:t>Dilutive effect of outstanding options, warrants and restricted stock units as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320" w:type="dxa"/>
            <w:vAlign w:val="bottom"/>
            <w:gridSpan w:val="2"/>
          </w:tcPr>
          <w:p>
            <w:pPr>
              <w:spacing w:after="0"/>
              <w:rPr>
                <w:sz w:val="20"/>
                <w:szCs w:val="20"/>
                <w:color w:val="auto"/>
              </w:rPr>
            </w:pPr>
            <w:r>
              <w:rPr>
                <w:rFonts w:ascii="Arial" w:cs="Arial" w:eastAsia="Arial" w:hAnsi="Arial"/>
                <w:sz w:val="18"/>
                <w:szCs w:val="18"/>
                <w:color w:val="auto"/>
              </w:rPr>
              <w:t>determined by the application of the treasury stock method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ind w:left="60"/>
              <w:spacing w:after="0" w:line="161" w:lineRule="exact"/>
              <w:rPr>
                <w:sz w:val="20"/>
                <w:szCs w:val="20"/>
                <w:color w:val="auto"/>
              </w:rPr>
            </w:pPr>
            <w:r>
              <w:rPr>
                <w:rFonts w:ascii="Arial" w:cs="Arial" w:eastAsia="Arial" w:hAnsi="Arial"/>
                <w:sz w:val="18"/>
                <w:szCs w:val="18"/>
                <w:color w:val="auto"/>
                <w:w w:val="93"/>
              </w:rPr>
              <w:t>Weighted average common shares outstanding, as adjusted for diluted earnings per</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53,578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49,179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spacing w:after="0" w:line="203" w:lineRule="exact"/>
              <w:rPr>
                <w:sz w:val="20"/>
                <w:szCs w:val="20"/>
                <w:color w:val="auto"/>
              </w:rPr>
            </w:pPr>
            <w:r>
              <w:rPr>
                <w:rFonts w:ascii="Arial" w:cs="Arial" w:eastAsia="Arial" w:hAnsi="Arial"/>
                <w:sz w:val="18"/>
                <w:szCs w:val="18"/>
                <w:color w:val="auto"/>
              </w:rPr>
              <w:t>share calculation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300" w:type="dxa"/>
            <w:vAlign w:val="bottom"/>
          </w:tcPr>
          <w:p>
            <w:pPr>
              <w:spacing w:after="0" w:line="189" w:lineRule="exact"/>
              <w:rPr>
                <w:sz w:val="20"/>
                <w:szCs w:val="20"/>
                <w:color w:val="auto"/>
              </w:rPr>
            </w:pPr>
            <w:r>
              <w:rPr>
                <w:rFonts w:ascii="Arial" w:cs="Arial" w:eastAsia="Arial" w:hAnsi="Arial"/>
                <w:sz w:val="18"/>
                <w:szCs w:val="18"/>
                <w:color w:val="auto"/>
              </w:rPr>
              <w:t>Basic earnings per common share</w:t>
            </w:r>
          </w:p>
        </w:tc>
        <w:tc>
          <w:tcPr>
            <w:tcW w:w="520" w:type="dxa"/>
            <w:vAlign w:val="bottom"/>
            <w:gridSpan w:val="2"/>
          </w:tcPr>
          <w:p>
            <w:pPr>
              <w:jc w:val="right"/>
              <w:ind w:right="85"/>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0.48</w:t>
            </w:r>
          </w:p>
        </w:tc>
        <w:tc>
          <w:tcPr>
            <w:tcW w:w="28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0.45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00" w:type="dxa"/>
            <w:vAlign w:val="bottom"/>
          </w:tcPr>
          <w:p>
            <w:pPr>
              <w:spacing w:after="0" w:line="189" w:lineRule="exact"/>
              <w:rPr>
                <w:sz w:val="20"/>
                <w:szCs w:val="20"/>
                <w:color w:val="auto"/>
              </w:rPr>
            </w:pPr>
            <w:r>
              <w:rPr>
                <w:rFonts w:ascii="Arial" w:cs="Arial" w:eastAsia="Arial" w:hAnsi="Arial"/>
                <w:sz w:val="18"/>
                <w:szCs w:val="18"/>
                <w:color w:val="auto"/>
              </w:rPr>
              <w:t>Diluted earnings per common share</w:t>
            </w:r>
          </w:p>
        </w:tc>
        <w:tc>
          <w:tcPr>
            <w:tcW w:w="520" w:type="dxa"/>
            <w:vAlign w:val="bottom"/>
            <w:gridSpan w:val="2"/>
          </w:tcPr>
          <w:p>
            <w:pPr>
              <w:jc w:val="right"/>
              <w:ind w:right="85"/>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0.48</w:t>
            </w:r>
          </w:p>
        </w:tc>
        <w:tc>
          <w:tcPr>
            <w:tcW w:w="28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0.45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Basic earnings per share is computed by dividing net income for the period by the weighted average number of common shares outstanding, which include deferred stock units that are vested but not delivered.</w:t>
      </w:r>
    </w:p>
    <w:p>
      <w:pPr>
        <w:spacing w:after="0" w:line="121"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Diluted earnings per common share is computed using the treasury stock method and reflects the potential dilution that could occur if the Company’s outstanding stock options and warrants were exercised and restricted stock units were vested. At March 31, 2019, 172,571 outstanding restricted stock units, 49,646 outstanding stock options, and 191,278 warrants were anti-dilutive and excluded from the calculation of common stock equivalents. At March 31, 2018, 191,278 warrants were anti-dilutive and excluded from the calculation of common stock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148" w:lineRule="exact"/>
        <w:rPr>
          <w:sz w:val="20"/>
          <w:szCs w:val="20"/>
          <w:color w:val="auto"/>
        </w:rPr>
      </w:pPr>
    </w:p>
    <w:p>
      <w:pPr>
        <w:ind w:right="80"/>
        <w:spacing w:after="0" w:line="221" w:lineRule="auto"/>
        <w:rPr>
          <w:sz w:val="20"/>
          <w:szCs w:val="20"/>
          <w:color w:val="auto"/>
        </w:rPr>
      </w:pPr>
      <w:r>
        <w:rPr>
          <w:rFonts w:ascii="Arial" w:cs="Arial" w:eastAsia="Arial" w:hAnsi="Arial"/>
          <w:sz w:val="17"/>
          <w:szCs w:val="17"/>
          <w:color w:val="auto"/>
        </w:rPr>
        <w:t>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requisite service periods ranging from one to five years. The Company annually grants share-based awards in the form of DSUs, which are RSUs with a deferred settlement date, to its board of directors and advisory directors. Each DSU is equivalent to one share of the Company’s common stock. The DSUs vest over a twelve-month period following the grant date or on the date of the next Annual Meeting of Stockholders, whichever is earlier. These units generally are subject to the same terms as RSUs under the Company’s 2010 Equity Plan or the First Community 2016 Equity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 and stock options assumed from acquisitions.</w:t>
      </w:r>
    </w:p>
    <w:p>
      <w:pPr>
        <w:spacing w:after="0" w:line="127"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A description of the 2010 Equity Incentive Plan, which was amended in 2015, can be found in the Company’s Proxy Statement for the 2015 Annual Meeting of Stockholders. A description of the First Community 2016 Equity Incentive Plan can be found in the Proxy Statement of First Community Financial Partners, Inc. for the 2016 Annual Meeting of Stockholders.</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1" w:right="139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144" w:lineRule="exact"/>
        <w:rPr>
          <w:sz w:val="20"/>
          <w:szCs w:val="20"/>
          <w:color w:val="auto"/>
        </w:rPr>
      </w:pPr>
    </w:p>
    <w:p>
      <w:pPr>
        <w:ind w:right="220"/>
        <w:spacing w:after="0" w:line="223" w:lineRule="auto"/>
        <w:rPr>
          <w:sz w:val="20"/>
          <w:szCs w:val="20"/>
          <w:color w:val="auto"/>
        </w:rPr>
      </w:pPr>
      <w:r>
        <w:rPr>
          <w:rFonts w:ascii="Arial" w:cs="Arial" w:eastAsia="Arial" w:hAnsi="Arial"/>
          <w:sz w:val="18"/>
          <w:szCs w:val="18"/>
          <w:color w:val="auto"/>
        </w:rPr>
        <w:t>A summary of the status of and changes in the Company's stock option awards for the three months ended March 31, 2019 follows:</w:t>
      </w:r>
    </w:p>
    <w:tbl>
      <w:tblPr>
        <w:tblLayout w:type="fixed"/>
        <w:tblInd w:w="920" w:type="dxa"/>
        <w:tblCellMar>
          <w:top w:w="0" w:type="dxa"/>
          <w:left w:w="0" w:type="dxa"/>
          <w:bottom w:w="0" w:type="dxa"/>
          <w:right w:w="0" w:type="dxa"/>
        </w:tblCellMar>
      </w:tblPr>
      <w:tr>
        <w:trPr>
          <w:trHeight w:val="134"/>
        </w:trPr>
        <w:tc>
          <w:tcPr>
            <w:tcW w:w="27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380"/>
              <w:spacing w:after="0" w:line="134" w:lineRule="exact"/>
              <w:rPr>
                <w:sz w:val="20"/>
                <w:szCs w:val="20"/>
                <w:color w:val="auto"/>
              </w:rPr>
            </w:pPr>
            <w:r>
              <w:rPr>
                <w:rFonts w:ascii="Arial" w:cs="Arial" w:eastAsia="Arial" w:hAnsi="Arial"/>
                <w:sz w:val="14"/>
                <w:szCs w:val="14"/>
                <w:b w:val="1"/>
                <w:bCs w:val="1"/>
                <w:color w:val="auto"/>
                <w:w w:val="94"/>
              </w:rPr>
              <w:t>Weighted-</w:t>
            </w:r>
          </w:p>
        </w:tc>
        <w:tc>
          <w:tcPr>
            <w:tcW w:w="150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3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83"/>
        </w:trPr>
        <w:tc>
          <w:tcPr>
            <w:tcW w:w="2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Outstanding at beginning of period</w:t>
            </w:r>
          </w:p>
        </w:tc>
        <w:tc>
          <w:tcPr>
            <w:tcW w:w="13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87,600</w:t>
            </w: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20.58</w:t>
            </w:r>
          </w:p>
        </w:tc>
        <w:tc>
          <w:tcPr>
            <w:tcW w:w="1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20"/>
              <w:spacing w:after="0" w:line="189" w:lineRule="exact"/>
              <w:rPr>
                <w:sz w:val="20"/>
                <w:szCs w:val="20"/>
                <w:color w:val="auto"/>
              </w:rPr>
            </w:pPr>
            <w:r>
              <w:rPr>
                <w:rFonts w:ascii="Arial" w:cs="Arial" w:eastAsia="Arial" w:hAnsi="Arial"/>
                <w:sz w:val="18"/>
                <w:szCs w:val="18"/>
                <w:color w:val="auto"/>
              </w:rPr>
              <w:t>Exercised</w:t>
            </w: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(8,712)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12.93</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Forfeited</w:t>
            </w: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23.53</w:t>
            </w: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Expired</w:t>
            </w:r>
          </w:p>
        </w:tc>
        <w:tc>
          <w:tcPr>
            <w:tcW w:w="1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(176)</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21.03</w:t>
            </w:r>
          </w:p>
        </w:tc>
        <w:tc>
          <w:tcPr>
            <w:tcW w:w="14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Outstanding at end of period</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77,393</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21.39</w:t>
            </w:r>
          </w:p>
        </w:tc>
        <w:tc>
          <w:tcPr>
            <w:tcW w:w="1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7"/>
        </w:trPr>
        <w:tc>
          <w:tcPr>
            <w:tcW w:w="2740" w:type="dxa"/>
            <w:vAlign w:val="bottom"/>
          </w:tcPr>
          <w:p>
            <w:pPr>
              <w:spacing w:after="0"/>
              <w:rPr>
                <w:sz w:val="20"/>
                <w:szCs w:val="20"/>
                <w:color w:val="auto"/>
              </w:rPr>
            </w:pPr>
            <w:r>
              <w:rPr>
                <w:rFonts w:ascii="Arial" w:cs="Arial" w:eastAsia="Arial" w:hAnsi="Arial"/>
                <w:sz w:val="18"/>
                <w:szCs w:val="18"/>
                <w:color w:val="auto"/>
              </w:rPr>
              <w:t>Exercisable at end of period</w:t>
            </w:r>
          </w:p>
        </w:tc>
        <w:tc>
          <w:tcPr>
            <w:tcW w:w="1360" w:type="dxa"/>
            <w:vAlign w:val="bottom"/>
          </w:tcPr>
          <w:p>
            <w:pPr>
              <w:jc w:val="right"/>
              <w:spacing w:after="0"/>
              <w:rPr>
                <w:sz w:val="20"/>
                <w:szCs w:val="20"/>
                <w:color w:val="auto"/>
              </w:rPr>
            </w:pPr>
            <w:r>
              <w:rPr>
                <w:rFonts w:ascii="Arial" w:cs="Arial" w:eastAsia="Arial" w:hAnsi="Arial"/>
                <w:sz w:val="18"/>
                <w:szCs w:val="18"/>
                <w:color w:val="auto"/>
              </w:rPr>
              <w:t>61,146</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20.82</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The Company recorded an insignificant amount in stock option compensation expense for the three months ended March 31, 2019, related to the converted options from First Community. The Company recorded $0.1 million in stock option compensation expense for the three months ended March 31, 2018. As of March 31, 2019, the Company had $0.1 million of unrecognized stock option expense. This cost is expected to be recognized in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Plan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in the Company’s stock unit awards for the three months ended March 31, 2019, is as follows:</w:t>
      </w:r>
    </w:p>
    <w:tbl>
      <w:tblPr>
        <w:tblLayout w:type="fixed"/>
        <w:tblInd w:w="920" w:type="dxa"/>
        <w:tblCellMar>
          <w:top w:w="0" w:type="dxa"/>
          <w:left w:w="0" w:type="dxa"/>
          <w:bottom w:w="0" w:type="dxa"/>
          <w:right w:w="0" w:type="dxa"/>
        </w:tblCellMar>
      </w:tblPr>
      <w:tr>
        <w:trPr>
          <w:trHeight w:val="159"/>
        </w:trPr>
        <w:tc>
          <w:tcPr>
            <w:tcW w:w="28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440"/>
              <w:spacing w:after="0" w:line="159" w:lineRule="exact"/>
              <w:rPr>
                <w:sz w:val="20"/>
                <w:szCs w:val="20"/>
                <w:color w:val="auto"/>
              </w:rPr>
            </w:pPr>
            <w:r>
              <w:rPr>
                <w:rFonts w:ascii="Arial" w:cs="Arial" w:eastAsia="Arial" w:hAnsi="Arial"/>
                <w:sz w:val="14"/>
                <w:szCs w:val="14"/>
                <w:b w:val="1"/>
                <w:bCs w:val="1"/>
                <w:color w:val="auto"/>
                <w:w w:val="94"/>
              </w:rPr>
              <w:t>Weighted-</w:t>
            </w:r>
          </w:p>
        </w:tc>
        <w:tc>
          <w:tcPr>
            <w:tcW w:w="8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6"/>
              </w:rPr>
              <w:t>Director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77"/>
              <w:spacing w:after="0" w:line="159"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Units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Fair Value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2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at beginning of period</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690,495</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26.14</w:t>
            </w: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20,449</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189"/>
        </w:trPr>
        <w:tc>
          <w:tcPr>
            <w:tcW w:w="2820" w:type="dxa"/>
            <w:vAlign w:val="bottom"/>
          </w:tcPr>
          <w:p>
            <w:pPr>
              <w:ind w:left="220"/>
              <w:spacing w:after="0" w:line="189" w:lineRule="exact"/>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Dividend equivalents earned</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5,729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25.31</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189"/>
        </w:trPr>
        <w:tc>
          <w:tcPr>
            <w:tcW w:w="2820" w:type="dxa"/>
            <w:vAlign w:val="bottom"/>
          </w:tcPr>
          <w:p>
            <w:pPr>
              <w:ind w:left="220"/>
              <w:spacing w:after="0" w:line="189" w:lineRule="exact"/>
              <w:rPr>
                <w:sz w:val="20"/>
                <w:szCs w:val="20"/>
                <w:color w:val="auto"/>
              </w:rPr>
            </w:pPr>
            <w:r>
              <w:rPr>
                <w:rFonts w:ascii="Arial" w:cs="Arial" w:eastAsia="Arial" w:hAnsi="Arial"/>
                <w:sz w:val="18"/>
                <w:szCs w:val="18"/>
                <w:color w:val="auto"/>
              </w:rPr>
              <w:t>Vested</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(1,512)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Forfeited</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(1,523)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190"/>
        </w:trPr>
        <w:tc>
          <w:tcPr>
            <w:tcW w:w="282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Non-vested at end of period</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696,224</w:t>
            </w:r>
          </w:p>
        </w:tc>
        <w:tc>
          <w:tcPr>
            <w:tcW w:w="16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26.13</w:t>
            </w:r>
          </w:p>
        </w:tc>
        <w:tc>
          <w:tcPr>
            <w:tcW w:w="30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17,571</w:t>
            </w:r>
          </w:p>
        </w:tc>
        <w:tc>
          <w:tcPr>
            <w:tcW w:w="1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Outstanding at end of period</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696,224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26.13</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76,750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Recipients earn quarterly dividend equivalents on their respective units which entitle the recipients to additional units. Therefore, dividends earned each quarter compound based upon the updated unit balances. Upon vesting/delivery, shares are expected (though not required) to be issued from treasury.</w:t>
      </w:r>
    </w:p>
    <w:p>
      <w:pPr>
        <w:spacing w:after="0" w:line="123"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The Company recognized $1.0 million and $0.8 million of compensation expense related to both non-vested RSUs and DSUs for the three months ended March 31, 2019 and 2018, respectively. As of March 31, 2019, there was $9.9 million of total unrecognized compensation cost related to these non-vested stock awards. This cost is expected to be recognized over a period of 3.5 years.</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As of March 31, 2019, 731,118 shares remain available for issuance pursuant to the Company’s 2010 Equity Incentive Plan, 59,329 shares remain available for issuance pursuant to the Company’s Employee Stock Purchase Plan and 308,617 shares remain available for issuance pursuant to the First Community 2016 Equity Incentive Plan.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right="4180"/>
        <w:spacing w:after="0" w:line="409" w:lineRule="auto"/>
        <w:rPr>
          <w:sz w:val="20"/>
          <w:szCs w:val="20"/>
          <w:color w:val="auto"/>
        </w:rPr>
      </w:pPr>
      <w:r>
        <w:rPr>
          <w:rFonts w:ascii="Arial" w:cs="Arial" w:eastAsia="Arial" w:hAnsi="Arial"/>
          <w:sz w:val="18"/>
          <w:szCs w:val="18"/>
          <w:b w:val="1"/>
          <w:bCs w:val="1"/>
          <w:color w:val="auto"/>
        </w:rPr>
        <w:t xml:space="preserve">Note 10: Outstanding Commitments and Contingent Liabilities </w:t>
      </w:r>
      <w:r>
        <w:rPr>
          <w:rFonts w:ascii="Arial" w:cs="Arial" w:eastAsia="Arial" w:hAnsi="Arial"/>
          <w:sz w:val="18"/>
          <w:szCs w:val="18"/>
          <w:i w:val="1"/>
          <w:iCs w:val="1"/>
          <w:color w:val="auto"/>
        </w:rPr>
        <w:t>Legal Matters</w:t>
      </w:r>
    </w:p>
    <w:p>
      <w:pPr>
        <w:spacing w:after="0" w:line="1"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144"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 xml:space="preserve">A summary of the contractual amount of the Company’s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March 31, 2019</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December 31, 2018</w:t>
            </w:r>
          </w:p>
        </w:tc>
      </w:tr>
      <w:tr>
        <w:trPr>
          <w:trHeight w:val="183"/>
        </w:trPr>
        <w:tc>
          <w:tcPr>
            <w:tcW w:w="5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Financial instruments whose contract amounts represent credit risk:</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9"/>
        </w:trPr>
        <w:tc>
          <w:tcPr>
            <w:tcW w:w="5240" w:type="dxa"/>
            <w:vAlign w:val="bottom"/>
          </w:tcPr>
          <w:p>
            <w:pPr>
              <w:ind w:left="220"/>
              <w:spacing w:after="0" w:line="189" w:lineRule="exact"/>
              <w:rPr>
                <w:sz w:val="20"/>
                <w:szCs w:val="20"/>
                <w:color w:val="auto"/>
              </w:rPr>
            </w:pPr>
            <w:r>
              <w:rPr>
                <w:rFonts w:ascii="Arial" w:cs="Arial" w:eastAsia="Arial" w:hAnsi="Arial"/>
                <w:sz w:val="18"/>
                <w:szCs w:val="18"/>
                <w:color w:val="auto"/>
              </w:rPr>
              <w:t>Commitments to extend credit</w:t>
            </w:r>
          </w:p>
        </w:tc>
        <w:tc>
          <w:tcPr>
            <w:tcW w:w="5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76"/>
              <w:spacing w:after="0" w:line="189" w:lineRule="exact"/>
              <w:rPr>
                <w:sz w:val="20"/>
                <w:szCs w:val="20"/>
                <w:color w:val="auto"/>
              </w:rPr>
            </w:pPr>
            <w:r>
              <w:rPr>
                <w:rFonts w:ascii="Arial" w:cs="Arial" w:eastAsia="Arial" w:hAnsi="Arial"/>
                <w:sz w:val="18"/>
                <w:szCs w:val="18"/>
                <w:color w:val="auto"/>
              </w:rPr>
              <w:t>1,600,624</w:t>
            </w:r>
          </w:p>
        </w:tc>
        <w:tc>
          <w:tcPr>
            <w:tcW w:w="3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rPr>
              <w:t>1,398,483</w:t>
            </w: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Standby letters of credit</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76"/>
              <w:spacing w:after="0" w:line="189" w:lineRule="exact"/>
              <w:rPr>
                <w:sz w:val="20"/>
                <w:szCs w:val="20"/>
                <w:color w:val="auto"/>
              </w:rPr>
            </w:pPr>
            <w:r>
              <w:rPr>
                <w:rFonts w:ascii="Arial" w:cs="Arial" w:eastAsia="Arial" w:hAnsi="Arial"/>
                <w:sz w:val="18"/>
                <w:szCs w:val="18"/>
                <w:color w:val="auto"/>
              </w:rPr>
              <w:t>35,334</w:t>
            </w: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32,156</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Regulatory Capital</w:t>
      </w:r>
    </w:p>
    <w:p>
      <w:pPr>
        <w:spacing w:after="0" w:line="148" w:lineRule="exact"/>
        <w:rPr>
          <w:sz w:val="20"/>
          <w:szCs w:val="20"/>
          <w:color w:val="auto"/>
        </w:rPr>
      </w:pPr>
    </w:p>
    <w:p>
      <w:pPr>
        <w:ind w:right="340"/>
        <w:spacing w:after="0" w:line="228" w:lineRule="auto"/>
        <w:rPr>
          <w:sz w:val="20"/>
          <w:szCs w:val="20"/>
          <w:color w:val="auto"/>
        </w:rPr>
      </w:pPr>
      <w:r>
        <w:rPr>
          <w:rFonts w:ascii="Arial" w:cs="Arial" w:eastAsia="Arial" w:hAnsi="Arial"/>
          <w:sz w:val="18"/>
          <w:szCs w:val="18"/>
          <w:color w:val="auto"/>
        </w:rPr>
        <w:t>The Company and the subsidiary banks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the Company's financial statements. The capital amounts and classification also are subject to qualitative judgments by the regulators about components, risk weightings and other factors.</w:t>
      </w:r>
    </w:p>
    <w:p>
      <w:pPr>
        <w:spacing w:after="0" w:line="70" w:lineRule="exact"/>
        <w:rPr>
          <w:sz w:val="20"/>
          <w:szCs w:val="20"/>
          <w:color w:val="auto"/>
        </w:rPr>
      </w:pPr>
    </w:p>
    <w:p>
      <w:pPr>
        <w:ind w:right="800"/>
        <w:spacing w:after="0" w:line="257" w:lineRule="auto"/>
        <w:rPr>
          <w:sz w:val="20"/>
          <w:szCs w:val="20"/>
          <w:color w:val="auto"/>
        </w:rPr>
      </w:pPr>
      <w:r>
        <w:rPr>
          <w:rFonts w:ascii="Arial" w:cs="Arial" w:eastAsia="Arial" w:hAnsi="Arial"/>
          <w:sz w:val="16"/>
          <w:szCs w:val="16"/>
          <w:color w:val="auto"/>
        </w:rPr>
        <w:t>Banking regulations identify five capital categories for insured depository institutions: well capitalized, adequately capitalized, undercapitalized, significantly undercapitalized and critically undercapitalized. As of March 31,</w:t>
      </w:r>
    </w:p>
    <w:p>
      <w:pPr>
        <w:ind w:right="40"/>
        <w:spacing w:after="0" w:line="229" w:lineRule="auto"/>
        <w:rPr>
          <w:sz w:val="20"/>
          <w:szCs w:val="20"/>
          <w:color w:val="auto"/>
        </w:rPr>
      </w:pPr>
      <w:r>
        <w:rPr>
          <w:rFonts w:ascii="Arial" w:cs="Arial" w:eastAsia="Arial" w:hAnsi="Arial"/>
          <w:sz w:val="18"/>
          <w:szCs w:val="18"/>
          <w:color w:val="auto"/>
        </w:rPr>
        <w:t>2019 and December 31, 2018, all capital ratios of the Company and the subsidiary banks exceeded the well capitalized levels under the applicable regulatory capital adequacy guidelines. Management believes that no events or changes have occurred subsequent to March 31, 2019 that would change this designation.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580"/>
        <w:spacing w:after="0" w:line="223" w:lineRule="auto"/>
        <w:rPr>
          <w:sz w:val="20"/>
          <w:szCs w:val="20"/>
          <w:color w:val="auto"/>
        </w:rPr>
      </w:pPr>
      <w:r>
        <w:rPr>
          <w:rFonts w:ascii="Arial" w:cs="Arial" w:eastAsia="Arial" w:hAnsi="Arial"/>
          <w:sz w:val="18"/>
          <w:szCs w:val="18"/>
          <w:color w:val="auto"/>
        </w:rPr>
        <w:t xml:space="preserve">The following tables summarize the applicable holding company and bank regulatory capital requirements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34"/>
        </w:trPr>
        <w:tc>
          <w:tcPr>
            <w:tcW w:w="2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Minimum</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left="235"/>
              <w:spacing w:after="0" w:line="134" w:lineRule="exact"/>
              <w:rPr>
                <w:sz w:val="20"/>
                <w:szCs w:val="20"/>
                <w:color w:val="auto"/>
              </w:rPr>
            </w:pPr>
            <w:r>
              <w:rPr>
                <w:rFonts w:ascii="Arial" w:cs="Arial" w:eastAsia="Arial" w:hAnsi="Arial"/>
                <w:sz w:val="14"/>
                <w:szCs w:val="14"/>
                <w:b w:val="1"/>
                <w:bCs w:val="1"/>
                <w:color w:val="auto"/>
              </w:rPr>
              <w:t>Minimum</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Actual</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left="235"/>
              <w:spacing w:after="0" w:line="149" w:lineRule="exact"/>
              <w:rPr>
                <w:sz w:val="20"/>
                <w:szCs w:val="20"/>
                <w:color w:val="auto"/>
              </w:rPr>
            </w:pPr>
            <w:r>
              <w:rPr>
                <w:rFonts w:ascii="Arial" w:cs="Arial" w:eastAsia="Arial" w:hAnsi="Arial"/>
                <w:sz w:val="14"/>
                <w:szCs w:val="14"/>
                <w:b w:val="1"/>
                <w:bCs w:val="1"/>
                <w:color w:val="auto"/>
                <w:w w:val="92"/>
              </w:rPr>
              <w:t>To Be Well</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w w:val="95"/>
              </w:rPr>
              <w:t>Capital Requirement</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235"/>
              <w:spacing w:after="0"/>
              <w:rPr>
                <w:sz w:val="20"/>
                <w:szCs w:val="20"/>
                <w:color w:val="auto"/>
              </w:rPr>
            </w:pPr>
            <w:r>
              <w:rPr>
                <w:rFonts w:ascii="Arial" w:cs="Arial" w:eastAsia="Arial" w:hAnsi="Arial"/>
                <w:sz w:val="14"/>
                <w:szCs w:val="14"/>
                <w:b w:val="1"/>
                <w:bCs w:val="1"/>
                <w:color w:val="auto"/>
                <w:w w:val="94"/>
              </w:rPr>
              <w:t>Capitalized</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840" w:type="dxa"/>
            <w:vAlign w:val="bottom"/>
            <w:tcBorders>
              <w:bottom w:val="single" w:sz="8" w:color="auto"/>
            </w:tcBorders>
          </w:tcPr>
          <w:p>
            <w:pPr>
              <w:jc w:val="center"/>
              <w:ind w:right="212"/>
              <w:spacing w:after="0" w:line="142" w:lineRule="exact"/>
              <w:rPr>
                <w:sz w:val="20"/>
                <w:szCs w:val="20"/>
                <w:color w:val="auto"/>
              </w:rPr>
            </w:pPr>
            <w:r>
              <w:rPr>
                <w:rFonts w:ascii="Arial" w:cs="Arial" w:eastAsia="Arial" w:hAnsi="Arial"/>
                <w:sz w:val="14"/>
                <w:szCs w:val="14"/>
                <w:b w:val="1"/>
                <w:bCs w:val="1"/>
                <w:color w:val="auto"/>
                <w:w w:val="97"/>
              </w:rPr>
              <w:t>Ratio</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w w:val="98"/>
              </w:rPr>
              <w:t>Amount</w:t>
            </w:r>
          </w:p>
        </w:tc>
        <w:tc>
          <w:tcPr>
            <w:tcW w:w="7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w w:val="91"/>
              </w:rPr>
              <w:t>Ratio</w:t>
            </w: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Amount</w:t>
            </w:r>
          </w:p>
        </w:tc>
        <w:tc>
          <w:tcPr>
            <w:tcW w:w="7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w w:val="91"/>
              </w:rPr>
              <w:t>Ratio</w:t>
            </w:r>
          </w:p>
        </w:tc>
        <w:tc>
          <w:tcPr>
            <w:tcW w:w="0" w:type="dxa"/>
            <w:vAlign w:val="bottom"/>
          </w:tcPr>
          <w:p>
            <w:pPr>
              <w:spacing w:after="0"/>
              <w:rPr>
                <w:sz w:val="1"/>
                <w:szCs w:val="1"/>
                <w:color w:val="auto"/>
              </w:rPr>
            </w:pPr>
          </w:p>
        </w:tc>
      </w:tr>
      <w:tr>
        <w:trPr>
          <w:trHeight w:val="183"/>
        </w:trPr>
        <w:tc>
          <w:tcPr>
            <w:tcW w:w="310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 of March 31, 2019:</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00" w:type="dxa"/>
            <w:vAlign w:val="bottom"/>
            <w:gridSpan w:val="4"/>
          </w:tcPr>
          <w:p>
            <w:pPr>
              <w:spacing w:after="0" w:line="162" w:lineRule="exact"/>
              <w:rPr>
                <w:sz w:val="20"/>
                <w:szCs w:val="20"/>
                <w:color w:val="auto"/>
              </w:rPr>
            </w:pPr>
            <w:r>
              <w:rPr>
                <w:rFonts w:ascii="Arial" w:cs="Arial" w:eastAsia="Arial" w:hAnsi="Arial"/>
                <w:sz w:val="18"/>
                <w:szCs w:val="18"/>
                <w:color w:val="auto"/>
                <w:w w:val="98"/>
              </w:rPr>
              <w:t>Total Capital (to Risk Weighted Assets)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tcBorders>
              <w:top w:val="single" w:sz="8" w:color="auto"/>
            </w:tcBorders>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Consolidated</w:t>
            </w:r>
          </w:p>
        </w:tc>
        <w:tc>
          <w:tcPr>
            <w:tcW w:w="24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w w:val="94"/>
              </w:rPr>
              <w:t>1,009,053</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13.95 %</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4"/>
              <w:spacing w:after="0" w:line="189" w:lineRule="exact"/>
              <w:rPr>
                <w:sz w:val="20"/>
                <w:szCs w:val="20"/>
                <w:color w:val="auto"/>
              </w:rPr>
            </w:pPr>
            <w:r>
              <w:rPr>
                <w:rFonts w:ascii="Arial" w:cs="Arial" w:eastAsia="Arial" w:hAnsi="Arial"/>
                <w:sz w:val="18"/>
                <w:szCs w:val="18"/>
                <w:color w:val="auto"/>
                <w:w w:val="95"/>
              </w:rPr>
              <w:t>578,555</w:t>
            </w:r>
          </w:p>
        </w:tc>
        <w:tc>
          <w:tcPr>
            <w:tcW w:w="7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8.00 %</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8"/>
                <w:szCs w:val="18"/>
                <w:color w:val="auto"/>
              </w:rPr>
              <w:t>723,194</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189"/>
        </w:trPr>
        <w:tc>
          <w:tcPr>
            <w:tcW w:w="3100" w:type="dxa"/>
            <w:vAlign w:val="bottom"/>
            <w:gridSpan w:val="4"/>
          </w:tcPr>
          <w:p>
            <w:pPr>
              <w:ind w:left="220"/>
              <w:spacing w:after="0" w:line="189" w:lineRule="exact"/>
              <w:rPr>
                <w:sz w:val="20"/>
                <w:szCs w:val="20"/>
                <w:color w:val="auto"/>
              </w:rPr>
            </w:pPr>
            <w:r>
              <w:rPr>
                <w:rFonts w:ascii="Arial" w:cs="Arial" w:eastAsia="Arial" w:hAnsi="Arial"/>
                <w:sz w:val="18"/>
                <w:szCs w:val="18"/>
                <w:color w:val="auto"/>
              </w:rPr>
              <w:t>Busey Bank</w:t>
            </w:r>
          </w:p>
        </w:tc>
        <w:tc>
          <w:tcPr>
            <w:tcW w:w="14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882,181</w:t>
            </w:r>
          </w:p>
        </w:tc>
        <w:tc>
          <w:tcPr>
            <w:tcW w:w="120" w:type="dxa"/>
            <w:vAlign w:val="bottom"/>
          </w:tcPr>
          <w:p>
            <w:pPr>
              <w:spacing w:after="0"/>
              <w:rPr>
                <w:sz w:val="16"/>
                <w:szCs w:val="16"/>
                <w:color w:val="auto"/>
              </w:rPr>
            </w:pPr>
          </w:p>
        </w:tc>
        <w:tc>
          <w:tcPr>
            <w:tcW w:w="8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14.49 %</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4"/>
              <w:spacing w:after="0" w:line="189" w:lineRule="exact"/>
              <w:rPr>
                <w:sz w:val="20"/>
                <w:szCs w:val="20"/>
                <w:color w:val="auto"/>
              </w:rPr>
            </w:pPr>
            <w:r>
              <w:rPr>
                <w:rFonts w:ascii="Arial" w:cs="Arial" w:eastAsia="Arial" w:hAnsi="Arial"/>
                <w:sz w:val="18"/>
                <w:szCs w:val="18"/>
                <w:color w:val="auto"/>
                <w:w w:val="95"/>
              </w:rPr>
              <w:t>487,119</w:t>
            </w:r>
          </w:p>
        </w:tc>
        <w:tc>
          <w:tcPr>
            <w:tcW w:w="7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8.00 %</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15"/>
              <w:spacing w:after="0" w:line="189" w:lineRule="exact"/>
              <w:rPr>
                <w:sz w:val="20"/>
                <w:szCs w:val="20"/>
                <w:color w:val="auto"/>
              </w:rPr>
            </w:pPr>
            <w:r>
              <w:rPr>
                <w:rFonts w:ascii="Arial" w:cs="Arial" w:eastAsia="Arial" w:hAnsi="Arial"/>
                <w:sz w:val="18"/>
                <w:szCs w:val="18"/>
                <w:color w:val="auto"/>
              </w:rPr>
              <w:t>608,899</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189"/>
        </w:trPr>
        <w:tc>
          <w:tcPr>
            <w:tcW w:w="3100" w:type="dxa"/>
            <w:vAlign w:val="bottom"/>
            <w:gridSpan w:val="4"/>
            <w:shd w:val="clear" w:color="auto" w:fill="CCEEFF"/>
          </w:tcPr>
          <w:p>
            <w:pPr>
              <w:ind w:left="220"/>
              <w:spacing w:after="0" w:line="189" w:lineRule="exact"/>
              <w:rPr>
                <w:sz w:val="20"/>
                <w:szCs w:val="20"/>
                <w:color w:val="auto"/>
              </w:rPr>
            </w:pPr>
            <w:r>
              <w:rPr>
                <w:rFonts w:ascii="Arial" w:cs="Arial" w:eastAsia="Arial" w:hAnsi="Arial"/>
                <w:sz w:val="18"/>
                <w:szCs w:val="18"/>
                <w:color w:val="auto"/>
              </w:rPr>
              <w:t>TheBANK</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190,105</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16.78 %</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4"/>
              <w:spacing w:after="0" w:line="189" w:lineRule="exact"/>
              <w:rPr>
                <w:sz w:val="20"/>
                <w:szCs w:val="20"/>
                <w:color w:val="auto"/>
              </w:rPr>
            </w:pPr>
            <w:r>
              <w:rPr>
                <w:rFonts w:ascii="Arial" w:cs="Arial" w:eastAsia="Arial" w:hAnsi="Arial"/>
                <w:sz w:val="18"/>
                <w:szCs w:val="18"/>
                <w:color w:val="auto"/>
              </w:rPr>
              <w:t>90,646</w:t>
            </w:r>
          </w:p>
        </w:tc>
        <w:tc>
          <w:tcPr>
            <w:tcW w:w="7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8.00 %</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8"/>
                <w:szCs w:val="18"/>
                <w:color w:val="auto"/>
              </w:rPr>
              <w:t>113,308</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00" w:type="dxa"/>
            <w:vAlign w:val="bottom"/>
            <w:gridSpan w:val="4"/>
            <w:shd w:val="clear" w:color="auto" w:fill="CCEEFF"/>
          </w:tcPr>
          <w:p>
            <w:pPr>
              <w:spacing w:after="0" w:line="162" w:lineRule="exact"/>
              <w:rPr>
                <w:sz w:val="20"/>
                <w:szCs w:val="20"/>
                <w:color w:val="auto"/>
              </w:rPr>
            </w:pPr>
            <w:r>
              <w:rPr>
                <w:rFonts w:ascii="Arial" w:cs="Arial" w:eastAsia="Arial" w:hAnsi="Arial"/>
                <w:sz w:val="18"/>
                <w:szCs w:val="18"/>
                <w:color w:val="auto"/>
                <w:w w:val="96"/>
              </w:rPr>
              <w:t>Tier 1 Capital (to Risk Weighted Assets)</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Borders>
              <w:top w:val="single" w:sz="8" w:color="auto"/>
            </w:tcBorders>
            <w:gridSpan w:val="3"/>
          </w:tcPr>
          <w:p>
            <w:pPr>
              <w:ind w:left="220"/>
              <w:spacing w:after="0" w:line="189" w:lineRule="exact"/>
              <w:rPr>
                <w:sz w:val="20"/>
                <w:szCs w:val="20"/>
                <w:color w:val="auto"/>
              </w:rPr>
            </w:pPr>
            <w:r>
              <w:rPr>
                <w:rFonts w:ascii="Arial" w:cs="Arial" w:eastAsia="Arial" w:hAnsi="Arial"/>
                <w:sz w:val="18"/>
                <w:szCs w:val="18"/>
                <w:color w:val="auto"/>
              </w:rPr>
              <w:t>Consolidated</w:t>
            </w: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tcPr>
          <w:p>
            <w:pPr>
              <w:jc w:val="right"/>
              <w:ind w:right="53"/>
              <w:spacing w:after="0" w:line="189" w:lineRule="exact"/>
              <w:rPr>
                <w:sz w:val="20"/>
                <w:szCs w:val="20"/>
                <w:color w:val="auto"/>
              </w:rPr>
            </w:pPr>
            <w:r>
              <w:rPr>
                <w:rFonts w:ascii="Arial" w:cs="Arial" w:eastAsia="Arial" w:hAnsi="Arial"/>
                <w:sz w:val="18"/>
                <w:szCs w:val="18"/>
                <w:color w:val="auto"/>
              </w:rPr>
              <w:t>898,138</w:t>
            </w:r>
          </w:p>
        </w:tc>
        <w:tc>
          <w:tcPr>
            <w:tcW w:w="12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12"/>
              <w:spacing w:after="0" w:line="189" w:lineRule="exact"/>
              <w:rPr>
                <w:sz w:val="20"/>
                <w:szCs w:val="20"/>
                <w:color w:val="auto"/>
              </w:rPr>
            </w:pPr>
            <w:r>
              <w:rPr>
                <w:rFonts w:ascii="Arial" w:cs="Arial" w:eastAsia="Arial" w:hAnsi="Arial"/>
                <w:sz w:val="18"/>
                <w:szCs w:val="18"/>
                <w:color w:val="auto"/>
              </w:rPr>
              <w:t>12.42 %</w:t>
            </w:r>
          </w:p>
        </w:tc>
        <w:tc>
          <w:tcPr>
            <w:tcW w:w="24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tcPr>
          <w:p>
            <w:pPr>
              <w:jc w:val="right"/>
              <w:ind w:right="254"/>
              <w:spacing w:after="0" w:line="189" w:lineRule="exact"/>
              <w:rPr>
                <w:sz w:val="20"/>
                <w:szCs w:val="20"/>
                <w:color w:val="auto"/>
              </w:rPr>
            </w:pPr>
            <w:r>
              <w:rPr>
                <w:rFonts w:ascii="Arial" w:cs="Arial" w:eastAsia="Arial" w:hAnsi="Arial"/>
                <w:sz w:val="18"/>
                <w:szCs w:val="18"/>
                <w:color w:val="auto"/>
                <w:w w:val="95"/>
              </w:rPr>
              <w:t>433,917</w:t>
            </w:r>
          </w:p>
        </w:tc>
        <w:tc>
          <w:tcPr>
            <w:tcW w:w="740" w:type="dxa"/>
            <w:vAlign w:val="bottom"/>
            <w:tcBorders>
              <w:top w:val="single" w:sz="8" w:color="CCEEFF"/>
            </w:tcBorders>
          </w:tcPr>
          <w:p>
            <w:pPr>
              <w:jc w:val="right"/>
              <w:ind w:right="12"/>
              <w:spacing w:after="0" w:line="189" w:lineRule="exact"/>
              <w:rPr>
                <w:sz w:val="20"/>
                <w:szCs w:val="20"/>
                <w:color w:val="auto"/>
              </w:rPr>
            </w:pPr>
            <w:r>
              <w:rPr>
                <w:rFonts w:ascii="Arial" w:cs="Arial" w:eastAsia="Arial" w:hAnsi="Arial"/>
                <w:sz w:val="18"/>
                <w:szCs w:val="18"/>
                <w:color w:val="auto"/>
              </w:rPr>
              <w:t>6.00 %</w:t>
            </w:r>
          </w:p>
        </w:tc>
        <w:tc>
          <w:tcPr>
            <w:tcW w:w="26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215"/>
              <w:spacing w:after="0" w:line="189" w:lineRule="exact"/>
              <w:rPr>
                <w:sz w:val="20"/>
                <w:szCs w:val="20"/>
                <w:color w:val="auto"/>
              </w:rPr>
            </w:pPr>
            <w:r>
              <w:rPr>
                <w:rFonts w:ascii="Arial" w:cs="Arial" w:eastAsia="Arial" w:hAnsi="Arial"/>
                <w:sz w:val="18"/>
                <w:szCs w:val="18"/>
                <w:color w:val="auto"/>
              </w:rPr>
              <w:t>578,555</w:t>
            </w:r>
          </w:p>
        </w:tc>
        <w:tc>
          <w:tcPr>
            <w:tcW w:w="70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189"/>
        </w:trPr>
        <w:tc>
          <w:tcPr>
            <w:tcW w:w="3100" w:type="dxa"/>
            <w:vAlign w:val="bottom"/>
            <w:gridSpan w:val="4"/>
            <w:shd w:val="clear" w:color="auto" w:fill="CCEEFF"/>
          </w:tcPr>
          <w:p>
            <w:pPr>
              <w:ind w:left="220"/>
              <w:spacing w:after="0" w:line="189" w:lineRule="exact"/>
              <w:rPr>
                <w:sz w:val="20"/>
                <w:szCs w:val="20"/>
                <w:color w:val="auto"/>
              </w:rPr>
            </w:pPr>
            <w:r>
              <w:rPr>
                <w:rFonts w:ascii="Arial" w:cs="Arial" w:eastAsia="Arial" w:hAnsi="Arial"/>
                <w:sz w:val="18"/>
                <w:szCs w:val="18"/>
                <w:color w:val="auto"/>
              </w:rPr>
              <w:t>Busey Bank</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831,371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13.65 %</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4"/>
              <w:spacing w:after="0" w:line="189" w:lineRule="exact"/>
              <w:rPr>
                <w:sz w:val="20"/>
                <w:szCs w:val="20"/>
                <w:color w:val="auto"/>
              </w:rPr>
            </w:pPr>
            <w:r>
              <w:rPr>
                <w:rFonts w:ascii="Arial" w:cs="Arial" w:eastAsia="Arial" w:hAnsi="Arial"/>
                <w:sz w:val="18"/>
                <w:szCs w:val="18"/>
                <w:color w:val="auto"/>
                <w:w w:val="95"/>
              </w:rPr>
              <w:t>365,340</w:t>
            </w:r>
          </w:p>
        </w:tc>
        <w:tc>
          <w:tcPr>
            <w:tcW w:w="7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6.00 %</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8"/>
                <w:szCs w:val="18"/>
                <w:color w:val="auto"/>
              </w:rPr>
              <w:t>487,119</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189"/>
        </w:trPr>
        <w:tc>
          <w:tcPr>
            <w:tcW w:w="3100" w:type="dxa"/>
            <w:vAlign w:val="bottom"/>
            <w:gridSpan w:val="4"/>
          </w:tcPr>
          <w:p>
            <w:pPr>
              <w:ind w:left="220"/>
              <w:spacing w:after="0" w:line="189" w:lineRule="exact"/>
              <w:rPr>
                <w:sz w:val="20"/>
                <w:szCs w:val="20"/>
                <w:color w:val="auto"/>
              </w:rPr>
            </w:pPr>
            <w:r>
              <w:rPr>
                <w:rFonts w:ascii="Arial" w:cs="Arial" w:eastAsia="Arial" w:hAnsi="Arial"/>
                <w:sz w:val="18"/>
                <w:szCs w:val="18"/>
                <w:color w:val="auto"/>
              </w:rPr>
              <w:t>TheBANK</w:t>
            </w:r>
          </w:p>
        </w:tc>
        <w:tc>
          <w:tcPr>
            <w:tcW w:w="14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190,000</w:t>
            </w:r>
          </w:p>
        </w:tc>
        <w:tc>
          <w:tcPr>
            <w:tcW w:w="120" w:type="dxa"/>
            <w:vAlign w:val="bottom"/>
          </w:tcPr>
          <w:p>
            <w:pPr>
              <w:spacing w:after="0"/>
              <w:rPr>
                <w:sz w:val="16"/>
                <w:szCs w:val="16"/>
                <w:color w:val="auto"/>
              </w:rPr>
            </w:pPr>
          </w:p>
        </w:tc>
        <w:tc>
          <w:tcPr>
            <w:tcW w:w="8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16.77 %</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4"/>
              <w:spacing w:after="0" w:line="189" w:lineRule="exact"/>
              <w:rPr>
                <w:sz w:val="20"/>
                <w:szCs w:val="20"/>
                <w:color w:val="auto"/>
              </w:rPr>
            </w:pPr>
            <w:r>
              <w:rPr>
                <w:rFonts w:ascii="Arial" w:cs="Arial" w:eastAsia="Arial" w:hAnsi="Arial"/>
                <w:sz w:val="18"/>
                <w:szCs w:val="18"/>
                <w:color w:val="auto"/>
              </w:rPr>
              <w:t>67,985</w:t>
            </w:r>
          </w:p>
        </w:tc>
        <w:tc>
          <w:tcPr>
            <w:tcW w:w="7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6.00 %</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15"/>
              <w:spacing w:after="0" w:line="189" w:lineRule="exact"/>
              <w:rPr>
                <w:sz w:val="20"/>
                <w:szCs w:val="20"/>
                <w:color w:val="auto"/>
              </w:rPr>
            </w:pPr>
            <w:r>
              <w:rPr>
                <w:rFonts w:ascii="Arial" w:cs="Arial" w:eastAsia="Arial" w:hAnsi="Arial"/>
                <w:sz w:val="18"/>
                <w:szCs w:val="18"/>
                <w:color w:val="auto"/>
              </w:rPr>
              <w:t>90,646</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80" w:type="dxa"/>
            <w:vAlign w:val="bottom"/>
            <w:gridSpan w:val="7"/>
          </w:tcPr>
          <w:p>
            <w:pPr>
              <w:spacing w:after="0" w:line="162" w:lineRule="exact"/>
              <w:rPr>
                <w:sz w:val="20"/>
                <w:szCs w:val="20"/>
                <w:color w:val="auto"/>
              </w:rPr>
            </w:pPr>
            <w:r>
              <w:rPr>
                <w:rFonts w:ascii="Arial" w:cs="Arial" w:eastAsia="Arial" w:hAnsi="Arial"/>
                <w:sz w:val="18"/>
                <w:szCs w:val="18"/>
                <w:color w:val="auto"/>
                <w:w w:val="94"/>
              </w:rPr>
              <w:t>Common Equity Tier 1 Capital (to Risk Weighted Assets)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00" w:type="dxa"/>
            <w:vAlign w:val="bottom"/>
            <w:tcBorders>
              <w:top w:val="single" w:sz="8" w:color="auto"/>
            </w:tcBorders>
            <w:gridSpan w:val="4"/>
            <w:shd w:val="clear" w:color="auto" w:fill="CCEEFF"/>
          </w:tcPr>
          <w:p>
            <w:pPr>
              <w:ind w:left="220"/>
              <w:spacing w:after="0" w:line="189" w:lineRule="exact"/>
              <w:rPr>
                <w:sz w:val="20"/>
                <w:szCs w:val="20"/>
                <w:color w:val="auto"/>
              </w:rPr>
            </w:pPr>
            <w:r>
              <w:rPr>
                <w:rFonts w:ascii="Arial" w:cs="Arial" w:eastAsia="Arial" w:hAnsi="Arial"/>
                <w:sz w:val="18"/>
                <w:szCs w:val="18"/>
                <w:color w:val="auto"/>
              </w:rPr>
              <w:t>Consolidated</w:t>
            </w:r>
          </w:p>
        </w:tc>
        <w:tc>
          <w:tcPr>
            <w:tcW w:w="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824,138</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11.40 %</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4"/>
              <w:spacing w:after="0" w:line="189" w:lineRule="exact"/>
              <w:rPr>
                <w:sz w:val="20"/>
                <w:szCs w:val="20"/>
                <w:color w:val="auto"/>
              </w:rPr>
            </w:pPr>
            <w:r>
              <w:rPr>
                <w:rFonts w:ascii="Arial" w:cs="Arial" w:eastAsia="Arial" w:hAnsi="Arial"/>
                <w:sz w:val="18"/>
                <w:szCs w:val="18"/>
                <w:color w:val="auto"/>
                <w:w w:val="95"/>
              </w:rPr>
              <w:t>325,438</w:t>
            </w:r>
          </w:p>
        </w:tc>
        <w:tc>
          <w:tcPr>
            <w:tcW w:w="7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4.50 %</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8"/>
                <w:szCs w:val="18"/>
                <w:color w:val="auto"/>
              </w:rPr>
              <w:t>470,076</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189"/>
        </w:trPr>
        <w:tc>
          <w:tcPr>
            <w:tcW w:w="3100" w:type="dxa"/>
            <w:vAlign w:val="bottom"/>
            <w:gridSpan w:val="4"/>
          </w:tcPr>
          <w:p>
            <w:pPr>
              <w:ind w:left="220"/>
              <w:spacing w:after="0" w:line="189" w:lineRule="exact"/>
              <w:rPr>
                <w:sz w:val="20"/>
                <w:szCs w:val="20"/>
                <w:color w:val="auto"/>
              </w:rPr>
            </w:pPr>
            <w:r>
              <w:rPr>
                <w:rFonts w:ascii="Arial" w:cs="Arial" w:eastAsia="Arial" w:hAnsi="Arial"/>
                <w:sz w:val="18"/>
                <w:szCs w:val="18"/>
                <w:color w:val="auto"/>
              </w:rPr>
              <w:t>Busey Bank</w:t>
            </w:r>
          </w:p>
        </w:tc>
        <w:tc>
          <w:tcPr>
            <w:tcW w:w="14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831,371</w:t>
            </w:r>
          </w:p>
        </w:tc>
        <w:tc>
          <w:tcPr>
            <w:tcW w:w="120" w:type="dxa"/>
            <w:vAlign w:val="bottom"/>
          </w:tcPr>
          <w:p>
            <w:pPr>
              <w:spacing w:after="0"/>
              <w:rPr>
                <w:sz w:val="16"/>
                <w:szCs w:val="16"/>
                <w:color w:val="auto"/>
              </w:rPr>
            </w:pPr>
          </w:p>
        </w:tc>
        <w:tc>
          <w:tcPr>
            <w:tcW w:w="8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13.65 %</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4"/>
              <w:spacing w:after="0" w:line="189" w:lineRule="exact"/>
              <w:rPr>
                <w:sz w:val="20"/>
                <w:szCs w:val="20"/>
                <w:color w:val="auto"/>
              </w:rPr>
            </w:pPr>
            <w:r>
              <w:rPr>
                <w:rFonts w:ascii="Arial" w:cs="Arial" w:eastAsia="Arial" w:hAnsi="Arial"/>
                <w:sz w:val="18"/>
                <w:szCs w:val="18"/>
                <w:color w:val="auto"/>
                <w:w w:val="95"/>
              </w:rPr>
              <w:t>274,005</w:t>
            </w:r>
          </w:p>
        </w:tc>
        <w:tc>
          <w:tcPr>
            <w:tcW w:w="7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4.50 %</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15"/>
              <w:spacing w:after="0" w:line="189" w:lineRule="exact"/>
              <w:rPr>
                <w:sz w:val="20"/>
                <w:szCs w:val="20"/>
                <w:color w:val="auto"/>
              </w:rPr>
            </w:pPr>
            <w:r>
              <w:rPr>
                <w:rFonts w:ascii="Arial" w:cs="Arial" w:eastAsia="Arial" w:hAnsi="Arial"/>
                <w:sz w:val="18"/>
                <w:szCs w:val="18"/>
                <w:color w:val="auto"/>
              </w:rPr>
              <w:t>395,785</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189"/>
        </w:trPr>
        <w:tc>
          <w:tcPr>
            <w:tcW w:w="3100" w:type="dxa"/>
            <w:vAlign w:val="bottom"/>
            <w:gridSpan w:val="4"/>
            <w:shd w:val="clear" w:color="auto" w:fill="CCEEFF"/>
          </w:tcPr>
          <w:p>
            <w:pPr>
              <w:ind w:left="220"/>
              <w:spacing w:after="0" w:line="189" w:lineRule="exact"/>
              <w:rPr>
                <w:sz w:val="20"/>
                <w:szCs w:val="20"/>
                <w:color w:val="auto"/>
              </w:rPr>
            </w:pPr>
            <w:r>
              <w:rPr>
                <w:rFonts w:ascii="Arial" w:cs="Arial" w:eastAsia="Arial" w:hAnsi="Arial"/>
                <w:sz w:val="18"/>
                <w:szCs w:val="18"/>
                <w:color w:val="auto"/>
              </w:rPr>
              <w:t>TheBANK</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190,000</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16.77 %</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4"/>
              <w:spacing w:after="0" w:line="189" w:lineRule="exact"/>
              <w:rPr>
                <w:sz w:val="20"/>
                <w:szCs w:val="20"/>
                <w:color w:val="auto"/>
              </w:rPr>
            </w:pPr>
            <w:r>
              <w:rPr>
                <w:rFonts w:ascii="Arial" w:cs="Arial" w:eastAsia="Arial" w:hAnsi="Arial"/>
                <w:sz w:val="18"/>
                <w:szCs w:val="18"/>
                <w:color w:val="auto"/>
              </w:rPr>
              <w:t>50,989</w:t>
            </w:r>
          </w:p>
        </w:tc>
        <w:tc>
          <w:tcPr>
            <w:tcW w:w="7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4.50 %</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8"/>
                <w:szCs w:val="18"/>
                <w:color w:val="auto"/>
              </w:rPr>
              <w:t>73,650</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6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w w:val="90"/>
              </w:rPr>
              <w:t>Tier 1 Capital (to Average Assets)</w:t>
            </w:r>
          </w:p>
        </w:tc>
        <w:tc>
          <w:tcPr>
            <w:tcW w:w="640" w:type="dxa"/>
            <w:vAlign w:val="bottom"/>
            <w:tcBorders>
              <w:bottom w:val="single" w:sz="8" w:color="CCEEFF"/>
            </w:tcBorders>
            <w:gridSpan w:val="3"/>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00" w:type="dxa"/>
            <w:vAlign w:val="bottom"/>
            <w:gridSpan w:val="4"/>
          </w:tcPr>
          <w:p>
            <w:pPr>
              <w:ind w:left="220"/>
              <w:spacing w:after="0" w:line="189" w:lineRule="exact"/>
              <w:rPr>
                <w:sz w:val="20"/>
                <w:szCs w:val="20"/>
                <w:color w:val="auto"/>
              </w:rPr>
            </w:pPr>
            <w:r>
              <w:rPr>
                <w:rFonts w:ascii="Arial" w:cs="Arial" w:eastAsia="Arial" w:hAnsi="Arial"/>
                <w:sz w:val="18"/>
                <w:szCs w:val="18"/>
                <w:color w:val="auto"/>
              </w:rPr>
              <w:t>Consolidated</w:t>
            </w:r>
          </w:p>
        </w:tc>
        <w:tc>
          <w:tcPr>
            <w:tcW w:w="14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898,138</w:t>
            </w:r>
          </w:p>
        </w:tc>
        <w:tc>
          <w:tcPr>
            <w:tcW w:w="120" w:type="dxa"/>
            <w:vAlign w:val="bottom"/>
          </w:tcPr>
          <w:p>
            <w:pPr>
              <w:spacing w:after="0"/>
              <w:rPr>
                <w:sz w:val="16"/>
                <w:szCs w:val="16"/>
                <w:color w:val="auto"/>
              </w:rPr>
            </w:pPr>
          </w:p>
        </w:tc>
        <w:tc>
          <w:tcPr>
            <w:tcW w:w="8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10.55 %</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4"/>
              <w:spacing w:after="0" w:line="189" w:lineRule="exact"/>
              <w:rPr>
                <w:sz w:val="20"/>
                <w:szCs w:val="20"/>
                <w:color w:val="auto"/>
              </w:rPr>
            </w:pPr>
            <w:r>
              <w:rPr>
                <w:rFonts w:ascii="Arial" w:cs="Arial" w:eastAsia="Arial" w:hAnsi="Arial"/>
                <w:sz w:val="18"/>
                <w:szCs w:val="18"/>
                <w:color w:val="auto"/>
                <w:w w:val="95"/>
              </w:rPr>
              <w:t>340,417</w:t>
            </w:r>
          </w:p>
        </w:tc>
        <w:tc>
          <w:tcPr>
            <w:tcW w:w="7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4.00 %</w:t>
            </w:r>
          </w:p>
        </w:tc>
        <w:tc>
          <w:tcPr>
            <w:tcW w:w="260" w:type="dxa"/>
            <w:vAlign w:val="bottom"/>
          </w:tcPr>
          <w:p>
            <w:pPr>
              <w:spacing w:after="0"/>
              <w:rPr>
                <w:sz w:val="16"/>
                <w:szCs w:val="16"/>
                <w:color w:val="auto"/>
              </w:rPr>
            </w:pPr>
          </w:p>
        </w:tc>
        <w:tc>
          <w:tcPr>
            <w:tcW w:w="1020" w:type="dxa"/>
            <w:vAlign w:val="bottom"/>
          </w:tcPr>
          <w:p>
            <w:pPr>
              <w:jc w:val="right"/>
              <w:ind w:right="215"/>
              <w:spacing w:after="0" w:line="189" w:lineRule="exact"/>
              <w:rPr>
                <w:sz w:val="20"/>
                <w:szCs w:val="20"/>
                <w:color w:val="auto"/>
              </w:rPr>
            </w:pPr>
            <w:r>
              <w:rPr>
                <w:rFonts w:ascii="Arial" w:cs="Arial" w:eastAsia="Arial" w:hAnsi="Arial"/>
                <w:sz w:val="18"/>
                <w:szCs w:val="18"/>
                <w:color w:val="auto"/>
              </w:rPr>
              <w:t>N/A</w:t>
            </w:r>
          </w:p>
        </w:tc>
        <w:tc>
          <w:tcPr>
            <w:tcW w:w="700" w:type="dxa"/>
            <w:vAlign w:val="bottom"/>
          </w:tcPr>
          <w:p>
            <w:pPr>
              <w:jc w:val="right"/>
              <w:ind w:right="212"/>
              <w:spacing w:after="0" w:line="189"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89"/>
        </w:trPr>
        <w:tc>
          <w:tcPr>
            <w:tcW w:w="3100" w:type="dxa"/>
            <w:vAlign w:val="bottom"/>
            <w:gridSpan w:val="4"/>
            <w:shd w:val="clear" w:color="auto" w:fill="CCEEFF"/>
          </w:tcPr>
          <w:p>
            <w:pPr>
              <w:ind w:left="220"/>
              <w:spacing w:after="0" w:line="189" w:lineRule="exact"/>
              <w:rPr>
                <w:sz w:val="20"/>
                <w:szCs w:val="20"/>
                <w:color w:val="auto"/>
              </w:rPr>
            </w:pPr>
            <w:r>
              <w:rPr>
                <w:rFonts w:ascii="Arial" w:cs="Arial" w:eastAsia="Arial" w:hAnsi="Arial"/>
                <w:sz w:val="18"/>
                <w:szCs w:val="18"/>
                <w:color w:val="auto"/>
              </w:rPr>
              <w:t>Busey Bank</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831,371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11.25 %</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4"/>
              <w:spacing w:after="0" w:line="189" w:lineRule="exact"/>
              <w:rPr>
                <w:sz w:val="20"/>
                <w:szCs w:val="20"/>
                <w:color w:val="auto"/>
              </w:rPr>
            </w:pPr>
            <w:r>
              <w:rPr>
                <w:rFonts w:ascii="Arial" w:cs="Arial" w:eastAsia="Arial" w:hAnsi="Arial"/>
                <w:sz w:val="18"/>
                <w:szCs w:val="18"/>
                <w:color w:val="auto"/>
                <w:w w:val="95"/>
              </w:rPr>
              <w:t>295,723</w:t>
            </w:r>
          </w:p>
        </w:tc>
        <w:tc>
          <w:tcPr>
            <w:tcW w:w="7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4.00 %</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8"/>
                <w:szCs w:val="18"/>
                <w:color w:val="auto"/>
              </w:rPr>
              <w:t>369,654</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189"/>
        </w:trPr>
        <w:tc>
          <w:tcPr>
            <w:tcW w:w="3100" w:type="dxa"/>
            <w:vAlign w:val="bottom"/>
            <w:gridSpan w:val="4"/>
          </w:tcPr>
          <w:p>
            <w:pPr>
              <w:ind w:left="220"/>
              <w:spacing w:after="0" w:line="189" w:lineRule="exact"/>
              <w:rPr>
                <w:sz w:val="20"/>
                <w:szCs w:val="20"/>
                <w:color w:val="auto"/>
              </w:rPr>
            </w:pPr>
            <w:r>
              <w:rPr>
                <w:rFonts w:ascii="Arial" w:cs="Arial" w:eastAsia="Arial" w:hAnsi="Arial"/>
                <w:sz w:val="18"/>
                <w:szCs w:val="18"/>
                <w:color w:val="auto"/>
              </w:rPr>
              <w:t>TheBANK</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190,000</w:t>
            </w:r>
          </w:p>
        </w:tc>
        <w:tc>
          <w:tcPr>
            <w:tcW w:w="120" w:type="dxa"/>
            <w:vAlign w:val="bottom"/>
          </w:tcPr>
          <w:p>
            <w:pPr>
              <w:spacing w:after="0"/>
              <w:rPr>
                <w:sz w:val="16"/>
                <w:szCs w:val="16"/>
                <w:color w:val="auto"/>
              </w:rPr>
            </w:pPr>
          </w:p>
        </w:tc>
        <w:tc>
          <w:tcPr>
            <w:tcW w:w="8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11.10 %</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4"/>
              <w:spacing w:after="0" w:line="189" w:lineRule="exact"/>
              <w:rPr>
                <w:sz w:val="20"/>
                <w:szCs w:val="20"/>
                <w:color w:val="auto"/>
              </w:rPr>
            </w:pPr>
            <w:r>
              <w:rPr>
                <w:rFonts w:ascii="Arial" w:cs="Arial" w:eastAsia="Arial" w:hAnsi="Arial"/>
                <w:sz w:val="18"/>
                <w:szCs w:val="18"/>
                <w:color w:val="auto"/>
              </w:rPr>
              <w:t>68,472</w:t>
            </w:r>
          </w:p>
        </w:tc>
        <w:tc>
          <w:tcPr>
            <w:tcW w:w="7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4.00 %</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15"/>
              <w:spacing w:after="0" w:line="189" w:lineRule="exact"/>
              <w:rPr>
                <w:sz w:val="20"/>
                <w:szCs w:val="20"/>
                <w:color w:val="auto"/>
              </w:rPr>
            </w:pPr>
            <w:r>
              <w:rPr>
                <w:rFonts w:ascii="Arial" w:cs="Arial" w:eastAsia="Arial" w:hAnsi="Arial"/>
                <w:sz w:val="18"/>
                <w:szCs w:val="18"/>
                <w:color w:val="auto"/>
              </w:rPr>
              <w:t>85,589</w:t>
            </w:r>
          </w:p>
        </w:tc>
        <w:tc>
          <w:tcPr>
            <w:tcW w:w="700" w:type="dxa"/>
            <w:vAlign w:val="bottom"/>
          </w:tcPr>
          <w:p>
            <w:pPr>
              <w:jc w:val="right"/>
              <w:ind w:right="32"/>
              <w:spacing w:after="0" w:line="189" w:lineRule="exact"/>
              <w:rPr>
                <w:sz w:val="20"/>
                <w:szCs w:val="20"/>
                <w:color w:val="auto"/>
              </w:rPr>
            </w:pPr>
            <w:r>
              <w:rPr>
                <w:rFonts w:ascii="Arial" w:cs="Arial" w:eastAsia="Arial" w:hAnsi="Arial"/>
                <w:sz w:val="18"/>
                <w:szCs w:val="18"/>
                <w:color w:val="auto"/>
              </w:rPr>
              <w:t xml:space="preserve">5.00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2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Minimum</w:t>
            </w: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center"/>
              <w:ind w:left="235"/>
              <w:spacing w:after="0"/>
              <w:rPr>
                <w:sz w:val="20"/>
                <w:szCs w:val="20"/>
                <w:color w:val="auto"/>
              </w:rPr>
            </w:pPr>
            <w:r>
              <w:rPr>
                <w:rFonts w:ascii="Arial" w:cs="Arial" w:eastAsia="Arial" w:hAnsi="Arial"/>
                <w:sz w:val="14"/>
                <w:szCs w:val="14"/>
                <w:b w:val="1"/>
                <w:bCs w:val="1"/>
                <w:color w:val="auto"/>
              </w:rPr>
              <w:t>Minimum</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Actual</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left="235"/>
              <w:spacing w:after="0" w:line="149" w:lineRule="exact"/>
              <w:rPr>
                <w:sz w:val="20"/>
                <w:szCs w:val="20"/>
                <w:color w:val="auto"/>
              </w:rPr>
            </w:pPr>
            <w:r>
              <w:rPr>
                <w:rFonts w:ascii="Arial" w:cs="Arial" w:eastAsia="Arial" w:hAnsi="Arial"/>
                <w:sz w:val="14"/>
                <w:szCs w:val="14"/>
                <w:b w:val="1"/>
                <w:bCs w:val="1"/>
                <w:color w:val="auto"/>
                <w:w w:val="92"/>
              </w:rPr>
              <w:t>To Be Well</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w w:val="95"/>
              </w:rPr>
              <w:t>Capital Requirement</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235"/>
              <w:spacing w:after="0"/>
              <w:rPr>
                <w:sz w:val="20"/>
                <w:szCs w:val="20"/>
                <w:color w:val="auto"/>
              </w:rPr>
            </w:pPr>
            <w:r>
              <w:rPr>
                <w:rFonts w:ascii="Arial" w:cs="Arial" w:eastAsia="Arial" w:hAnsi="Arial"/>
                <w:sz w:val="14"/>
                <w:szCs w:val="14"/>
                <w:b w:val="1"/>
                <w:bCs w:val="1"/>
                <w:color w:val="auto"/>
                <w:w w:val="94"/>
              </w:rPr>
              <w:t>Capitalized</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840" w:type="dxa"/>
            <w:vAlign w:val="bottom"/>
            <w:tcBorders>
              <w:bottom w:val="single" w:sz="8" w:color="auto"/>
            </w:tcBorders>
          </w:tcPr>
          <w:p>
            <w:pPr>
              <w:jc w:val="center"/>
              <w:ind w:right="212"/>
              <w:spacing w:after="0" w:line="142" w:lineRule="exact"/>
              <w:rPr>
                <w:sz w:val="20"/>
                <w:szCs w:val="20"/>
                <w:color w:val="auto"/>
              </w:rPr>
            </w:pPr>
            <w:r>
              <w:rPr>
                <w:rFonts w:ascii="Arial" w:cs="Arial" w:eastAsia="Arial" w:hAnsi="Arial"/>
                <w:sz w:val="14"/>
                <w:szCs w:val="14"/>
                <w:b w:val="1"/>
                <w:bCs w:val="1"/>
                <w:color w:val="auto"/>
                <w:w w:val="97"/>
              </w:rPr>
              <w:t>Ratio</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w w:val="98"/>
              </w:rPr>
              <w:t>Amount</w:t>
            </w:r>
          </w:p>
        </w:tc>
        <w:tc>
          <w:tcPr>
            <w:tcW w:w="7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w w:val="91"/>
              </w:rPr>
              <w:t>Ratio</w:t>
            </w: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Amount</w:t>
            </w:r>
          </w:p>
        </w:tc>
        <w:tc>
          <w:tcPr>
            <w:tcW w:w="7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w w:val="91"/>
              </w:rPr>
              <w:t>Ratio</w:t>
            </w:r>
          </w:p>
        </w:tc>
        <w:tc>
          <w:tcPr>
            <w:tcW w:w="0" w:type="dxa"/>
            <w:vAlign w:val="bottom"/>
          </w:tcPr>
          <w:p>
            <w:pPr>
              <w:spacing w:after="0"/>
              <w:rPr>
                <w:sz w:val="1"/>
                <w:szCs w:val="1"/>
                <w:color w:val="auto"/>
              </w:rPr>
            </w:pPr>
          </w:p>
        </w:tc>
      </w:tr>
      <w:tr>
        <w:trPr>
          <w:trHeight w:val="183"/>
        </w:trPr>
        <w:tc>
          <w:tcPr>
            <w:tcW w:w="310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 of December 31, 2018:</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00" w:type="dxa"/>
            <w:vAlign w:val="bottom"/>
            <w:gridSpan w:val="4"/>
          </w:tcPr>
          <w:p>
            <w:pPr>
              <w:spacing w:after="0" w:line="162" w:lineRule="exact"/>
              <w:rPr>
                <w:sz w:val="20"/>
                <w:szCs w:val="20"/>
                <w:color w:val="auto"/>
              </w:rPr>
            </w:pPr>
            <w:r>
              <w:rPr>
                <w:rFonts w:ascii="Arial" w:cs="Arial" w:eastAsia="Arial" w:hAnsi="Arial"/>
                <w:sz w:val="18"/>
                <w:szCs w:val="18"/>
                <w:color w:val="auto"/>
                <w:w w:val="98"/>
              </w:rPr>
              <w:t>Total Capital (to Risk Weighted Assets)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tcBorders>
              <w:top w:val="single" w:sz="8" w:color="auto"/>
            </w:tcBorders>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Consolidated</w:t>
            </w:r>
          </w:p>
        </w:tc>
        <w:tc>
          <w:tcPr>
            <w:tcW w:w="24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894,572</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14.83 %</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4"/>
              <w:spacing w:after="0" w:line="189" w:lineRule="exact"/>
              <w:rPr>
                <w:sz w:val="20"/>
                <w:szCs w:val="20"/>
                <w:color w:val="auto"/>
              </w:rPr>
            </w:pPr>
            <w:r>
              <w:rPr>
                <w:rFonts w:ascii="Arial" w:cs="Arial" w:eastAsia="Arial" w:hAnsi="Arial"/>
                <w:sz w:val="18"/>
                <w:szCs w:val="18"/>
                <w:color w:val="auto"/>
                <w:w w:val="95"/>
              </w:rPr>
              <w:t>482,638</w:t>
            </w:r>
          </w:p>
        </w:tc>
        <w:tc>
          <w:tcPr>
            <w:tcW w:w="7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8.00 %</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8"/>
                <w:szCs w:val="18"/>
                <w:color w:val="auto"/>
              </w:rPr>
              <w:t>603,297</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189"/>
        </w:trPr>
        <w:tc>
          <w:tcPr>
            <w:tcW w:w="3100" w:type="dxa"/>
            <w:vAlign w:val="bottom"/>
            <w:gridSpan w:val="4"/>
          </w:tcPr>
          <w:p>
            <w:pPr>
              <w:ind w:left="220"/>
              <w:spacing w:after="0" w:line="189" w:lineRule="exact"/>
              <w:rPr>
                <w:sz w:val="20"/>
                <w:szCs w:val="20"/>
                <w:color w:val="auto"/>
              </w:rPr>
            </w:pPr>
            <w:r>
              <w:rPr>
                <w:rFonts w:ascii="Arial" w:cs="Arial" w:eastAsia="Arial" w:hAnsi="Arial"/>
                <w:sz w:val="18"/>
                <w:szCs w:val="18"/>
                <w:color w:val="auto"/>
              </w:rPr>
              <w:t>Busey Bank</w:t>
            </w:r>
          </w:p>
        </w:tc>
        <w:tc>
          <w:tcPr>
            <w:tcW w:w="14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854,351</w:t>
            </w:r>
          </w:p>
        </w:tc>
        <w:tc>
          <w:tcPr>
            <w:tcW w:w="120" w:type="dxa"/>
            <w:vAlign w:val="bottom"/>
          </w:tcPr>
          <w:p>
            <w:pPr>
              <w:spacing w:after="0"/>
              <w:rPr>
                <w:sz w:val="16"/>
                <w:szCs w:val="16"/>
                <w:color w:val="auto"/>
              </w:rPr>
            </w:pPr>
          </w:p>
        </w:tc>
        <w:tc>
          <w:tcPr>
            <w:tcW w:w="8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14.19 %</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4"/>
              <w:spacing w:after="0" w:line="189" w:lineRule="exact"/>
              <w:rPr>
                <w:sz w:val="20"/>
                <w:szCs w:val="20"/>
                <w:color w:val="auto"/>
              </w:rPr>
            </w:pPr>
            <w:r>
              <w:rPr>
                <w:rFonts w:ascii="Arial" w:cs="Arial" w:eastAsia="Arial" w:hAnsi="Arial"/>
                <w:sz w:val="18"/>
                <w:szCs w:val="18"/>
                <w:color w:val="auto"/>
                <w:w w:val="95"/>
              </w:rPr>
              <w:t>481,701</w:t>
            </w:r>
          </w:p>
        </w:tc>
        <w:tc>
          <w:tcPr>
            <w:tcW w:w="7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8.00 %</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15"/>
              <w:spacing w:after="0" w:line="189" w:lineRule="exact"/>
              <w:rPr>
                <w:sz w:val="20"/>
                <w:szCs w:val="20"/>
                <w:color w:val="auto"/>
              </w:rPr>
            </w:pPr>
            <w:r>
              <w:rPr>
                <w:rFonts w:ascii="Arial" w:cs="Arial" w:eastAsia="Arial" w:hAnsi="Arial"/>
                <w:sz w:val="18"/>
                <w:szCs w:val="18"/>
                <w:color w:val="auto"/>
              </w:rPr>
              <w:t>602,126</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00" w:type="dxa"/>
            <w:vAlign w:val="bottom"/>
            <w:gridSpan w:val="4"/>
          </w:tcPr>
          <w:p>
            <w:pPr>
              <w:spacing w:after="0" w:line="162" w:lineRule="exact"/>
              <w:rPr>
                <w:sz w:val="20"/>
                <w:szCs w:val="20"/>
                <w:color w:val="auto"/>
              </w:rPr>
            </w:pPr>
            <w:r>
              <w:rPr>
                <w:rFonts w:ascii="Arial" w:cs="Arial" w:eastAsia="Arial" w:hAnsi="Arial"/>
                <w:sz w:val="18"/>
                <w:szCs w:val="18"/>
                <w:color w:val="auto"/>
                <w:w w:val="96"/>
              </w:rPr>
              <w:t>Tier 1 Capital (to Risk Weighted Assets)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Borders>
              <w:top w:val="single" w:sz="8" w:color="auto"/>
            </w:tcBorders>
            <w:gridSpan w:val="3"/>
            <w:shd w:val="clear" w:color="auto" w:fill="CCEEFF"/>
          </w:tcPr>
          <w:p>
            <w:pPr>
              <w:ind w:left="220"/>
              <w:spacing w:after="0" w:line="189" w:lineRule="exact"/>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783,924</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12.99 %</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4"/>
              <w:spacing w:after="0" w:line="189" w:lineRule="exact"/>
              <w:rPr>
                <w:sz w:val="20"/>
                <w:szCs w:val="20"/>
                <w:color w:val="auto"/>
              </w:rPr>
            </w:pPr>
            <w:r>
              <w:rPr>
                <w:rFonts w:ascii="Arial" w:cs="Arial" w:eastAsia="Arial" w:hAnsi="Arial"/>
                <w:sz w:val="18"/>
                <w:szCs w:val="18"/>
                <w:color w:val="auto"/>
                <w:w w:val="95"/>
              </w:rPr>
              <w:t>361,978</w:t>
            </w:r>
          </w:p>
        </w:tc>
        <w:tc>
          <w:tcPr>
            <w:tcW w:w="7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6.00 %</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8"/>
                <w:szCs w:val="18"/>
                <w:color w:val="auto"/>
              </w:rPr>
              <w:t>482,638</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189"/>
        </w:trPr>
        <w:tc>
          <w:tcPr>
            <w:tcW w:w="3100" w:type="dxa"/>
            <w:vAlign w:val="bottom"/>
            <w:gridSpan w:val="4"/>
          </w:tcPr>
          <w:p>
            <w:pPr>
              <w:ind w:left="220"/>
              <w:spacing w:after="0" w:line="189" w:lineRule="exact"/>
              <w:rPr>
                <w:sz w:val="20"/>
                <w:szCs w:val="20"/>
                <w:color w:val="auto"/>
              </w:rPr>
            </w:pPr>
            <w:r>
              <w:rPr>
                <w:rFonts w:ascii="Arial" w:cs="Arial" w:eastAsia="Arial" w:hAnsi="Arial"/>
                <w:sz w:val="18"/>
                <w:szCs w:val="18"/>
                <w:color w:val="auto"/>
              </w:rPr>
              <w:t>Busey Bank</w:t>
            </w:r>
          </w:p>
        </w:tc>
        <w:tc>
          <w:tcPr>
            <w:tcW w:w="14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803,703</w:t>
            </w:r>
          </w:p>
        </w:tc>
        <w:tc>
          <w:tcPr>
            <w:tcW w:w="120" w:type="dxa"/>
            <w:vAlign w:val="bottom"/>
          </w:tcPr>
          <w:p>
            <w:pPr>
              <w:spacing w:after="0"/>
              <w:rPr>
                <w:sz w:val="16"/>
                <w:szCs w:val="16"/>
                <w:color w:val="auto"/>
              </w:rPr>
            </w:pPr>
          </w:p>
        </w:tc>
        <w:tc>
          <w:tcPr>
            <w:tcW w:w="8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13.35 %</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4"/>
              <w:spacing w:after="0" w:line="189" w:lineRule="exact"/>
              <w:rPr>
                <w:sz w:val="20"/>
                <w:szCs w:val="20"/>
                <w:color w:val="auto"/>
              </w:rPr>
            </w:pPr>
            <w:r>
              <w:rPr>
                <w:rFonts w:ascii="Arial" w:cs="Arial" w:eastAsia="Arial" w:hAnsi="Arial"/>
                <w:sz w:val="18"/>
                <w:szCs w:val="18"/>
                <w:color w:val="auto"/>
                <w:w w:val="95"/>
              </w:rPr>
              <w:t>361,276</w:t>
            </w:r>
          </w:p>
        </w:tc>
        <w:tc>
          <w:tcPr>
            <w:tcW w:w="7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6.00 %</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15"/>
              <w:spacing w:after="0" w:line="189" w:lineRule="exact"/>
              <w:rPr>
                <w:sz w:val="20"/>
                <w:szCs w:val="20"/>
                <w:color w:val="auto"/>
              </w:rPr>
            </w:pPr>
            <w:r>
              <w:rPr>
                <w:rFonts w:ascii="Arial" w:cs="Arial" w:eastAsia="Arial" w:hAnsi="Arial"/>
                <w:sz w:val="18"/>
                <w:szCs w:val="18"/>
                <w:color w:val="auto"/>
              </w:rPr>
              <w:t>481,701</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80" w:type="dxa"/>
            <w:vAlign w:val="bottom"/>
            <w:gridSpan w:val="7"/>
          </w:tcPr>
          <w:p>
            <w:pPr>
              <w:spacing w:after="0" w:line="162" w:lineRule="exact"/>
              <w:rPr>
                <w:sz w:val="20"/>
                <w:szCs w:val="20"/>
                <w:color w:val="auto"/>
              </w:rPr>
            </w:pPr>
            <w:r>
              <w:rPr>
                <w:rFonts w:ascii="Arial" w:cs="Arial" w:eastAsia="Arial" w:hAnsi="Arial"/>
                <w:sz w:val="18"/>
                <w:szCs w:val="18"/>
                <w:color w:val="auto"/>
                <w:w w:val="94"/>
              </w:rPr>
              <w:t>Common Equity Tier 1 Capital (to Risk Weighted Assets)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00" w:type="dxa"/>
            <w:vAlign w:val="bottom"/>
            <w:tcBorders>
              <w:top w:val="single" w:sz="8" w:color="auto"/>
            </w:tcBorders>
            <w:gridSpan w:val="4"/>
            <w:shd w:val="clear" w:color="auto" w:fill="CCEEFF"/>
          </w:tcPr>
          <w:p>
            <w:pPr>
              <w:ind w:left="220"/>
              <w:spacing w:after="0" w:line="189" w:lineRule="exact"/>
              <w:rPr>
                <w:sz w:val="20"/>
                <w:szCs w:val="20"/>
                <w:color w:val="auto"/>
              </w:rPr>
            </w:pPr>
            <w:r>
              <w:rPr>
                <w:rFonts w:ascii="Arial" w:cs="Arial" w:eastAsia="Arial" w:hAnsi="Arial"/>
                <w:sz w:val="18"/>
                <w:szCs w:val="18"/>
                <w:color w:val="auto"/>
              </w:rPr>
              <w:t>Consolidated</w:t>
            </w:r>
          </w:p>
        </w:tc>
        <w:tc>
          <w:tcPr>
            <w:tcW w:w="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709,924</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11.77 %</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4"/>
              <w:spacing w:after="0" w:line="189" w:lineRule="exact"/>
              <w:rPr>
                <w:sz w:val="20"/>
                <w:szCs w:val="20"/>
                <w:color w:val="auto"/>
              </w:rPr>
            </w:pPr>
            <w:r>
              <w:rPr>
                <w:rFonts w:ascii="Arial" w:cs="Arial" w:eastAsia="Arial" w:hAnsi="Arial"/>
                <w:sz w:val="18"/>
                <w:szCs w:val="18"/>
                <w:color w:val="auto"/>
                <w:w w:val="95"/>
              </w:rPr>
              <w:t>271,484</w:t>
            </w:r>
          </w:p>
        </w:tc>
        <w:tc>
          <w:tcPr>
            <w:tcW w:w="7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4.50 %</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8"/>
                <w:szCs w:val="18"/>
                <w:color w:val="auto"/>
              </w:rPr>
              <w:t>392,143</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189"/>
        </w:trPr>
        <w:tc>
          <w:tcPr>
            <w:tcW w:w="3100" w:type="dxa"/>
            <w:vAlign w:val="bottom"/>
            <w:gridSpan w:val="4"/>
          </w:tcPr>
          <w:p>
            <w:pPr>
              <w:ind w:left="220"/>
              <w:spacing w:after="0" w:line="189" w:lineRule="exact"/>
              <w:rPr>
                <w:sz w:val="20"/>
                <w:szCs w:val="20"/>
                <w:color w:val="auto"/>
              </w:rPr>
            </w:pPr>
            <w:r>
              <w:rPr>
                <w:rFonts w:ascii="Arial" w:cs="Arial" w:eastAsia="Arial" w:hAnsi="Arial"/>
                <w:sz w:val="18"/>
                <w:szCs w:val="18"/>
                <w:color w:val="auto"/>
              </w:rPr>
              <w:t>Busey Bank</w:t>
            </w:r>
          </w:p>
        </w:tc>
        <w:tc>
          <w:tcPr>
            <w:tcW w:w="14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803,703</w:t>
            </w:r>
          </w:p>
        </w:tc>
        <w:tc>
          <w:tcPr>
            <w:tcW w:w="120" w:type="dxa"/>
            <w:vAlign w:val="bottom"/>
          </w:tcPr>
          <w:p>
            <w:pPr>
              <w:spacing w:after="0"/>
              <w:rPr>
                <w:sz w:val="16"/>
                <w:szCs w:val="16"/>
                <w:color w:val="auto"/>
              </w:rPr>
            </w:pPr>
          </w:p>
        </w:tc>
        <w:tc>
          <w:tcPr>
            <w:tcW w:w="8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13.35 %</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4"/>
              <w:spacing w:after="0" w:line="189" w:lineRule="exact"/>
              <w:rPr>
                <w:sz w:val="20"/>
                <w:szCs w:val="20"/>
                <w:color w:val="auto"/>
              </w:rPr>
            </w:pPr>
            <w:r>
              <w:rPr>
                <w:rFonts w:ascii="Arial" w:cs="Arial" w:eastAsia="Arial" w:hAnsi="Arial"/>
                <w:sz w:val="18"/>
                <w:szCs w:val="18"/>
                <w:color w:val="auto"/>
                <w:w w:val="95"/>
              </w:rPr>
              <w:t>270,957</w:t>
            </w:r>
          </w:p>
        </w:tc>
        <w:tc>
          <w:tcPr>
            <w:tcW w:w="7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4.50 %</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15"/>
              <w:spacing w:after="0" w:line="189" w:lineRule="exact"/>
              <w:rPr>
                <w:sz w:val="20"/>
                <w:szCs w:val="20"/>
                <w:color w:val="auto"/>
              </w:rPr>
            </w:pPr>
            <w:r>
              <w:rPr>
                <w:rFonts w:ascii="Arial" w:cs="Arial" w:eastAsia="Arial" w:hAnsi="Arial"/>
                <w:sz w:val="18"/>
                <w:szCs w:val="18"/>
                <w:color w:val="auto"/>
              </w:rPr>
              <w:t>391,382</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60" w:type="dxa"/>
            <w:vAlign w:val="bottom"/>
            <w:tcBorders>
              <w:bottom w:val="single" w:sz="8" w:color="auto"/>
            </w:tcBorders>
          </w:tcPr>
          <w:p>
            <w:pPr>
              <w:spacing w:after="0" w:line="162" w:lineRule="exact"/>
              <w:rPr>
                <w:sz w:val="20"/>
                <w:szCs w:val="20"/>
                <w:color w:val="auto"/>
              </w:rPr>
            </w:pPr>
            <w:r>
              <w:rPr>
                <w:rFonts w:ascii="Arial" w:cs="Arial" w:eastAsia="Arial" w:hAnsi="Arial"/>
                <w:sz w:val="18"/>
                <w:szCs w:val="18"/>
                <w:color w:val="auto"/>
                <w:w w:val="90"/>
              </w:rPr>
              <w:t>Tier 1 Capital (to Average Assets)</w:t>
            </w:r>
          </w:p>
        </w:tc>
        <w:tc>
          <w:tcPr>
            <w:tcW w:w="6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00" w:type="dxa"/>
            <w:vAlign w:val="bottom"/>
            <w:gridSpan w:val="4"/>
            <w:shd w:val="clear" w:color="auto" w:fill="CCEEFF"/>
          </w:tcPr>
          <w:p>
            <w:pPr>
              <w:ind w:left="220"/>
              <w:spacing w:after="0" w:line="189" w:lineRule="exact"/>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783,924</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10.36 %</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4"/>
              <w:spacing w:after="0" w:line="189" w:lineRule="exact"/>
              <w:rPr>
                <w:sz w:val="20"/>
                <w:szCs w:val="20"/>
                <w:color w:val="auto"/>
              </w:rPr>
            </w:pPr>
            <w:r>
              <w:rPr>
                <w:rFonts w:ascii="Arial" w:cs="Arial" w:eastAsia="Arial" w:hAnsi="Arial"/>
                <w:sz w:val="18"/>
                <w:szCs w:val="18"/>
                <w:color w:val="auto"/>
                <w:w w:val="95"/>
              </w:rPr>
              <w:t>302,704</w:t>
            </w:r>
          </w:p>
        </w:tc>
        <w:tc>
          <w:tcPr>
            <w:tcW w:w="7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4.00 %</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ind w:right="212"/>
              <w:spacing w:after="0" w:line="189"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100" w:type="dxa"/>
            <w:vAlign w:val="bottom"/>
            <w:gridSpan w:val="4"/>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803,703</w:t>
            </w:r>
          </w:p>
        </w:tc>
        <w:tc>
          <w:tcPr>
            <w:tcW w:w="1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10.64 %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4"/>
              <w:spacing w:after="0"/>
              <w:rPr>
                <w:sz w:val="20"/>
                <w:szCs w:val="20"/>
                <w:color w:val="auto"/>
              </w:rPr>
            </w:pPr>
            <w:r>
              <w:rPr>
                <w:rFonts w:ascii="Arial" w:cs="Arial" w:eastAsia="Arial" w:hAnsi="Arial"/>
                <w:sz w:val="18"/>
                <w:szCs w:val="18"/>
                <w:color w:val="auto"/>
                <w:w w:val="95"/>
              </w:rPr>
              <w:t>302,232</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377,789</w:t>
            </w:r>
          </w:p>
        </w:tc>
        <w:tc>
          <w:tcPr>
            <w:tcW w:w="700" w:type="dxa"/>
            <w:vAlign w:val="bottom"/>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688"/>
        </w:trPr>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right="252"/>
              <w:spacing w:after="0"/>
              <w:rPr>
                <w:sz w:val="20"/>
                <w:szCs w:val="20"/>
                <w:color w:val="auto"/>
              </w:rPr>
            </w:pPr>
            <w:r>
              <w:rPr>
                <w:rFonts w:ascii="Arial" w:cs="Arial" w:eastAsia="Arial" w:hAnsi="Arial"/>
                <w:sz w:val="18"/>
                <w:szCs w:val="18"/>
                <w:color w:val="auto"/>
                <w:w w:val="89"/>
              </w:rPr>
              <w:t>28</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In July 2013, the U.S. federal banking authorities approved the Basel III Rule for strengthening international capital standards. The Basel III Rule introduced a capital conservation buffer, composed entirely of Common Equity Tier 1 Capital (“CET1”), which is added to the minimum risk-weighted asset ratios. The capital conservation buffer is not a minimum capital requirement; however, banking institutions with a ratio of CET1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CET1 to risk-weighted assets of at least 7.0%, (ii) Tier 1 capital to risk-weighted assets of at least 8.5%, and (iii) Total capital to risk-weighted assets of at least 10.5%.</w:t>
      </w:r>
    </w:p>
    <w:p>
      <w:pPr>
        <w:spacing w:after="0" w:line="57"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The ability of the Company to pay cash dividends to its stockholders and to service its debt was historically dependent on the receipt of cash dividends from its subsidiaries. Under applicable regulatory requirements, an Illinois state-chartered bank such as Busey Bank may not pay dividends in excess of its net profits. Because Busey Bank had been in an accumulated deficit position since 2009, it was not able to pay dividends in prior years. With prior approval from its regulators, however, an Illinois state-chartered bank in that situation was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$40.0 million on October 12, 2018. Busey Bank returned to positive retained earnings in the second quarter of 2018. Busey Bank will return to paying dividends in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Operating Segments and Related Information</w:t>
      </w:r>
    </w:p>
    <w:p>
      <w:pPr>
        <w:spacing w:after="0" w:line="148"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The Company has three reportable operating segments, Banking, Remittance Processing and Wealth Management. The Banking operating segment provides a full range of banking services to individual and corporate customers through its banking center network in Illinois, St. Louis, Missouri metropolitan area, southwest Florida and through its banking center in Indianapolis, Indiana. Banking services for Busey Bank and TheBANK are aggregated into the banking operating segment as they have similar operations and activities.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12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23"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the “Note 1. Significant Accounting Policies” to Form 10-K. The Company accounts for intersegment revenue and transfers at current market value.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Following is a summary of selected financial information for the Company’s operating segments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0" w:type="dxa"/>
            <w:vAlign w:val="bottom"/>
            <w:gridSpan w:val="2"/>
          </w:tcPr>
          <w:p>
            <w:pPr>
              <w:jc w:val="right"/>
              <w:ind w:right="1133"/>
              <w:spacing w:after="0"/>
              <w:rPr>
                <w:sz w:val="20"/>
                <w:szCs w:val="20"/>
                <w:color w:val="auto"/>
              </w:rPr>
            </w:pPr>
            <w:r>
              <w:rPr>
                <w:rFonts w:ascii="Arial" w:cs="Arial" w:eastAsia="Arial" w:hAnsi="Arial"/>
                <w:sz w:val="14"/>
                <w:szCs w:val="14"/>
                <w:b w:val="1"/>
                <w:bCs w:val="1"/>
                <w:color w:val="auto"/>
                <w:w w:val="94"/>
              </w:rPr>
              <w:t>Goodwill</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Assets</w:t>
            </w:r>
          </w:p>
        </w:tc>
      </w:tr>
      <w:tr>
        <w:trPr>
          <w:trHeight w:val="142"/>
        </w:trPr>
        <w:tc>
          <w:tcPr>
            <w:tcW w:w="318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March 31, 2019</w:t>
            </w:r>
          </w:p>
        </w:tc>
        <w:tc>
          <w:tcPr>
            <w:tcW w:w="3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12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March 31, 2019</w:t>
            </w:r>
          </w:p>
        </w:tc>
        <w:tc>
          <w:tcPr>
            <w:tcW w:w="4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5"/>
              </w:rPr>
              <w:t>December 31, 2018</w:t>
            </w:r>
          </w:p>
        </w:tc>
        <w:tc>
          <w:tcPr>
            <w:tcW w:w="20" w:type="dxa"/>
            <w:vAlign w:val="bottom"/>
          </w:tcPr>
          <w:p>
            <w:pPr>
              <w:spacing w:after="0"/>
              <w:rPr>
                <w:sz w:val="12"/>
                <w:szCs w:val="12"/>
                <w:color w:val="auto"/>
              </w:rPr>
            </w:pPr>
          </w:p>
        </w:tc>
      </w:tr>
      <w:tr>
        <w:trPr>
          <w:trHeight w:val="183"/>
        </w:trPr>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Banking</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293,657</w:t>
            </w:r>
          </w:p>
        </w:tc>
        <w:tc>
          <w:tcPr>
            <w:tcW w:w="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246,999</w:t>
            </w:r>
          </w:p>
        </w:tc>
        <w:tc>
          <w:tcPr>
            <w:tcW w:w="360" w:type="dxa"/>
            <w:vAlign w:val="bottom"/>
            <w:shd w:val="clear" w:color="auto" w:fill="CCEEFF"/>
          </w:tcPr>
          <w:p>
            <w:pPr>
              <w:jc w:val="right"/>
              <w:ind w:right="36"/>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9,499,513</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7,656,709</w:t>
            </w:r>
          </w:p>
        </w:tc>
        <w:tc>
          <w:tcPr>
            <w:tcW w:w="20" w:type="dxa"/>
            <w:vAlign w:val="bottom"/>
          </w:tcPr>
          <w:p>
            <w:pPr>
              <w:spacing w:after="0"/>
              <w:rPr>
                <w:sz w:val="16"/>
                <w:szCs w:val="16"/>
                <w:color w:val="auto"/>
              </w:rPr>
            </w:pP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8"/>
                <w:szCs w:val="18"/>
                <w:color w:val="auto"/>
              </w:rPr>
              <w:t>Remittance Processing</w:t>
            </w:r>
          </w:p>
        </w:tc>
        <w:tc>
          <w:tcPr>
            <w:tcW w:w="2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8,992</w:t>
            </w:r>
          </w:p>
        </w:tc>
        <w:tc>
          <w:tcPr>
            <w:tcW w:w="380" w:type="dxa"/>
            <w:vAlign w:val="bottom"/>
          </w:tcPr>
          <w:p>
            <w:pPr>
              <w:spacing w:after="0"/>
              <w:rPr>
                <w:sz w:val="16"/>
                <w:szCs w:val="16"/>
                <w:color w:val="auto"/>
              </w:rPr>
            </w:pPr>
          </w:p>
        </w:tc>
        <w:tc>
          <w:tcPr>
            <w:tcW w:w="1420" w:type="dxa"/>
            <w:vAlign w:val="bottom"/>
          </w:tcPr>
          <w:p>
            <w:pPr>
              <w:jc w:val="right"/>
              <w:ind w:right="73"/>
              <w:spacing w:after="0" w:line="189" w:lineRule="exact"/>
              <w:rPr>
                <w:sz w:val="20"/>
                <w:szCs w:val="20"/>
                <w:color w:val="auto"/>
              </w:rPr>
            </w:pPr>
            <w:r>
              <w:rPr>
                <w:rFonts w:ascii="Arial" w:cs="Arial" w:eastAsia="Arial" w:hAnsi="Arial"/>
                <w:sz w:val="18"/>
                <w:szCs w:val="18"/>
                <w:color w:val="auto"/>
              </w:rPr>
              <w:t>8,992</w:t>
            </w:r>
          </w:p>
        </w:tc>
        <w:tc>
          <w:tcPr>
            <w:tcW w:w="3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41,467</w:t>
            </w:r>
          </w:p>
        </w:tc>
        <w:tc>
          <w:tcPr>
            <w:tcW w:w="4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39,278</w:t>
            </w:r>
          </w:p>
        </w:tc>
        <w:tc>
          <w:tcPr>
            <w:tcW w:w="20" w:type="dxa"/>
            <w:vAlign w:val="bottom"/>
          </w:tcPr>
          <w:p>
            <w:pPr>
              <w:spacing w:after="0"/>
              <w:rPr>
                <w:sz w:val="16"/>
                <w:szCs w:val="16"/>
                <w:color w:val="auto"/>
              </w:rPr>
            </w:pPr>
          </w:p>
        </w:tc>
      </w:tr>
      <w:tr>
        <w:trPr>
          <w:trHeight w:val="189"/>
        </w:trPr>
        <w:tc>
          <w:tcPr>
            <w:tcW w:w="3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Wealth Management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11,694</w:t>
            </w: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11,694</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22,894</w:t>
            </w: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20,992</w:t>
            </w:r>
          </w:p>
        </w:tc>
        <w:tc>
          <w:tcPr>
            <w:tcW w:w="20" w:type="dxa"/>
            <w:vAlign w:val="bottom"/>
          </w:tcPr>
          <w:p>
            <w:pPr>
              <w:spacing w:after="0"/>
              <w:rPr>
                <w:sz w:val="16"/>
                <w:szCs w:val="16"/>
                <w:color w:val="auto"/>
              </w:rPr>
            </w:pPr>
          </w:p>
        </w:tc>
      </w:tr>
      <w:tr>
        <w:trPr>
          <w:trHeight w:val="189"/>
        </w:trPr>
        <w:tc>
          <w:tcPr>
            <w:tcW w:w="31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3"/>
              <w:spacing w:after="0" w:line="189"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296"/>
              <w:spacing w:after="0" w:line="189" w:lineRule="exact"/>
              <w:rPr>
                <w:sz w:val="20"/>
                <w:szCs w:val="20"/>
                <w:color w:val="auto"/>
              </w:rPr>
            </w:pPr>
            <w:r>
              <w:rPr>
                <w:rFonts w:ascii="Arial" w:cs="Arial" w:eastAsia="Arial" w:hAnsi="Arial"/>
                <w:sz w:val="18"/>
                <w:szCs w:val="18"/>
                <w:color w:val="auto"/>
              </w:rPr>
              <w:t>(26,540)</w:t>
            </w: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(14,622)</w:t>
            </w:r>
          </w:p>
        </w:tc>
        <w:tc>
          <w:tcPr>
            <w:tcW w:w="20" w:type="dxa"/>
            <w:vAlign w:val="bottom"/>
          </w:tcPr>
          <w:p>
            <w:pPr>
              <w:spacing w:after="0"/>
              <w:rPr>
                <w:sz w:val="16"/>
                <w:szCs w:val="16"/>
                <w:color w:val="auto"/>
              </w:rPr>
            </w:pPr>
          </w:p>
        </w:tc>
      </w:tr>
      <w:tr>
        <w:trPr>
          <w:trHeight w:val="217"/>
        </w:trPr>
        <w:tc>
          <w:tcPr>
            <w:tcW w:w="3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Totals</w:t>
            </w: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314,343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267,685</w:t>
            </w:r>
          </w:p>
        </w:tc>
        <w:tc>
          <w:tcPr>
            <w:tcW w:w="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9,537,334</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7,702,357</w:t>
            </w:r>
          </w:p>
        </w:tc>
        <w:tc>
          <w:tcPr>
            <w:tcW w:w="20" w:type="dxa"/>
            <w:vAlign w:val="bottom"/>
          </w:tcPr>
          <w:p>
            <w:pPr>
              <w:spacing w:after="0"/>
              <w:rPr>
                <w:sz w:val="18"/>
                <w:szCs w:val="18"/>
                <w:color w:val="auto"/>
              </w:rPr>
            </w:pPr>
          </w:p>
        </w:tc>
      </w:tr>
      <w:tr>
        <w:trPr>
          <w:trHeight w:val="810"/>
        </w:trPr>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3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2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142"/>
        </w:trPr>
        <w:tc>
          <w:tcPr>
            <w:tcW w:w="8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45"/>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r>
      <w:tr>
        <w:trPr>
          <w:trHeight w:val="163"/>
        </w:trPr>
        <w:tc>
          <w:tcPr>
            <w:tcW w:w="146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9"/>
              </w:rPr>
              <w:t>Net interest income:</w:t>
            </w:r>
          </w:p>
        </w:tc>
        <w:tc>
          <w:tcPr>
            <w:tcW w:w="2320" w:type="dxa"/>
            <w:vAlign w:val="bottom"/>
            <w:tcBorders>
              <w:bottom w:val="single" w:sz="8" w:color="CCEEFF"/>
            </w:tcBorders>
            <w:gridSpan w:val="4"/>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r>
      <w:tr>
        <w:trPr>
          <w:trHeight w:val="189"/>
        </w:trPr>
        <w:tc>
          <w:tcPr>
            <w:tcW w:w="3780" w:type="dxa"/>
            <w:vAlign w:val="bottom"/>
            <w:gridSpan w:val="6"/>
          </w:tcPr>
          <w:p>
            <w:pPr>
              <w:ind w:left="100"/>
              <w:spacing w:after="0" w:line="189" w:lineRule="exact"/>
              <w:rPr>
                <w:sz w:val="20"/>
                <w:szCs w:val="20"/>
                <w:color w:val="auto"/>
              </w:rPr>
            </w:pPr>
            <w:r>
              <w:rPr>
                <w:rFonts w:ascii="Arial" w:cs="Arial" w:eastAsia="Arial" w:hAnsi="Arial"/>
                <w:sz w:val="18"/>
                <w:szCs w:val="18"/>
                <w:color w:val="auto"/>
              </w:rPr>
              <w:t>Banking</w:t>
            </w:r>
          </w:p>
        </w:tc>
        <w:tc>
          <w:tcPr>
            <w:tcW w:w="2080" w:type="dxa"/>
            <w:vAlign w:val="bottom"/>
            <w:gridSpan w:val="2"/>
          </w:tcPr>
          <w:p>
            <w:pPr>
              <w:jc w:val="right"/>
              <w:ind w:right="906"/>
              <w:spacing w:after="0" w:line="189"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w w:val="98"/>
              </w:rPr>
              <w:t>70,638</w:t>
            </w:r>
          </w:p>
        </w:tc>
        <w:tc>
          <w:tcPr>
            <w:tcW w:w="380" w:type="dxa"/>
            <w:vAlign w:val="bottom"/>
          </w:tcPr>
          <w:p>
            <w:pPr>
              <w:spacing w:after="0"/>
              <w:rPr>
                <w:sz w:val="16"/>
                <w:szCs w:val="16"/>
                <w:color w:val="auto"/>
              </w:rPr>
            </w:pPr>
          </w:p>
        </w:tc>
        <w:tc>
          <w:tcPr>
            <w:tcW w:w="1160" w:type="dxa"/>
            <w:vAlign w:val="bottom"/>
          </w:tcPr>
          <w:p>
            <w:pPr>
              <w:jc w:val="right"/>
              <w:ind w:right="100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61,416</w:t>
            </w:r>
          </w:p>
        </w:tc>
        <w:tc>
          <w:tcPr>
            <w:tcW w:w="380" w:type="dxa"/>
            <w:vAlign w:val="bottom"/>
          </w:tcPr>
          <w:p>
            <w:pPr>
              <w:spacing w:after="0"/>
              <w:rPr>
                <w:sz w:val="16"/>
                <w:szCs w:val="16"/>
                <w:color w:val="auto"/>
              </w:rPr>
            </w:pPr>
          </w:p>
        </w:tc>
      </w:tr>
      <w:tr>
        <w:trPr>
          <w:trHeight w:val="189"/>
        </w:trPr>
        <w:tc>
          <w:tcPr>
            <w:tcW w:w="3780" w:type="dxa"/>
            <w:vAlign w:val="bottom"/>
            <w:gridSpan w:val="6"/>
            <w:shd w:val="clear" w:color="auto" w:fill="CCEEFF"/>
          </w:tcPr>
          <w:p>
            <w:pPr>
              <w:ind w:left="100"/>
              <w:spacing w:after="0" w:line="189" w:lineRule="exact"/>
              <w:rPr>
                <w:sz w:val="20"/>
                <w:szCs w:val="20"/>
                <w:color w:val="auto"/>
              </w:rPr>
            </w:pPr>
            <w:r>
              <w:rPr>
                <w:rFonts w:ascii="Arial" w:cs="Arial" w:eastAsia="Arial" w:hAnsi="Arial"/>
                <w:sz w:val="18"/>
                <w:szCs w:val="18"/>
                <w:color w:val="auto"/>
              </w:rPr>
              <w:t>Remittance Processing</w:t>
            </w: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6"/>
                <w:szCs w:val="16"/>
                <w:color w:val="auto"/>
              </w:rPr>
            </w:pPr>
          </w:p>
        </w:tc>
      </w:tr>
      <w:tr>
        <w:trPr>
          <w:trHeight w:val="189"/>
        </w:trPr>
        <w:tc>
          <w:tcPr>
            <w:tcW w:w="3780" w:type="dxa"/>
            <w:vAlign w:val="bottom"/>
            <w:gridSpan w:val="6"/>
          </w:tcPr>
          <w:p>
            <w:pPr>
              <w:ind w:left="100"/>
              <w:spacing w:after="0" w:line="189" w:lineRule="exact"/>
              <w:rPr>
                <w:sz w:val="20"/>
                <w:szCs w:val="20"/>
                <w:color w:val="auto"/>
              </w:rPr>
            </w:pPr>
            <w:r>
              <w:rPr>
                <w:rFonts w:ascii="Arial" w:cs="Arial" w:eastAsia="Arial" w:hAnsi="Arial"/>
                <w:sz w:val="18"/>
                <w:szCs w:val="18"/>
                <w:color w:val="auto"/>
              </w:rPr>
              <w:t>Wealth Management</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gridSpan w:val="2"/>
          </w:tcPr>
          <w:p>
            <w:pPr>
              <w:jc w:val="right"/>
              <w:ind w:right="440"/>
              <w:spacing w:after="0" w:line="189"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94</w:t>
            </w:r>
          </w:p>
        </w:tc>
        <w:tc>
          <w:tcPr>
            <w:tcW w:w="380" w:type="dxa"/>
            <w:vAlign w:val="bottom"/>
          </w:tcPr>
          <w:p>
            <w:pPr>
              <w:spacing w:after="0"/>
              <w:rPr>
                <w:sz w:val="16"/>
                <w:szCs w:val="16"/>
                <w:color w:val="auto"/>
              </w:rPr>
            </w:pPr>
          </w:p>
        </w:tc>
      </w:tr>
      <w:tr>
        <w:trPr>
          <w:trHeight w:val="189"/>
        </w:trPr>
        <w:tc>
          <w:tcPr>
            <w:tcW w:w="3780" w:type="dxa"/>
            <w:vAlign w:val="bottom"/>
            <w:gridSpan w:val="6"/>
            <w:shd w:val="clear" w:color="auto" w:fill="CCEEFF"/>
          </w:tcPr>
          <w:p>
            <w:pPr>
              <w:ind w:left="100"/>
              <w:spacing w:after="0" w:line="189" w:lineRule="exact"/>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(2,273)</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8"/>
                <w:szCs w:val="18"/>
                <w:color w:val="auto"/>
              </w:rPr>
              <w:t>(1,769)</w:t>
            </w:r>
          </w:p>
        </w:tc>
      </w:tr>
      <w:tr>
        <w:trPr>
          <w:trHeight w:val="190"/>
        </w:trPr>
        <w:tc>
          <w:tcPr>
            <w:tcW w:w="3780" w:type="dxa"/>
            <w:vAlign w:val="bottom"/>
            <w:tcBorders>
              <w:bottom w:val="single" w:sz="8" w:color="CCEEFF"/>
            </w:tcBorders>
            <w:gridSpan w:val="6"/>
          </w:tcPr>
          <w:p>
            <w:pPr>
              <w:ind w:left="320"/>
              <w:spacing w:after="0" w:line="182" w:lineRule="exact"/>
              <w:rPr>
                <w:sz w:val="20"/>
                <w:szCs w:val="20"/>
                <w:color w:val="auto"/>
              </w:rPr>
            </w:pPr>
            <w:r>
              <w:rPr>
                <w:rFonts w:ascii="Arial" w:cs="Arial" w:eastAsia="Arial" w:hAnsi="Arial"/>
                <w:sz w:val="18"/>
                <w:szCs w:val="18"/>
                <w:color w:val="auto"/>
              </w:rPr>
              <w:t>Total net interest income</w:t>
            </w:r>
          </w:p>
        </w:tc>
        <w:tc>
          <w:tcPr>
            <w:tcW w:w="102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8"/>
              </w:rPr>
              <w:t>68,383</w:t>
            </w:r>
          </w:p>
        </w:tc>
        <w:tc>
          <w:tcPr>
            <w:tcW w:w="38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10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59,757</w:t>
            </w:r>
          </w:p>
        </w:tc>
        <w:tc>
          <w:tcPr>
            <w:tcW w:w="380" w:type="dxa"/>
            <w:vAlign w:val="bottom"/>
            <w:tcBorders>
              <w:bottom w:val="single" w:sz="8" w:color="CCEEFF"/>
            </w:tcBorders>
          </w:tcPr>
          <w:p>
            <w:pPr>
              <w:spacing w:after="0"/>
              <w:rPr>
                <w:sz w:val="16"/>
                <w:szCs w:val="16"/>
                <w:color w:val="auto"/>
              </w:rPr>
            </w:pPr>
          </w:p>
        </w:tc>
      </w:tr>
      <w:tr>
        <w:trPr>
          <w:trHeight w:val="189"/>
        </w:trPr>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169"/>
        </w:trPr>
        <w:tc>
          <w:tcPr>
            <w:tcW w:w="3780" w:type="dxa"/>
            <w:vAlign w:val="bottom"/>
            <w:gridSpan w:val="6"/>
          </w:tcPr>
          <w:p>
            <w:pPr>
              <w:spacing w:after="0" w:line="162" w:lineRule="exact"/>
              <w:rPr>
                <w:sz w:val="20"/>
                <w:szCs w:val="20"/>
                <w:color w:val="auto"/>
              </w:rPr>
            </w:pPr>
            <w:r>
              <w:rPr>
                <w:rFonts w:ascii="Arial" w:cs="Arial" w:eastAsia="Arial" w:hAnsi="Arial"/>
                <w:sz w:val="18"/>
                <w:szCs w:val="18"/>
                <w:color w:val="auto"/>
              </w:rPr>
              <w:t>Non-interest income:</w:t>
            </w: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9"/>
        </w:trPr>
        <w:tc>
          <w:tcPr>
            <w:tcW w:w="1520" w:type="dxa"/>
            <w:vAlign w:val="bottom"/>
            <w:tcBorders>
              <w:top w:val="single" w:sz="8" w:color="auto"/>
            </w:tcBorders>
            <w:gridSpan w:val="3"/>
            <w:shd w:val="clear" w:color="auto" w:fill="CCEEFF"/>
          </w:tcPr>
          <w:p>
            <w:pPr>
              <w:ind w:left="100"/>
              <w:spacing w:after="0" w:line="189" w:lineRule="exact"/>
              <w:rPr>
                <w:sz w:val="20"/>
                <w:szCs w:val="20"/>
                <w:color w:val="auto"/>
              </w:rPr>
            </w:pPr>
            <w:r>
              <w:rPr>
                <w:rFonts w:ascii="Arial" w:cs="Arial" w:eastAsia="Arial" w:hAnsi="Arial"/>
                <w:sz w:val="18"/>
                <w:szCs w:val="18"/>
                <w:color w:val="auto"/>
              </w:rPr>
              <w:t>Banking</w:t>
            </w:r>
          </w:p>
        </w:tc>
        <w:tc>
          <w:tcPr>
            <w:tcW w:w="2260" w:type="dxa"/>
            <w:vAlign w:val="bottom"/>
            <w:gridSpan w:val="3"/>
            <w:shd w:val="clear" w:color="auto" w:fill="CCEEFF"/>
          </w:tcPr>
          <w:p>
            <w:pPr>
              <w:spacing w:after="0"/>
              <w:rPr>
                <w:sz w:val="16"/>
                <w:szCs w:val="16"/>
                <w:color w:val="auto"/>
              </w:rPr>
            </w:pPr>
          </w:p>
        </w:tc>
        <w:tc>
          <w:tcPr>
            <w:tcW w:w="2080" w:type="dxa"/>
            <w:vAlign w:val="bottom"/>
            <w:gridSpan w:val="2"/>
            <w:shd w:val="clear" w:color="auto" w:fill="CCEEFF"/>
          </w:tcPr>
          <w:p>
            <w:pPr>
              <w:jc w:val="right"/>
              <w:ind w:right="906"/>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12,783</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10,897</w:t>
            </w:r>
          </w:p>
        </w:tc>
        <w:tc>
          <w:tcPr>
            <w:tcW w:w="380" w:type="dxa"/>
            <w:vAlign w:val="bottom"/>
            <w:shd w:val="clear" w:color="auto" w:fill="CCEEFF"/>
          </w:tcPr>
          <w:p>
            <w:pPr>
              <w:spacing w:after="0"/>
              <w:rPr>
                <w:sz w:val="16"/>
                <w:szCs w:val="16"/>
                <w:color w:val="auto"/>
              </w:rPr>
            </w:pPr>
          </w:p>
        </w:tc>
      </w:tr>
      <w:tr>
        <w:trPr>
          <w:trHeight w:val="189"/>
        </w:trPr>
        <w:tc>
          <w:tcPr>
            <w:tcW w:w="3780" w:type="dxa"/>
            <w:vAlign w:val="bottom"/>
            <w:gridSpan w:val="6"/>
          </w:tcPr>
          <w:p>
            <w:pPr>
              <w:ind w:left="100"/>
              <w:spacing w:after="0" w:line="189" w:lineRule="exact"/>
              <w:rPr>
                <w:sz w:val="20"/>
                <w:szCs w:val="20"/>
                <w:color w:val="auto"/>
              </w:rPr>
            </w:pPr>
            <w:r>
              <w:rPr>
                <w:rFonts w:ascii="Arial" w:cs="Arial" w:eastAsia="Arial" w:hAnsi="Arial"/>
                <w:sz w:val="18"/>
                <w:szCs w:val="18"/>
                <w:color w:val="auto"/>
              </w:rPr>
              <w:t>Remittance Processing</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4,181</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3,783</w:t>
            </w:r>
          </w:p>
        </w:tc>
        <w:tc>
          <w:tcPr>
            <w:tcW w:w="380" w:type="dxa"/>
            <w:vAlign w:val="bottom"/>
          </w:tcPr>
          <w:p>
            <w:pPr>
              <w:spacing w:after="0"/>
              <w:rPr>
                <w:sz w:val="16"/>
                <w:szCs w:val="16"/>
                <w:color w:val="auto"/>
              </w:rPr>
            </w:pPr>
          </w:p>
        </w:tc>
      </w:tr>
      <w:tr>
        <w:trPr>
          <w:trHeight w:val="189"/>
        </w:trPr>
        <w:tc>
          <w:tcPr>
            <w:tcW w:w="3780" w:type="dxa"/>
            <w:vAlign w:val="bottom"/>
            <w:gridSpan w:val="6"/>
            <w:shd w:val="clear" w:color="auto" w:fill="CCEEFF"/>
          </w:tcPr>
          <w:p>
            <w:pPr>
              <w:ind w:left="100"/>
              <w:spacing w:after="0" w:line="189" w:lineRule="exact"/>
              <w:rPr>
                <w:sz w:val="20"/>
                <w:szCs w:val="20"/>
                <w:color w:val="auto"/>
              </w:rPr>
            </w:pPr>
            <w:r>
              <w:rPr>
                <w:rFonts w:ascii="Arial" w:cs="Arial" w:eastAsia="Arial" w:hAnsi="Arial"/>
                <w:sz w:val="18"/>
                <w:szCs w:val="18"/>
                <w:color w:val="auto"/>
              </w:rPr>
              <w:t>Wealth Management</w:t>
            </w: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9,133</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8,641</w:t>
            </w:r>
          </w:p>
        </w:tc>
        <w:tc>
          <w:tcPr>
            <w:tcW w:w="380" w:type="dxa"/>
            <w:vAlign w:val="bottom"/>
            <w:shd w:val="clear" w:color="auto" w:fill="CCEEFF"/>
          </w:tcPr>
          <w:p>
            <w:pPr>
              <w:spacing w:after="0"/>
              <w:rPr>
                <w:sz w:val="16"/>
                <w:szCs w:val="16"/>
                <w:color w:val="auto"/>
              </w:rPr>
            </w:pPr>
          </w:p>
        </w:tc>
      </w:tr>
      <w:tr>
        <w:trPr>
          <w:trHeight w:val="189"/>
        </w:trPr>
        <w:tc>
          <w:tcPr>
            <w:tcW w:w="3780" w:type="dxa"/>
            <w:vAlign w:val="bottom"/>
            <w:gridSpan w:val="6"/>
          </w:tcPr>
          <w:p>
            <w:pPr>
              <w:ind w:left="100"/>
              <w:spacing w:after="0" w:line="189" w:lineRule="exact"/>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(152)</w:t>
            </w:r>
          </w:p>
        </w:tc>
        <w:tc>
          <w:tcPr>
            <w:tcW w:w="116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(835)</w:t>
            </w:r>
          </w:p>
        </w:tc>
      </w:tr>
      <w:tr>
        <w:trPr>
          <w:trHeight w:val="190"/>
        </w:trPr>
        <w:tc>
          <w:tcPr>
            <w:tcW w:w="3780" w:type="dxa"/>
            <w:vAlign w:val="bottom"/>
            <w:tcBorders>
              <w:top w:val="single" w:sz="8" w:color="CCEEFF"/>
              <w:bottom w:val="single" w:sz="8" w:color="CCEEFF"/>
            </w:tcBorders>
            <w:gridSpan w:val="6"/>
            <w:shd w:val="clear" w:color="auto" w:fill="CCEEFF"/>
          </w:tcPr>
          <w:p>
            <w:pPr>
              <w:ind w:left="320"/>
              <w:spacing w:after="0" w:line="182" w:lineRule="exact"/>
              <w:rPr>
                <w:sz w:val="20"/>
                <w:szCs w:val="20"/>
                <w:color w:val="auto"/>
              </w:rPr>
            </w:pPr>
            <w:r>
              <w:rPr>
                <w:rFonts w:ascii="Arial" w:cs="Arial" w:eastAsia="Arial" w:hAnsi="Arial"/>
                <w:sz w:val="18"/>
                <w:szCs w:val="18"/>
                <w:color w:val="auto"/>
              </w:rPr>
              <w:t>Total non-interest income</w:t>
            </w: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25,945</w:t>
            </w: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22,486</w:t>
            </w: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69"/>
        </w:trPr>
        <w:tc>
          <w:tcPr>
            <w:tcW w:w="1580" w:type="dxa"/>
            <w:vAlign w:val="bottom"/>
            <w:tcBorders>
              <w:bottom w:val="single" w:sz="8" w:color="auto"/>
            </w:tcBorders>
            <w:gridSpan w:val="4"/>
            <w:shd w:val="clear" w:color="auto" w:fill="CCEEFF"/>
          </w:tcPr>
          <w:p>
            <w:pPr>
              <w:spacing w:after="0" w:line="162" w:lineRule="exact"/>
              <w:rPr>
                <w:sz w:val="20"/>
                <w:szCs w:val="20"/>
                <w:color w:val="auto"/>
              </w:rPr>
            </w:pPr>
            <w:r>
              <w:rPr>
                <w:rFonts w:ascii="Arial" w:cs="Arial" w:eastAsia="Arial" w:hAnsi="Arial"/>
                <w:sz w:val="18"/>
                <w:szCs w:val="18"/>
                <w:color w:val="auto"/>
                <w:w w:val="88"/>
              </w:rPr>
              <w:t>Non-interest expense:</w:t>
            </w:r>
          </w:p>
        </w:tc>
        <w:tc>
          <w:tcPr>
            <w:tcW w:w="2200" w:type="dxa"/>
            <w:vAlign w:val="bottom"/>
            <w:tcBorders>
              <w:bottom w:val="single" w:sz="8" w:color="CCEEFF"/>
            </w:tcBorders>
            <w:gridSpan w:val="2"/>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r>
      <w:tr>
        <w:trPr>
          <w:trHeight w:val="189"/>
        </w:trPr>
        <w:tc>
          <w:tcPr>
            <w:tcW w:w="3780" w:type="dxa"/>
            <w:vAlign w:val="bottom"/>
            <w:gridSpan w:val="6"/>
          </w:tcPr>
          <w:p>
            <w:pPr>
              <w:ind w:left="100"/>
              <w:spacing w:after="0" w:line="189" w:lineRule="exact"/>
              <w:rPr>
                <w:sz w:val="20"/>
                <w:szCs w:val="20"/>
                <w:color w:val="auto"/>
              </w:rPr>
            </w:pPr>
            <w:r>
              <w:rPr>
                <w:rFonts w:ascii="Arial" w:cs="Arial" w:eastAsia="Arial" w:hAnsi="Arial"/>
                <w:sz w:val="18"/>
                <w:szCs w:val="18"/>
                <w:color w:val="auto"/>
              </w:rPr>
              <w:t>Banking</w:t>
            </w:r>
          </w:p>
        </w:tc>
        <w:tc>
          <w:tcPr>
            <w:tcW w:w="2080" w:type="dxa"/>
            <w:vAlign w:val="bottom"/>
            <w:gridSpan w:val="2"/>
          </w:tcPr>
          <w:p>
            <w:pPr>
              <w:jc w:val="right"/>
              <w:ind w:right="906"/>
              <w:spacing w:after="0" w:line="189"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w w:val="98"/>
              </w:rPr>
              <w:t>45,171</w:t>
            </w:r>
          </w:p>
        </w:tc>
        <w:tc>
          <w:tcPr>
            <w:tcW w:w="380" w:type="dxa"/>
            <w:vAlign w:val="bottom"/>
          </w:tcPr>
          <w:p>
            <w:pPr>
              <w:spacing w:after="0"/>
              <w:rPr>
                <w:sz w:val="16"/>
                <w:szCs w:val="16"/>
                <w:color w:val="auto"/>
              </w:rPr>
            </w:pPr>
          </w:p>
        </w:tc>
        <w:tc>
          <w:tcPr>
            <w:tcW w:w="1160" w:type="dxa"/>
            <w:vAlign w:val="bottom"/>
          </w:tcPr>
          <w:p>
            <w:pPr>
              <w:jc w:val="right"/>
              <w:ind w:right="100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41,386</w:t>
            </w:r>
          </w:p>
        </w:tc>
        <w:tc>
          <w:tcPr>
            <w:tcW w:w="380" w:type="dxa"/>
            <w:vAlign w:val="bottom"/>
          </w:tcPr>
          <w:p>
            <w:pPr>
              <w:spacing w:after="0"/>
              <w:rPr>
                <w:sz w:val="16"/>
                <w:szCs w:val="16"/>
                <w:color w:val="auto"/>
              </w:rPr>
            </w:pPr>
          </w:p>
        </w:tc>
      </w:tr>
      <w:tr>
        <w:trPr>
          <w:trHeight w:val="189"/>
        </w:trPr>
        <w:tc>
          <w:tcPr>
            <w:tcW w:w="3780" w:type="dxa"/>
            <w:vAlign w:val="bottom"/>
            <w:gridSpan w:val="6"/>
            <w:shd w:val="clear" w:color="auto" w:fill="CCEEFF"/>
          </w:tcPr>
          <w:p>
            <w:pPr>
              <w:ind w:left="100"/>
              <w:spacing w:after="0" w:line="189" w:lineRule="exact"/>
              <w:rPr>
                <w:sz w:val="20"/>
                <w:szCs w:val="20"/>
                <w:color w:val="auto"/>
              </w:rPr>
            </w:pPr>
            <w:r>
              <w:rPr>
                <w:rFonts w:ascii="Arial" w:cs="Arial" w:eastAsia="Arial" w:hAnsi="Arial"/>
                <w:sz w:val="18"/>
                <w:szCs w:val="18"/>
                <w:color w:val="auto"/>
              </w:rPr>
              <w:t>Remittance Processing</w:t>
            </w: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2,764</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2,466</w:t>
            </w:r>
          </w:p>
        </w:tc>
        <w:tc>
          <w:tcPr>
            <w:tcW w:w="380" w:type="dxa"/>
            <w:vAlign w:val="bottom"/>
            <w:shd w:val="clear" w:color="auto" w:fill="CCEEFF"/>
          </w:tcPr>
          <w:p>
            <w:pPr>
              <w:spacing w:after="0"/>
              <w:rPr>
                <w:sz w:val="16"/>
                <w:szCs w:val="16"/>
                <w:color w:val="auto"/>
              </w:rPr>
            </w:pPr>
          </w:p>
        </w:tc>
      </w:tr>
      <w:tr>
        <w:trPr>
          <w:trHeight w:val="189"/>
        </w:trPr>
        <w:tc>
          <w:tcPr>
            <w:tcW w:w="3780" w:type="dxa"/>
            <w:vAlign w:val="bottom"/>
            <w:gridSpan w:val="6"/>
          </w:tcPr>
          <w:p>
            <w:pPr>
              <w:ind w:left="100"/>
              <w:spacing w:after="0" w:line="189" w:lineRule="exact"/>
              <w:rPr>
                <w:sz w:val="20"/>
                <w:szCs w:val="20"/>
                <w:color w:val="auto"/>
              </w:rPr>
            </w:pPr>
            <w:r>
              <w:rPr>
                <w:rFonts w:ascii="Arial" w:cs="Arial" w:eastAsia="Arial" w:hAnsi="Arial"/>
                <w:sz w:val="18"/>
                <w:szCs w:val="18"/>
                <w:color w:val="auto"/>
              </w:rPr>
              <w:t>Wealth Management</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5,564</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4,911</w:t>
            </w:r>
          </w:p>
        </w:tc>
        <w:tc>
          <w:tcPr>
            <w:tcW w:w="380" w:type="dxa"/>
            <w:vAlign w:val="bottom"/>
          </w:tcPr>
          <w:p>
            <w:pPr>
              <w:spacing w:after="0"/>
              <w:rPr>
                <w:sz w:val="16"/>
                <w:szCs w:val="16"/>
                <w:color w:val="auto"/>
              </w:rPr>
            </w:pPr>
          </w:p>
        </w:tc>
      </w:tr>
      <w:tr>
        <w:trPr>
          <w:trHeight w:val="189"/>
        </w:trPr>
        <w:tc>
          <w:tcPr>
            <w:tcW w:w="3780" w:type="dxa"/>
            <w:vAlign w:val="bottom"/>
            <w:gridSpan w:val="6"/>
            <w:shd w:val="clear" w:color="auto" w:fill="CCEEFF"/>
          </w:tcPr>
          <w:p>
            <w:pPr>
              <w:ind w:left="100"/>
              <w:spacing w:after="0" w:line="189" w:lineRule="exact"/>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3,664</w:t>
            </w:r>
          </w:p>
        </w:tc>
        <w:tc>
          <w:tcPr>
            <w:tcW w:w="38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2,277</w:t>
            </w:r>
          </w:p>
        </w:tc>
        <w:tc>
          <w:tcPr>
            <w:tcW w:w="380" w:type="dxa"/>
            <w:vAlign w:val="bottom"/>
            <w:shd w:val="clear" w:color="auto" w:fill="CCEEFF"/>
          </w:tcPr>
          <w:p>
            <w:pPr>
              <w:spacing w:after="0"/>
              <w:rPr>
                <w:sz w:val="16"/>
                <w:szCs w:val="16"/>
                <w:color w:val="auto"/>
              </w:rPr>
            </w:pPr>
          </w:p>
        </w:tc>
      </w:tr>
      <w:tr>
        <w:trPr>
          <w:trHeight w:val="190"/>
        </w:trPr>
        <w:tc>
          <w:tcPr>
            <w:tcW w:w="3780" w:type="dxa"/>
            <w:vAlign w:val="bottom"/>
            <w:tcBorders>
              <w:bottom w:val="single" w:sz="8" w:color="CCEEFF"/>
            </w:tcBorders>
            <w:gridSpan w:val="6"/>
          </w:tcPr>
          <w:p>
            <w:pPr>
              <w:ind w:left="320"/>
              <w:spacing w:after="0" w:line="182" w:lineRule="exact"/>
              <w:rPr>
                <w:sz w:val="20"/>
                <w:szCs w:val="20"/>
                <w:color w:val="auto"/>
              </w:rPr>
            </w:pPr>
            <w:r>
              <w:rPr>
                <w:rFonts w:ascii="Arial" w:cs="Arial" w:eastAsia="Arial" w:hAnsi="Arial"/>
                <w:sz w:val="18"/>
                <w:szCs w:val="18"/>
                <w:color w:val="auto"/>
              </w:rPr>
              <w:t>Total non-interest expense</w:t>
            </w:r>
          </w:p>
        </w:tc>
        <w:tc>
          <w:tcPr>
            <w:tcW w:w="1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8"/>
              </w:rPr>
              <w:t>57,163</w:t>
            </w:r>
          </w:p>
        </w:tc>
        <w:tc>
          <w:tcPr>
            <w:tcW w:w="3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00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51,040</w:t>
            </w:r>
          </w:p>
        </w:tc>
        <w:tc>
          <w:tcPr>
            <w:tcW w:w="380" w:type="dxa"/>
            <w:vAlign w:val="bottom"/>
            <w:tcBorders>
              <w:bottom w:val="single" w:sz="8" w:color="CCEEFF"/>
            </w:tcBorders>
          </w:tcPr>
          <w:p>
            <w:pPr>
              <w:spacing w:after="0"/>
              <w:rPr>
                <w:sz w:val="16"/>
                <w:szCs w:val="16"/>
                <w:color w:val="auto"/>
              </w:rPr>
            </w:pPr>
          </w:p>
        </w:tc>
      </w:tr>
      <w:tr>
        <w:trPr>
          <w:trHeight w:val="189"/>
        </w:trPr>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169"/>
        </w:trPr>
        <w:tc>
          <w:tcPr>
            <w:tcW w:w="3780" w:type="dxa"/>
            <w:vAlign w:val="bottom"/>
            <w:gridSpan w:val="6"/>
          </w:tcPr>
          <w:p>
            <w:pPr>
              <w:spacing w:after="0" w:line="162" w:lineRule="exact"/>
              <w:rPr>
                <w:sz w:val="20"/>
                <w:szCs w:val="20"/>
                <w:color w:val="auto"/>
              </w:rPr>
            </w:pPr>
            <w:r>
              <w:rPr>
                <w:rFonts w:ascii="Arial" w:cs="Arial" w:eastAsia="Arial" w:hAnsi="Arial"/>
                <w:sz w:val="18"/>
                <w:szCs w:val="18"/>
                <w:color w:val="auto"/>
              </w:rPr>
              <w:t>Income before income taxes:</w:t>
            </w: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9"/>
        </w:trPr>
        <w:tc>
          <w:tcPr>
            <w:tcW w:w="2080" w:type="dxa"/>
            <w:vAlign w:val="bottom"/>
            <w:tcBorders>
              <w:top w:val="single" w:sz="8" w:color="auto"/>
            </w:tcBorders>
            <w:gridSpan w:val="5"/>
            <w:shd w:val="clear" w:color="auto" w:fill="CCEEFF"/>
          </w:tcPr>
          <w:p>
            <w:pPr>
              <w:ind w:left="100"/>
              <w:spacing w:after="0" w:line="189" w:lineRule="exact"/>
              <w:rPr>
                <w:sz w:val="20"/>
                <w:szCs w:val="20"/>
                <w:color w:val="auto"/>
              </w:rPr>
            </w:pPr>
            <w:r>
              <w:rPr>
                <w:rFonts w:ascii="Arial" w:cs="Arial" w:eastAsia="Arial" w:hAnsi="Arial"/>
                <w:sz w:val="18"/>
                <w:szCs w:val="18"/>
                <w:color w:val="auto"/>
              </w:rPr>
              <w:t>Banking</w:t>
            </w:r>
          </w:p>
        </w:tc>
        <w:tc>
          <w:tcPr>
            <w:tcW w:w="17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right"/>
              <w:ind w:right="906"/>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36,139</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29,919</w:t>
            </w:r>
          </w:p>
        </w:tc>
        <w:tc>
          <w:tcPr>
            <w:tcW w:w="380" w:type="dxa"/>
            <w:vAlign w:val="bottom"/>
            <w:shd w:val="clear" w:color="auto" w:fill="CCEEFF"/>
          </w:tcPr>
          <w:p>
            <w:pPr>
              <w:spacing w:after="0"/>
              <w:rPr>
                <w:sz w:val="16"/>
                <w:szCs w:val="16"/>
                <w:color w:val="auto"/>
              </w:rPr>
            </w:pPr>
          </w:p>
        </w:tc>
      </w:tr>
      <w:tr>
        <w:trPr>
          <w:trHeight w:val="189"/>
        </w:trPr>
        <w:tc>
          <w:tcPr>
            <w:tcW w:w="3780" w:type="dxa"/>
            <w:vAlign w:val="bottom"/>
            <w:gridSpan w:val="6"/>
          </w:tcPr>
          <w:p>
            <w:pPr>
              <w:ind w:left="100"/>
              <w:spacing w:after="0" w:line="189" w:lineRule="exact"/>
              <w:rPr>
                <w:sz w:val="20"/>
                <w:szCs w:val="20"/>
                <w:color w:val="auto"/>
              </w:rPr>
            </w:pPr>
            <w:r>
              <w:rPr>
                <w:rFonts w:ascii="Arial" w:cs="Arial" w:eastAsia="Arial" w:hAnsi="Arial"/>
                <w:sz w:val="18"/>
                <w:szCs w:val="18"/>
                <w:color w:val="auto"/>
              </w:rPr>
              <w:t>Remittance Processing</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1,435</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1,333</w:t>
            </w:r>
          </w:p>
        </w:tc>
        <w:tc>
          <w:tcPr>
            <w:tcW w:w="380" w:type="dxa"/>
            <w:vAlign w:val="bottom"/>
          </w:tcPr>
          <w:p>
            <w:pPr>
              <w:spacing w:after="0"/>
              <w:rPr>
                <w:sz w:val="16"/>
                <w:szCs w:val="16"/>
                <w:color w:val="auto"/>
              </w:rPr>
            </w:pPr>
          </w:p>
        </w:tc>
      </w:tr>
      <w:tr>
        <w:trPr>
          <w:trHeight w:val="189"/>
        </w:trPr>
        <w:tc>
          <w:tcPr>
            <w:tcW w:w="3780" w:type="dxa"/>
            <w:vAlign w:val="bottom"/>
            <w:gridSpan w:val="6"/>
            <w:shd w:val="clear" w:color="auto" w:fill="CCEEFF"/>
          </w:tcPr>
          <w:p>
            <w:pPr>
              <w:ind w:left="100"/>
              <w:spacing w:after="0" w:line="189" w:lineRule="exact"/>
              <w:rPr>
                <w:sz w:val="20"/>
                <w:szCs w:val="20"/>
                <w:color w:val="auto"/>
              </w:rPr>
            </w:pPr>
            <w:r>
              <w:rPr>
                <w:rFonts w:ascii="Arial" w:cs="Arial" w:eastAsia="Arial" w:hAnsi="Arial"/>
                <w:sz w:val="18"/>
                <w:szCs w:val="18"/>
                <w:color w:val="auto"/>
              </w:rPr>
              <w:t>Wealth Management</w:t>
            </w: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3,569</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3,824</w:t>
            </w:r>
          </w:p>
        </w:tc>
        <w:tc>
          <w:tcPr>
            <w:tcW w:w="380" w:type="dxa"/>
            <w:vAlign w:val="bottom"/>
            <w:shd w:val="clear" w:color="auto" w:fill="CCEEFF"/>
          </w:tcPr>
          <w:p>
            <w:pPr>
              <w:spacing w:after="0"/>
              <w:rPr>
                <w:sz w:val="16"/>
                <w:szCs w:val="16"/>
                <w:color w:val="auto"/>
              </w:rPr>
            </w:pPr>
          </w:p>
        </w:tc>
      </w:tr>
      <w:tr>
        <w:trPr>
          <w:trHeight w:val="189"/>
        </w:trPr>
        <w:tc>
          <w:tcPr>
            <w:tcW w:w="3780" w:type="dxa"/>
            <w:vAlign w:val="bottom"/>
            <w:gridSpan w:val="6"/>
          </w:tcPr>
          <w:p>
            <w:pPr>
              <w:ind w:left="100"/>
              <w:spacing w:after="0" w:line="189" w:lineRule="exact"/>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(6,089)</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(4,881)</w:t>
            </w:r>
          </w:p>
        </w:tc>
      </w:tr>
      <w:tr>
        <w:trPr>
          <w:trHeight w:val="190"/>
        </w:trPr>
        <w:tc>
          <w:tcPr>
            <w:tcW w:w="3780" w:type="dxa"/>
            <w:vAlign w:val="bottom"/>
            <w:tcBorders>
              <w:top w:val="single" w:sz="8" w:color="CCEEFF"/>
              <w:bottom w:val="single" w:sz="8" w:color="CCEEFF"/>
            </w:tcBorders>
            <w:gridSpan w:val="6"/>
            <w:shd w:val="clear" w:color="auto" w:fill="CCEEFF"/>
          </w:tcPr>
          <w:p>
            <w:pPr>
              <w:ind w:left="320"/>
              <w:spacing w:after="0" w:line="182" w:lineRule="exact"/>
              <w:rPr>
                <w:sz w:val="20"/>
                <w:szCs w:val="20"/>
                <w:color w:val="auto"/>
              </w:rPr>
            </w:pPr>
            <w:r>
              <w:rPr>
                <w:rFonts w:ascii="Arial" w:cs="Arial" w:eastAsia="Arial" w:hAnsi="Arial"/>
                <w:sz w:val="18"/>
                <w:szCs w:val="18"/>
                <w:color w:val="auto"/>
              </w:rPr>
              <w:t>Total income before income taxes</w:t>
            </w: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35,054</w:t>
            </w: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30,195</w:t>
            </w: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69"/>
        </w:trPr>
        <w:tc>
          <w:tcPr>
            <w:tcW w:w="3780" w:type="dxa"/>
            <w:vAlign w:val="bottom"/>
            <w:gridSpan w:val="6"/>
            <w:shd w:val="clear" w:color="auto" w:fill="CCEEFF"/>
          </w:tcPr>
          <w:p>
            <w:pPr>
              <w:spacing w:after="0" w:line="162" w:lineRule="exact"/>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89"/>
        </w:trPr>
        <w:tc>
          <w:tcPr>
            <w:tcW w:w="880" w:type="dxa"/>
            <w:vAlign w:val="bottom"/>
            <w:tcBorders>
              <w:top w:val="single" w:sz="8" w:color="auto"/>
            </w:tcBorders>
          </w:tcPr>
          <w:p>
            <w:pPr>
              <w:ind w:left="100"/>
              <w:spacing w:after="0" w:line="189" w:lineRule="exact"/>
              <w:rPr>
                <w:sz w:val="20"/>
                <w:szCs w:val="20"/>
                <w:color w:val="auto"/>
              </w:rPr>
            </w:pPr>
            <w:r>
              <w:rPr>
                <w:rFonts w:ascii="Arial" w:cs="Arial" w:eastAsia="Arial" w:hAnsi="Arial"/>
                <w:sz w:val="18"/>
                <w:szCs w:val="18"/>
                <w:color w:val="auto"/>
              </w:rPr>
              <w:t>Banking</w:t>
            </w:r>
          </w:p>
        </w:tc>
        <w:tc>
          <w:tcPr>
            <w:tcW w:w="2900" w:type="dxa"/>
            <w:vAlign w:val="bottom"/>
            <w:tcBorders>
              <w:top w:val="single" w:sz="8" w:color="CCEEFF"/>
            </w:tcBorders>
            <w:gridSpan w:val="5"/>
          </w:tcPr>
          <w:p>
            <w:pPr>
              <w:spacing w:after="0"/>
              <w:rPr>
                <w:sz w:val="16"/>
                <w:szCs w:val="16"/>
                <w:color w:val="auto"/>
              </w:rPr>
            </w:pPr>
          </w:p>
        </w:tc>
        <w:tc>
          <w:tcPr>
            <w:tcW w:w="2080" w:type="dxa"/>
            <w:vAlign w:val="bottom"/>
            <w:tcBorders>
              <w:top w:val="single" w:sz="8" w:color="CCEEFF"/>
            </w:tcBorders>
            <w:gridSpan w:val="2"/>
          </w:tcPr>
          <w:p>
            <w:pPr>
              <w:jc w:val="right"/>
              <w:ind w:right="906"/>
              <w:spacing w:after="0" w:line="189"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w w:val="98"/>
              </w:rPr>
              <w:t>26,665</w:t>
            </w:r>
          </w:p>
        </w:tc>
        <w:tc>
          <w:tcPr>
            <w:tcW w:w="38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jc w:val="right"/>
              <w:ind w:right="10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21,845</w:t>
            </w:r>
          </w:p>
        </w:tc>
        <w:tc>
          <w:tcPr>
            <w:tcW w:w="380" w:type="dxa"/>
            <w:vAlign w:val="bottom"/>
            <w:tcBorders>
              <w:top w:val="single" w:sz="8" w:color="CCEEFF"/>
            </w:tcBorders>
          </w:tcPr>
          <w:p>
            <w:pPr>
              <w:spacing w:after="0"/>
              <w:rPr>
                <w:sz w:val="16"/>
                <w:szCs w:val="16"/>
                <w:color w:val="auto"/>
              </w:rPr>
            </w:pPr>
          </w:p>
        </w:tc>
      </w:tr>
      <w:tr>
        <w:trPr>
          <w:trHeight w:val="189"/>
        </w:trPr>
        <w:tc>
          <w:tcPr>
            <w:tcW w:w="3780" w:type="dxa"/>
            <w:vAlign w:val="bottom"/>
            <w:gridSpan w:val="6"/>
            <w:shd w:val="clear" w:color="auto" w:fill="CCEEFF"/>
          </w:tcPr>
          <w:p>
            <w:pPr>
              <w:ind w:left="100"/>
              <w:spacing w:after="0" w:line="189" w:lineRule="exact"/>
              <w:rPr>
                <w:sz w:val="20"/>
                <w:szCs w:val="20"/>
                <w:color w:val="auto"/>
              </w:rPr>
            </w:pPr>
            <w:r>
              <w:rPr>
                <w:rFonts w:ascii="Arial" w:cs="Arial" w:eastAsia="Arial" w:hAnsi="Arial"/>
                <w:sz w:val="18"/>
                <w:szCs w:val="18"/>
                <w:color w:val="auto"/>
              </w:rPr>
              <w:t>Remittance Processing</w:t>
            </w: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1,025</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953</w:t>
            </w:r>
          </w:p>
        </w:tc>
        <w:tc>
          <w:tcPr>
            <w:tcW w:w="380" w:type="dxa"/>
            <w:vAlign w:val="bottom"/>
            <w:shd w:val="clear" w:color="auto" w:fill="CCEEFF"/>
          </w:tcPr>
          <w:p>
            <w:pPr>
              <w:spacing w:after="0"/>
              <w:rPr>
                <w:sz w:val="16"/>
                <w:szCs w:val="16"/>
                <w:color w:val="auto"/>
              </w:rPr>
            </w:pPr>
          </w:p>
        </w:tc>
      </w:tr>
      <w:tr>
        <w:trPr>
          <w:trHeight w:val="189"/>
        </w:trPr>
        <w:tc>
          <w:tcPr>
            <w:tcW w:w="3780" w:type="dxa"/>
            <w:vAlign w:val="bottom"/>
            <w:gridSpan w:val="6"/>
          </w:tcPr>
          <w:p>
            <w:pPr>
              <w:ind w:left="100"/>
              <w:spacing w:after="0" w:line="189" w:lineRule="exact"/>
              <w:rPr>
                <w:sz w:val="20"/>
                <w:szCs w:val="20"/>
                <w:color w:val="auto"/>
              </w:rPr>
            </w:pPr>
            <w:r>
              <w:rPr>
                <w:rFonts w:ascii="Arial" w:cs="Arial" w:eastAsia="Arial" w:hAnsi="Arial"/>
                <w:sz w:val="18"/>
                <w:szCs w:val="18"/>
                <w:color w:val="auto"/>
              </w:rPr>
              <w:t>Wealth Management</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2,641</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2,764</w:t>
            </w:r>
          </w:p>
        </w:tc>
        <w:tc>
          <w:tcPr>
            <w:tcW w:w="380" w:type="dxa"/>
            <w:vAlign w:val="bottom"/>
          </w:tcPr>
          <w:p>
            <w:pPr>
              <w:spacing w:after="0"/>
              <w:rPr>
                <w:sz w:val="16"/>
                <w:szCs w:val="16"/>
                <w:color w:val="auto"/>
              </w:rPr>
            </w:pPr>
          </w:p>
        </w:tc>
      </w:tr>
      <w:tr>
        <w:trPr>
          <w:trHeight w:val="189"/>
        </w:trPr>
        <w:tc>
          <w:tcPr>
            <w:tcW w:w="3780" w:type="dxa"/>
            <w:vAlign w:val="bottom"/>
            <w:gridSpan w:val="6"/>
            <w:shd w:val="clear" w:color="auto" w:fill="CCEEFF"/>
          </w:tcPr>
          <w:p>
            <w:pPr>
              <w:ind w:left="100"/>
              <w:spacing w:after="0" w:line="189" w:lineRule="exact"/>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(4,862)</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8"/>
                <w:szCs w:val="18"/>
                <w:color w:val="auto"/>
              </w:rPr>
              <w:t>(3,645)</w:t>
            </w:r>
          </w:p>
        </w:tc>
      </w:tr>
      <w:tr>
        <w:trPr>
          <w:trHeight w:val="190"/>
        </w:trPr>
        <w:tc>
          <w:tcPr>
            <w:tcW w:w="3780" w:type="dxa"/>
            <w:vAlign w:val="bottom"/>
            <w:gridSpan w:val="6"/>
          </w:tcPr>
          <w:p>
            <w:pPr>
              <w:ind w:left="320"/>
              <w:spacing w:after="0" w:line="182" w:lineRule="exact"/>
              <w:rPr>
                <w:sz w:val="20"/>
                <w:szCs w:val="20"/>
                <w:color w:val="auto"/>
              </w:rPr>
            </w:pPr>
            <w:r>
              <w:rPr>
                <w:rFonts w:ascii="Arial" w:cs="Arial" w:eastAsia="Arial" w:hAnsi="Arial"/>
                <w:sz w:val="18"/>
                <w:szCs w:val="18"/>
                <w:color w:val="auto"/>
              </w:rPr>
              <w:t>Total net income</w:t>
            </w:r>
          </w:p>
        </w:tc>
        <w:tc>
          <w:tcPr>
            <w:tcW w:w="102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8"/>
              </w:rPr>
              <w:t>25,469</w:t>
            </w:r>
          </w:p>
        </w:tc>
        <w:tc>
          <w:tcPr>
            <w:tcW w:w="38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10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21,917</w:t>
            </w:r>
          </w:p>
        </w:tc>
        <w:tc>
          <w:tcPr>
            <w:tcW w:w="380" w:type="dxa"/>
            <w:vAlign w:val="bottom"/>
          </w:tcPr>
          <w:p>
            <w:pPr>
              <w:spacing w:after="0"/>
              <w:rPr>
                <w:sz w:val="16"/>
                <w:szCs w:val="16"/>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148"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The Company enters into derivative financial instruments, including interest rate lock commitments issued to residential loan customers for loans that will be held for sale, forward sales commitments to sell residential mortgage loans to loan investors and derivatives to customers for interest rate swaps. See “Note 14: Fair Value Measurements” for further discussion of the fair value measurement of such derivatives.</w:t>
      </w:r>
    </w:p>
    <w:p>
      <w:pPr>
        <w:spacing w:after="0" w:line="122"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i w:val="1"/>
          <w:iCs w:val="1"/>
          <w:color w:val="auto"/>
        </w:rPr>
        <w:t>Interest Rate Lock Commitments</w:t>
      </w:r>
      <w:r>
        <w:rPr>
          <w:rFonts w:ascii="Arial" w:cs="Arial" w:eastAsia="Arial" w:hAnsi="Arial"/>
          <w:sz w:val="16"/>
          <w:szCs w:val="16"/>
          <w:color w:val="auto"/>
        </w:rPr>
        <w:t>. At March 31, 2019 and December 31, 2018, the Company had issued $53.8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$27.2 million, respectively, of unexpired interest rate lock commitments to loan customers. Such interest rate lock commitments that meet the definition of derivative financial instruments under ASC Topic 815, Derivatives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Hedging, are carried at their fair values in other assets or other liabilities in the unaudited consolidated financial statements, with changes in the fair values of the corresponding derivative financial assets or liabilities recorded as either a charge or credit to current earnings during the period in which the changes occurred.</w:t>
      </w:r>
    </w:p>
    <w:p>
      <w:pPr>
        <w:spacing w:after="0" w:line="123"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i w:val="1"/>
          <w:iCs w:val="1"/>
          <w:color w:val="auto"/>
        </w:rPr>
        <w:t>Forward Sales Commitments</w:t>
      </w:r>
      <w:r>
        <w:rPr>
          <w:rFonts w:ascii="Arial" w:cs="Arial" w:eastAsia="Arial" w:hAnsi="Arial"/>
          <w:sz w:val="17"/>
          <w:szCs w:val="17"/>
          <w:color w:val="auto"/>
        </w:rPr>
        <w:t>. At March 31, 2019 and December 31, 2018, the Company had issued $69.2 million and $48.6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of unexpired forward sales commitments to mortgage loan 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Derivatives and Hedging, are carried at their fair values in other assets or other liabilities in the unaudited consolidated financial statements. While such forward sales commitments generally served as an economic hedge to the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27"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 xml:space="preserve">The fair values of derivative assets and liabilities related to interest rate lock commitments and forward sales commitments recorded in the unaudited Consolidated Balance Sheets are summarized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0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March 31, 2019</w:t>
            </w: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3"/>
              </w:rPr>
              <w:t>December 31, 2018</w:t>
            </w:r>
          </w:p>
        </w:tc>
      </w:tr>
      <w:tr>
        <w:trPr>
          <w:trHeight w:val="183"/>
        </w:trPr>
        <w:tc>
          <w:tcPr>
            <w:tcW w:w="3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Fair value recorded in other assets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76"/>
              <w:spacing w:after="0" w:line="182" w:lineRule="exact"/>
              <w:rPr>
                <w:sz w:val="20"/>
                <w:szCs w:val="20"/>
                <w:color w:val="auto"/>
              </w:rPr>
            </w:pPr>
            <w:r>
              <w:rPr>
                <w:rFonts w:ascii="Arial" w:cs="Arial" w:eastAsia="Arial" w:hAnsi="Arial"/>
                <w:sz w:val="18"/>
                <w:szCs w:val="18"/>
                <w:color w:val="auto"/>
              </w:rPr>
              <w:t>835</w:t>
            </w:r>
          </w:p>
        </w:tc>
        <w:tc>
          <w:tcPr>
            <w:tcW w:w="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624</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180" w:type="dxa"/>
            <w:vAlign w:val="bottom"/>
          </w:tcPr>
          <w:p>
            <w:pPr>
              <w:spacing w:after="0"/>
              <w:rPr>
                <w:sz w:val="20"/>
                <w:szCs w:val="20"/>
                <w:color w:val="auto"/>
              </w:rPr>
            </w:pP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1,118</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1,205</w:t>
            </w:r>
          </w:p>
        </w:tc>
      </w:tr>
    </w:tbl>
    <w:p>
      <w:pPr>
        <w:spacing w:after="0" w:line="106" w:lineRule="exact"/>
        <w:rPr>
          <w:sz w:val="20"/>
          <w:szCs w:val="20"/>
          <w:color w:val="auto"/>
        </w:rPr>
      </w:pPr>
    </w:p>
    <w:p>
      <w:pPr>
        <w:jc w:val="both"/>
        <w:ind w:right="340"/>
        <w:spacing w:after="0" w:line="224" w:lineRule="auto"/>
        <w:rPr>
          <w:sz w:val="20"/>
          <w:szCs w:val="20"/>
          <w:color w:val="auto"/>
        </w:rPr>
      </w:pPr>
      <w:r>
        <w:rPr>
          <w:rFonts w:ascii="Arial" w:cs="Arial" w:eastAsia="Arial" w:hAnsi="Arial"/>
          <w:sz w:val="18"/>
          <w:szCs w:val="18"/>
          <w:color w:val="auto"/>
        </w:rPr>
        <w:t xml:space="preserve">The gross gains and losses on these derivative assets and liabilities related to interest rate lock commitments and forward sales commitments recorded in non-interest income and expense in the unaudited Consolidated Statements of Income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2"/>
                <w:szCs w:val="12"/>
                <w:color w:val="auto"/>
              </w:rPr>
            </w:pPr>
          </w:p>
        </w:tc>
        <w:tc>
          <w:tcPr>
            <w:tcW w:w="12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83"/>
        </w:trPr>
        <w:tc>
          <w:tcPr>
            <w:tcW w:w="2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Gross gains</w:t>
            </w:r>
          </w:p>
        </w:tc>
        <w:tc>
          <w:tcPr>
            <w:tcW w:w="11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799"/>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1,078</w:t>
            </w:r>
          </w:p>
        </w:tc>
        <w:tc>
          <w:tcPr>
            <w:tcW w:w="2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732</w:t>
            </w:r>
          </w:p>
        </w:tc>
        <w:tc>
          <w:tcPr>
            <w:tcW w:w="280" w:type="dxa"/>
            <w:vAlign w:val="bottom"/>
            <w:tcBorders>
              <w:top w:val="single" w:sz="8" w:color="CCEEFF"/>
            </w:tcBorders>
            <w:shd w:val="clear" w:color="auto" w:fill="CCEEFF"/>
          </w:tcPr>
          <w:p>
            <w:pPr>
              <w:spacing w:after="0"/>
              <w:rPr>
                <w:sz w:val="15"/>
                <w:szCs w:val="15"/>
                <w:color w:val="auto"/>
              </w:rPr>
            </w:pPr>
          </w:p>
        </w:tc>
      </w:tr>
      <w:tr>
        <w:trPr>
          <w:trHeight w:val="189"/>
        </w:trPr>
        <w:tc>
          <w:tcPr>
            <w:tcW w:w="25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Gross (losses)</w:t>
            </w:r>
          </w:p>
        </w:tc>
        <w:tc>
          <w:tcPr>
            <w:tcW w:w="1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w w:val="98"/>
              </w:rPr>
              <w:t>(1,118)</w:t>
            </w:r>
          </w:p>
        </w:tc>
        <w:tc>
          <w:tcPr>
            <w:tcW w:w="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w w:val="98"/>
              </w:rPr>
              <w:t>(1,054)</w:t>
            </w:r>
          </w:p>
        </w:tc>
        <w:tc>
          <w:tcPr>
            <w:tcW w:w="280" w:type="dxa"/>
            <w:vAlign w:val="bottom"/>
            <w:tcBorders>
              <w:bottom w:val="single" w:sz="8" w:color="CCEEFF"/>
            </w:tcBorders>
          </w:tcPr>
          <w:p>
            <w:pPr>
              <w:spacing w:after="0"/>
              <w:rPr>
                <w:sz w:val="16"/>
                <w:szCs w:val="16"/>
                <w:color w:val="auto"/>
              </w:rPr>
            </w:pPr>
          </w:p>
        </w:tc>
      </w:tr>
      <w:tr>
        <w:trPr>
          <w:trHeight w:val="190"/>
        </w:trPr>
        <w:tc>
          <w:tcPr>
            <w:tcW w:w="2520" w:type="dxa"/>
            <w:vAlign w:val="bottom"/>
            <w:tcBorders>
              <w:bottom w:val="single" w:sz="8" w:color="CCEEFF"/>
            </w:tcBorders>
            <w:shd w:val="clear" w:color="auto" w:fill="CCEEFF"/>
          </w:tcPr>
          <w:p>
            <w:pPr>
              <w:ind w:left="100"/>
              <w:spacing w:after="0" w:line="182" w:lineRule="exact"/>
              <w:rPr>
                <w:sz w:val="20"/>
                <w:szCs w:val="20"/>
                <w:color w:val="auto"/>
              </w:rPr>
            </w:pPr>
            <w:r>
              <w:rPr>
                <w:rFonts w:ascii="Arial" w:cs="Arial" w:eastAsia="Arial" w:hAnsi="Arial"/>
                <w:sz w:val="18"/>
                <w:szCs w:val="18"/>
                <w:color w:val="auto"/>
              </w:rPr>
              <w:t>Net gains (losses)</w:t>
            </w:r>
          </w:p>
        </w:tc>
        <w:tc>
          <w:tcPr>
            <w:tcW w:w="1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799"/>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(322)</w:t>
            </w:r>
          </w:p>
        </w:tc>
        <w:tc>
          <w:tcPr>
            <w:tcW w:w="280" w:type="dxa"/>
            <w:vAlign w:val="bottom"/>
            <w:tcBorders>
              <w:bottom w:val="single" w:sz="8" w:color="CCEEFF"/>
            </w:tcBorders>
            <w:shd w:val="clear" w:color="auto" w:fill="CCEEFF"/>
          </w:tcPr>
          <w:p>
            <w:pPr>
              <w:spacing w:after="0"/>
              <w:rPr>
                <w:sz w:val="16"/>
                <w:szCs w:val="16"/>
                <w:color w:val="auto"/>
              </w:rPr>
            </w:pPr>
          </w:p>
        </w:tc>
      </w:tr>
    </w:tbl>
    <w:p>
      <w:pPr>
        <w:spacing w:after="0" w:line="148"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07" w:lineRule="exact"/>
        <w:rPr>
          <w:sz w:val="20"/>
          <w:szCs w:val="20"/>
          <w:color w:val="auto"/>
        </w:rPr>
      </w:pPr>
    </w:p>
    <w:p>
      <w:pPr>
        <w:spacing w:after="0" w:line="223" w:lineRule="auto"/>
        <w:rPr>
          <w:sz w:val="20"/>
          <w:szCs w:val="20"/>
          <w:color w:val="auto"/>
        </w:rPr>
      </w:pPr>
      <w:r>
        <w:rPr>
          <w:rFonts w:ascii="Arial" w:cs="Arial" w:eastAsia="Arial" w:hAnsi="Arial"/>
          <w:sz w:val="17"/>
          <w:szCs w:val="17"/>
          <w:i w:val="1"/>
          <w:iCs w:val="1"/>
          <w:color w:val="auto"/>
        </w:rPr>
        <w:t xml:space="preserve">Derivatives to Customers. </w:t>
      </w:r>
      <w:r>
        <w:rPr>
          <w:rFonts w:ascii="Arial" w:cs="Arial" w:eastAsia="Arial" w:hAnsi="Arial"/>
          <w:sz w:val="17"/>
          <w:szCs w:val="17"/>
          <w:color w:val="auto"/>
        </w:rPr>
        <w:t>The Company may offer derivative contracts to its customers in connection with their risk</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needs. These derivatives are primarily interest rate swaps. The Company manages the risk associated with these contracts by entering into an equal and offsetting derivative with a third-party dealer. With notional values of $334.7 million and $243.7 million at March 31, 2019 and December 31, 2018, respectively, these contracts support variable rate, commercial loan relationships totaling $167.4 million and $121.8 million, respectively.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 xml:space="preserve">The fair values of derivative assets and liabilities related to derivatives for customers for interest rate swaps recorded in the unaudited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March 31, 2019</w:t>
            </w: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December 31, 2018</w:t>
            </w:r>
          </w:p>
        </w:tc>
      </w:tr>
      <w:tr>
        <w:trPr>
          <w:trHeight w:val="183"/>
        </w:trPr>
        <w:tc>
          <w:tcPr>
            <w:tcW w:w="3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Fair value recorded in other assets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36"/>
              <w:spacing w:after="0" w:line="182" w:lineRule="exact"/>
              <w:rPr>
                <w:sz w:val="20"/>
                <w:szCs w:val="20"/>
                <w:color w:val="auto"/>
              </w:rPr>
            </w:pPr>
            <w:r>
              <w:rPr>
                <w:rFonts w:ascii="Arial" w:cs="Arial" w:eastAsia="Arial" w:hAnsi="Arial"/>
                <w:sz w:val="18"/>
                <w:szCs w:val="18"/>
                <w:color w:val="auto"/>
              </w:rPr>
              <w:t>5,151</w:t>
            </w:r>
          </w:p>
        </w:tc>
        <w:tc>
          <w:tcPr>
            <w:tcW w:w="3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1,438</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26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5,151</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1,438</w:t>
            </w:r>
          </w:p>
        </w:tc>
      </w:tr>
    </w:tbl>
    <w:p>
      <w:pPr>
        <w:spacing w:after="0" w:line="106"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 xml:space="preserve">The gross gains and losses on these derivative assets and liabilities recorded in non-interest income and non-interest expense in the unaudited Consolidated Statements of Income are summarized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25"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3"/>
          </w:tcPr>
          <w:p>
            <w:pPr>
              <w:jc w:val="right"/>
              <w:ind w:right="1254"/>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8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ind w:right="577"/>
              <w:spacing w:after="0" w:line="142" w:lineRule="exact"/>
              <w:rPr>
                <w:sz w:val="20"/>
                <w:szCs w:val="20"/>
                <w:color w:val="auto"/>
              </w:rPr>
            </w:pPr>
            <w:r>
              <w:rPr>
                <w:rFonts w:ascii="Arial" w:cs="Arial" w:eastAsia="Arial" w:hAnsi="Arial"/>
                <w:sz w:val="14"/>
                <w:szCs w:val="14"/>
                <w:b w:val="1"/>
                <w:bCs w:val="1"/>
                <w:color w:val="auto"/>
              </w:rPr>
              <w:t>March 31, 2019</w:t>
            </w:r>
          </w:p>
        </w:tc>
        <w:tc>
          <w:tcPr>
            <w:tcW w:w="5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March 31, 2018</w:t>
            </w: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3,713</w:t>
            </w:r>
          </w:p>
        </w:tc>
        <w:tc>
          <w:tcPr>
            <w:tcW w:w="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189"/>
        </w:trPr>
        <w:tc>
          <w:tcPr>
            <w:tcW w:w="28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Gross losses</w:t>
            </w: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57"/>
              <w:spacing w:after="0" w:line="189" w:lineRule="exact"/>
              <w:rPr>
                <w:sz w:val="20"/>
                <w:szCs w:val="20"/>
                <w:color w:val="auto"/>
              </w:rPr>
            </w:pPr>
            <w:r>
              <w:rPr>
                <w:rFonts w:ascii="Arial" w:cs="Arial" w:eastAsia="Arial" w:hAnsi="Arial"/>
                <w:sz w:val="18"/>
                <w:szCs w:val="18"/>
                <w:color w:val="auto"/>
              </w:rPr>
              <w:t>(3,713)</w:t>
            </w: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(954)</w:t>
            </w:r>
          </w:p>
        </w:tc>
      </w:tr>
      <w:tr>
        <w:trPr>
          <w:trHeight w:val="190"/>
        </w:trPr>
        <w:tc>
          <w:tcPr>
            <w:tcW w:w="28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gains (losses)</w:t>
            </w: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shd w:val="clear" w:color="auto" w:fill="CCEEFF"/>
          </w:tcPr>
          <w:p>
            <w:pPr>
              <w:jc w:val="right"/>
              <w:ind w:right="117"/>
              <w:spacing w:after="0" w:line="18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190"/>
              <w:spacing w:after="0" w:line="182"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 pledged $5.7 million in cash to secure its obligation under these contracts at March 31, 2019. The Company pledged $1.0 million in cash to secure its obligation under contracts at December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48"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Fair Value Measurement,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2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to access at the measurement date.</w:t>
      </w:r>
    </w:p>
    <w:p>
      <w:pPr>
        <w:spacing w:after="0" w:line="121" w:lineRule="exact"/>
        <w:rPr>
          <w:sz w:val="20"/>
          <w:szCs w:val="20"/>
          <w:color w:val="auto"/>
        </w:rPr>
      </w:pPr>
    </w:p>
    <w:p>
      <w:pPr>
        <w:spacing w:after="0" w:line="229" w:lineRule="auto"/>
        <w:rPr>
          <w:sz w:val="20"/>
          <w:szCs w:val="20"/>
          <w:color w:val="auto"/>
        </w:rPr>
      </w:pPr>
      <w:r>
        <w:rPr>
          <w:rFonts w:ascii="Arial" w:cs="Arial" w:eastAsia="Arial" w:hAnsi="Arial"/>
          <w:sz w:val="17"/>
          <w:szCs w:val="17"/>
          <w:i w:val="1"/>
          <w:iCs w:val="1"/>
          <w:color w:val="auto"/>
        </w:rPr>
        <w:t xml:space="preserve">Level 2 Inputs </w:t>
      </w:r>
      <w:r>
        <w:rPr>
          <w:rFonts w:ascii="Arial" w:cs="Arial" w:eastAsia="Arial" w:hAnsi="Arial"/>
          <w:sz w:val="17"/>
          <w:szCs w:val="17"/>
          <w:color w:val="auto"/>
        </w:rPr>
        <w:t>- Inputs other than quoted prices included in level 1 that are observable for the asset or liability, either 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21"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i w:val="1"/>
          <w:iCs w:val="1"/>
          <w:color w:val="auto"/>
        </w:rPr>
        <w:t xml:space="preserve">Level 3 Inputs </w:t>
      </w:r>
      <w:r>
        <w:rPr>
          <w:rFonts w:ascii="Arial" w:cs="Arial" w:eastAsia="Arial" w:hAnsi="Arial"/>
          <w:sz w:val="17"/>
          <w:szCs w:val="17"/>
          <w:color w:val="auto"/>
        </w:rPr>
        <w:t>- Unobservable inputs for determining the fair values of assets or liabilities that reflect the Company’s own</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about the assumptions that market participants would use in pricing the assets or liabilities.</w:t>
      </w:r>
    </w:p>
    <w:p>
      <w:pPr>
        <w:spacing w:after="0" w:line="10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during the quarter ended March 31, 2019.</w:t>
      </w:r>
    </w:p>
    <w:p>
      <w:pPr>
        <w:spacing w:after="0" w:line="144"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9"/>
        <w:spacing w:after="0" w:line="235" w:lineRule="auto"/>
        <w:rPr>
          <w:sz w:val="20"/>
          <w:szCs w:val="20"/>
          <w:color w:val="auto"/>
        </w:rPr>
      </w:pPr>
      <w:r>
        <w:rPr>
          <w:rFonts w:ascii="Arial" w:cs="Arial" w:eastAsia="Arial" w:hAnsi="Arial"/>
          <w:sz w:val="18"/>
          <w:szCs w:val="18"/>
          <w:color w:val="auto"/>
        </w:rPr>
        <w:t>assumptions to determine the fair value of certain financial instruments could result in a different estimate of fair value at the reporting date.</w:t>
      </w:r>
    </w:p>
    <w:p>
      <w:pPr>
        <w:spacing w:after="0" w:line="121" w:lineRule="exact"/>
        <w:rPr>
          <w:sz w:val="20"/>
          <w:szCs w:val="20"/>
          <w:color w:val="auto"/>
        </w:rPr>
      </w:pPr>
    </w:p>
    <w:p>
      <w:pPr>
        <w:ind w:right="39"/>
        <w:spacing w:after="0" w:line="214" w:lineRule="auto"/>
        <w:rPr>
          <w:sz w:val="20"/>
          <w:szCs w:val="20"/>
          <w:color w:val="auto"/>
        </w:rPr>
      </w:pPr>
      <w:r>
        <w:rPr>
          <w:rFonts w:ascii="Arial" w:cs="Arial" w:eastAsia="Arial" w:hAnsi="Arial"/>
          <w:sz w:val="18"/>
          <w:szCs w:val="18"/>
          <w:i w:val="1"/>
          <w:iCs w:val="1"/>
          <w:color w:val="auto"/>
        </w:rPr>
        <w:t xml:space="preserve">Securities Available for Sale. </w:t>
      </w:r>
      <w:r>
        <w:rPr>
          <w:rFonts w:ascii="Arial" w:cs="Arial" w:eastAsia="Arial" w:hAnsi="Arial"/>
          <w:sz w:val="18"/>
          <w:szCs w:val="18"/>
          <w:color w:val="auto"/>
        </w:rPr>
        <w:t>Securities classified as available for sale are reported at fair value utilizing level 2</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122" w:lineRule="exact"/>
        <w:rPr>
          <w:sz w:val="20"/>
          <w:szCs w:val="20"/>
          <w:color w:val="auto"/>
        </w:rPr>
      </w:pPr>
    </w:p>
    <w:p>
      <w:pPr>
        <w:ind w:right="119"/>
        <w:spacing w:after="0" w:line="232" w:lineRule="auto"/>
        <w:rPr>
          <w:sz w:val="20"/>
          <w:szCs w:val="20"/>
          <w:color w:val="auto"/>
        </w:rPr>
      </w:pPr>
      <w:r>
        <w:rPr>
          <w:rFonts w:ascii="Arial" w:cs="Arial" w:eastAsia="Arial" w:hAnsi="Arial"/>
          <w:sz w:val="17"/>
          <w:szCs w:val="17"/>
          <w:color w:val="auto"/>
        </w:rPr>
        <w:t>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22" w:lineRule="exact"/>
        <w:rPr>
          <w:sz w:val="20"/>
          <w:szCs w:val="20"/>
          <w:color w:val="auto"/>
        </w:rPr>
      </w:pPr>
    </w:p>
    <w:p>
      <w:pPr>
        <w:ind w:right="139"/>
        <w:spacing w:after="0" w:line="239" w:lineRule="auto"/>
        <w:rPr>
          <w:sz w:val="20"/>
          <w:szCs w:val="20"/>
          <w:color w:val="auto"/>
        </w:rPr>
      </w:pPr>
      <w:r>
        <w:rPr>
          <w:rFonts w:ascii="Arial" w:cs="Arial" w:eastAsia="Arial" w:hAnsi="Arial"/>
          <w:sz w:val="16"/>
          <w:szCs w:val="16"/>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22" w:lineRule="exact"/>
        <w:rPr>
          <w:sz w:val="20"/>
          <w:szCs w:val="20"/>
          <w:color w:val="auto"/>
        </w:rPr>
      </w:pPr>
    </w:p>
    <w:p>
      <w:pPr>
        <w:ind w:right="199"/>
        <w:spacing w:after="0" w:line="238" w:lineRule="auto"/>
        <w:rPr>
          <w:sz w:val="20"/>
          <w:szCs w:val="20"/>
          <w:color w:val="auto"/>
        </w:rPr>
      </w:pPr>
      <w:r>
        <w:rPr>
          <w:rFonts w:ascii="Arial" w:cs="Arial" w:eastAsia="Arial" w:hAnsi="Arial"/>
          <w:sz w:val="17"/>
          <w:szCs w:val="17"/>
          <w:i w:val="1"/>
          <w:iCs w:val="1"/>
          <w:color w:val="auto"/>
        </w:rPr>
        <w:t xml:space="preserve">Securities Equity Investments. </w:t>
      </w:r>
      <w:r>
        <w:rPr>
          <w:rFonts w:ascii="Arial" w:cs="Arial" w:eastAsia="Arial" w:hAnsi="Arial"/>
          <w:sz w:val="17"/>
          <w:szCs w:val="17"/>
          <w:color w:val="auto"/>
        </w:rPr>
        <w:t>Securities classified as equity investments are reported at fair value utilizing level 1</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For mutual funds and other equity securities, unadjusted quoted prices in active markets for identical assets are utilized to determine fair value at the measurement date and have been classified as level 1.</w:t>
      </w:r>
    </w:p>
    <w:p>
      <w:pPr>
        <w:spacing w:after="0" w:line="121" w:lineRule="exact"/>
        <w:rPr>
          <w:sz w:val="20"/>
          <w:szCs w:val="20"/>
          <w:color w:val="auto"/>
        </w:rPr>
      </w:pPr>
    </w:p>
    <w:p>
      <w:pPr>
        <w:ind w:right="59"/>
        <w:spacing w:after="0" w:line="224"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reported at fair value utilizing level 2 measurements.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held for sale are measured using observable quoted market or contract prices or market price equivalents and are classified as level 2.</w:t>
      </w:r>
    </w:p>
    <w:p>
      <w:pPr>
        <w:spacing w:after="0" w:line="123" w:lineRule="exact"/>
        <w:rPr>
          <w:sz w:val="20"/>
          <w:szCs w:val="20"/>
          <w:color w:val="auto"/>
        </w:rPr>
      </w:pPr>
    </w:p>
    <w:p>
      <w:pPr>
        <w:ind w:right="79"/>
        <w:spacing w:after="0" w:line="238" w:lineRule="auto"/>
        <w:rPr>
          <w:sz w:val="20"/>
          <w:szCs w:val="20"/>
          <w:color w:val="auto"/>
        </w:rPr>
      </w:pPr>
      <w:r>
        <w:rPr>
          <w:rFonts w:ascii="Arial" w:cs="Arial" w:eastAsia="Arial" w:hAnsi="Arial"/>
          <w:sz w:val="17"/>
          <w:szCs w:val="17"/>
          <w:i w:val="1"/>
          <w:iCs w:val="1"/>
          <w:color w:val="auto"/>
        </w:rPr>
        <w:t>Derivative Assets and Derivative Liabilities</w:t>
      </w:r>
      <w:r>
        <w:rPr>
          <w:rFonts w:ascii="Arial" w:cs="Arial" w:eastAsia="Arial" w:hAnsi="Arial"/>
          <w:sz w:val="17"/>
          <w:szCs w:val="17"/>
          <w:color w:val="auto"/>
        </w:rPr>
        <w:t>. Derivative assets and derivative liabilities are reported at fair value utilizing</w:t>
      </w:r>
      <w:r>
        <w:rPr>
          <w:rFonts w:ascii="Arial" w:cs="Arial" w:eastAsia="Arial" w:hAnsi="Arial"/>
          <w:sz w:val="17"/>
          <w:szCs w:val="17"/>
          <w:i w:val="1"/>
          <w:iCs w:val="1"/>
          <w:color w:val="auto"/>
        </w:rPr>
        <w:t xml:space="preserve"> </w:t>
      </w:r>
      <w:r>
        <w:rPr>
          <w:rFonts w:ascii="Arial" w:cs="Arial" w:eastAsia="Arial" w:hAnsi="Arial"/>
          <w:sz w:val="17"/>
          <w:szCs w:val="17"/>
          <w:color w:val="auto"/>
        </w:rPr>
        <w:t>level 2 measurements. The fair value of derivative assets and liabilities is determined based on prices that are obtained from a third-party which uses observable market inputs. Derivative assets and liabilities are classified as level 2.</w:t>
      </w: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580"/>
        <w:spacing w:after="0" w:line="224" w:lineRule="auto"/>
        <w:rPr>
          <w:sz w:val="20"/>
          <w:szCs w:val="20"/>
          <w:color w:val="auto"/>
        </w:rPr>
      </w:pPr>
      <w:r>
        <w:rPr>
          <w:rFonts w:ascii="Arial" w:cs="Arial" w:eastAsia="Arial" w:hAnsi="Arial"/>
          <w:sz w:val="18"/>
          <w:szCs w:val="18"/>
          <w:color w:val="auto"/>
        </w:rPr>
        <w:t xml:space="preserve">The following table summarizes financial assets and financial liabilities measured at fair value on a recurring basis, segregated by the level of the valuation inputs within the fair value hierarchy utilized to measure fair value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March 31, 2019</w:t>
            </w:r>
          </w:p>
        </w:tc>
        <w:tc>
          <w:tcPr>
            <w:tcW w:w="340" w:type="dxa"/>
            <w:vAlign w:val="bottom"/>
          </w:tcPr>
          <w:p>
            <w:pPr>
              <w:spacing w:after="0"/>
              <w:rPr>
                <w:sz w:val="14"/>
                <w:szCs w:val="14"/>
                <w:color w:val="auto"/>
              </w:rPr>
            </w:pPr>
          </w:p>
        </w:tc>
        <w:tc>
          <w:tcPr>
            <w:tcW w:w="880" w:type="dxa"/>
            <w:vAlign w:val="bottom"/>
          </w:tcPr>
          <w:p>
            <w:pPr>
              <w:jc w:val="center"/>
              <w:ind w:right="193"/>
              <w:spacing w:after="0"/>
              <w:rPr>
                <w:sz w:val="20"/>
                <w:szCs w:val="20"/>
                <w:color w:val="auto"/>
              </w:rPr>
            </w:pPr>
            <w:r>
              <w:rPr>
                <w:rFonts w:ascii="Arial" w:cs="Arial" w:eastAsia="Arial" w:hAnsi="Arial"/>
                <w:sz w:val="14"/>
                <w:szCs w:val="14"/>
                <w:b w:val="1"/>
                <w:bCs w:val="1"/>
                <w:color w:val="auto"/>
                <w:w w:val="92"/>
              </w:rPr>
              <w:t>Level 1</w:t>
            </w:r>
          </w:p>
        </w:tc>
        <w:tc>
          <w:tcPr>
            <w:tcW w:w="300" w:type="dxa"/>
            <w:vAlign w:val="bottom"/>
          </w:tcPr>
          <w:p>
            <w:pPr>
              <w:spacing w:after="0"/>
              <w:rPr>
                <w:sz w:val="14"/>
                <w:szCs w:val="14"/>
                <w:color w:val="auto"/>
              </w:rPr>
            </w:pPr>
          </w:p>
        </w:tc>
        <w:tc>
          <w:tcPr>
            <w:tcW w:w="90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4"/>
                <w:szCs w:val="14"/>
                <w:color w:val="auto"/>
              </w:rPr>
            </w:pPr>
          </w:p>
        </w:tc>
        <w:tc>
          <w:tcPr>
            <w:tcW w:w="840" w:type="dxa"/>
            <w:vAlign w:val="bottom"/>
          </w:tcPr>
          <w:p>
            <w:pPr>
              <w:jc w:val="center"/>
              <w:ind w:right="173"/>
              <w:spacing w:after="0"/>
              <w:rPr>
                <w:sz w:val="20"/>
                <w:szCs w:val="20"/>
                <w:color w:val="auto"/>
              </w:rPr>
            </w:pPr>
            <w:r>
              <w:rPr>
                <w:rFonts w:ascii="Arial" w:cs="Arial" w:eastAsia="Arial" w:hAnsi="Arial"/>
                <w:sz w:val="14"/>
                <w:szCs w:val="14"/>
                <w:b w:val="1"/>
                <w:bCs w:val="1"/>
                <w:color w:val="auto"/>
                <w:w w:val="96"/>
              </w:rPr>
              <w:t>Level 3</w:t>
            </w:r>
          </w:p>
        </w:tc>
        <w:tc>
          <w:tcPr>
            <w:tcW w:w="28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4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5"/>
              </w:rPr>
              <w:t>Inputs</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5"/>
              </w:rPr>
              <w:t>Inputs</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5"/>
              </w:rPr>
              <w:t>Inputs</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7"/>
              </w:rPr>
              <w:t>Fair value adjusted through comprehensive income:</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b w:val="1"/>
                <w:bCs w:val="1"/>
                <w:i w:val="1"/>
                <w:iCs w:val="1"/>
                <w:color w:val="auto"/>
              </w:rPr>
              <w:t>Securities available for sale</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64,309</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00"/>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64,309</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w w:val="93"/>
              </w:rPr>
              <w:t>Obligations of U.S. government corporations and agencies</w:t>
            </w:r>
          </w:p>
        </w:tc>
        <w:tc>
          <w:tcPr>
            <w:tcW w:w="340" w:type="dxa"/>
            <w:vAlign w:val="bottom"/>
          </w:tcPr>
          <w:p>
            <w:pPr>
              <w:spacing w:after="0"/>
              <w:rPr>
                <w:sz w:val="16"/>
                <w:szCs w:val="16"/>
                <w:color w:val="auto"/>
              </w:rPr>
            </w:pPr>
          </w:p>
        </w:tc>
        <w:tc>
          <w:tcPr>
            <w:tcW w:w="880" w:type="dxa"/>
            <w:vAlign w:val="bottom"/>
          </w:tcPr>
          <w:p>
            <w:pPr>
              <w:jc w:val="right"/>
              <w:ind w:right="73"/>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900" w:type="dxa"/>
            <w:vAlign w:val="bottom"/>
          </w:tcPr>
          <w:p>
            <w:pPr>
              <w:jc w:val="right"/>
              <w:ind w:right="53"/>
              <w:spacing w:after="0" w:line="189" w:lineRule="exact"/>
              <w:rPr>
                <w:sz w:val="20"/>
                <w:szCs w:val="20"/>
                <w:color w:val="auto"/>
              </w:rPr>
            </w:pPr>
            <w:r>
              <w:rPr>
                <w:rFonts w:ascii="Arial" w:cs="Arial" w:eastAsia="Arial" w:hAnsi="Arial"/>
                <w:sz w:val="18"/>
                <w:szCs w:val="18"/>
                <w:color w:val="auto"/>
              </w:rPr>
              <w:t>325,420</w:t>
            </w:r>
          </w:p>
        </w:tc>
        <w:tc>
          <w:tcPr>
            <w:tcW w:w="300" w:type="dxa"/>
            <w:vAlign w:val="bottom"/>
          </w:tcPr>
          <w:p>
            <w:pPr>
              <w:spacing w:after="0"/>
              <w:rPr>
                <w:sz w:val="16"/>
                <w:szCs w:val="16"/>
                <w:color w:val="auto"/>
              </w:rPr>
            </w:pPr>
          </w:p>
        </w:tc>
        <w:tc>
          <w:tcPr>
            <w:tcW w:w="840" w:type="dxa"/>
            <w:vAlign w:val="bottom"/>
          </w:tcPr>
          <w:p>
            <w:pPr>
              <w:ind w:left="50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325,420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Obligations of states and political subdivisions</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283,478</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ind w:left="500"/>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283,478</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rPr>
              <w:t>Commercial mortgage-backed securities</w:t>
            </w:r>
          </w:p>
        </w:tc>
        <w:tc>
          <w:tcPr>
            <w:tcW w:w="340" w:type="dxa"/>
            <w:vAlign w:val="bottom"/>
          </w:tcPr>
          <w:p>
            <w:pPr>
              <w:spacing w:after="0"/>
              <w:rPr>
                <w:sz w:val="16"/>
                <w:szCs w:val="16"/>
                <w:color w:val="auto"/>
              </w:rPr>
            </w:pPr>
          </w:p>
        </w:tc>
        <w:tc>
          <w:tcPr>
            <w:tcW w:w="880" w:type="dxa"/>
            <w:vAlign w:val="bottom"/>
          </w:tcPr>
          <w:p>
            <w:pPr>
              <w:jc w:val="right"/>
              <w:ind w:right="73"/>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900" w:type="dxa"/>
            <w:vAlign w:val="bottom"/>
          </w:tcPr>
          <w:p>
            <w:pPr>
              <w:jc w:val="right"/>
              <w:ind w:right="53"/>
              <w:spacing w:after="0" w:line="189" w:lineRule="exact"/>
              <w:rPr>
                <w:sz w:val="20"/>
                <w:szCs w:val="20"/>
                <w:color w:val="auto"/>
              </w:rPr>
            </w:pPr>
            <w:r>
              <w:rPr>
                <w:rFonts w:ascii="Arial" w:cs="Arial" w:eastAsia="Arial" w:hAnsi="Arial"/>
                <w:sz w:val="18"/>
                <w:szCs w:val="18"/>
                <w:color w:val="auto"/>
              </w:rPr>
              <w:t>55,562</w:t>
            </w:r>
          </w:p>
        </w:tc>
        <w:tc>
          <w:tcPr>
            <w:tcW w:w="300" w:type="dxa"/>
            <w:vAlign w:val="bottom"/>
          </w:tcPr>
          <w:p>
            <w:pPr>
              <w:spacing w:after="0"/>
              <w:rPr>
                <w:sz w:val="16"/>
                <w:szCs w:val="16"/>
                <w:color w:val="auto"/>
              </w:rPr>
            </w:pPr>
          </w:p>
        </w:tc>
        <w:tc>
          <w:tcPr>
            <w:tcW w:w="840" w:type="dxa"/>
            <w:vAlign w:val="bottom"/>
          </w:tcPr>
          <w:p>
            <w:pPr>
              <w:ind w:left="50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55,562</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Residential mortgage-backed securities</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w w:val="92"/>
              </w:rPr>
              <w:t>1,049,761</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ind w:left="500"/>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1,049,761</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16"/>
                <w:szCs w:val="16"/>
                <w:color w:val="auto"/>
              </w:rPr>
            </w:pPr>
          </w:p>
        </w:tc>
        <w:tc>
          <w:tcPr>
            <w:tcW w:w="880" w:type="dxa"/>
            <w:vAlign w:val="bottom"/>
          </w:tcPr>
          <w:p>
            <w:pPr>
              <w:jc w:val="right"/>
              <w:ind w:right="73"/>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900" w:type="dxa"/>
            <w:vAlign w:val="bottom"/>
          </w:tcPr>
          <w:p>
            <w:pPr>
              <w:jc w:val="right"/>
              <w:ind w:right="53"/>
              <w:spacing w:after="0" w:line="189" w:lineRule="exact"/>
              <w:rPr>
                <w:sz w:val="20"/>
                <w:szCs w:val="20"/>
                <w:color w:val="auto"/>
              </w:rPr>
            </w:pPr>
            <w:r>
              <w:rPr>
                <w:rFonts w:ascii="Arial" w:cs="Arial" w:eastAsia="Arial" w:hAnsi="Arial"/>
                <w:sz w:val="18"/>
                <w:szCs w:val="18"/>
                <w:color w:val="auto"/>
              </w:rPr>
              <w:t>139,765</w:t>
            </w:r>
          </w:p>
        </w:tc>
        <w:tc>
          <w:tcPr>
            <w:tcW w:w="300" w:type="dxa"/>
            <w:vAlign w:val="bottom"/>
          </w:tcPr>
          <w:p>
            <w:pPr>
              <w:spacing w:after="0"/>
              <w:rPr>
                <w:sz w:val="16"/>
                <w:szCs w:val="16"/>
                <w:color w:val="auto"/>
              </w:rPr>
            </w:pPr>
          </w:p>
        </w:tc>
        <w:tc>
          <w:tcPr>
            <w:tcW w:w="840" w:type="dxa"/>
            <w:vAlign w:val="bottom"/>
          </w:tcPr>
          <w:p>
            <w:pPr>
              <w:ind w:left="50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139,765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7"/>
              </w:rPr>
              <w:t>Fair value adjusted through current period earnings:</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b w:val="1"/>
                <w:bCs w:val="1"/>
                <w:i w:val="1"/>
                <w:iCs w:val="1"/>
                <w:color w:val="auto"/>
              </w:rPr>
              <w:t>Securities equity investments</w:t>
            </w:r>
          </w:p>
        </w:tc>
        <w:tc>
          <w:tcPr>
            <w:tcW w:w="340" w:type="dxa"/>
            <w:vAlign w:val="bottom"/>
          </w:tcPr>
          <w:p>
            <w:pPr>
              <w:spacing w:after="0"/>
              <w:rPr>
                <w:sz w:val="16"/>
                <w:szCs w:val="16"/>
                <w:color w:val="auto"/>
              </w:rPr>
            </w:pPr>
          </w:p>
        </w:tc>
        <w:tc>
          <w:tcPr>
            <w:tcW w:w="880" w:type="dxa"/>
            <w:vAlign w:val="bottom"/>
          </w:tcPr>
          <w:p>
            <w:pPr>
              <w:jc w:val="right"/>
              <w:ind w:right="73"/>
              <w:spacing w:after="0" w:line="189" w:lineRule="exact"/>
              <w:rPr>
                <w:sz w:val="20"/>
                <w:szCs w:val="20"/>
                <w:color w:val="auto"/>
              </w:rPr>
            </w:pPr>
            <w:r>
              <w:rPr>
                <w:rFonts w:ascii="Arial" w:cs="Arial" w:eastAsia="Arial" w:hAnsi="Arial"/>
                <w:sz w:val="18"/>
                <w:szCs w:val="18"/>
                <w:color w:val="auto"/>
              </w:rPr>
              <w:t>6,378</w:t>
            </w:r>
          </w:p>
        </w:tc>
        <w:tc>
          <w:tcPr>
            <w:tcW w:w="300" w:type="dxa"/>
            <w:vAlign w:val="bottom"/>
          </w:tcPr>
          <w:p>
            <w:pPr>
              <w:spacing w:after="0"/>
              <w:rPr>
                <w:sz w:val="16"/>
                <w:szCs w:val="16"/>
                <w:color w:val="auto"/>
              </w:rPr>
            </w:pPr>
          </w:p>
        </w:tc>
        <w:tc>
          <w:tcPr>
            <w:tcW w:w="900" w:type="dxa"/>
            <w:vAlign w:val="bottom"/>
          </w:tcPr>
          <w:p>
            <w:pPr>
              <w:jc w:val="right"/>
              <w:ind w:right="53"/>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840" w:type="dxa"/>
            <w:vAlign w:val="bottom"/>
          </w:tcPr>
          <w:p>
            <w:pPr>
              <w:ind w:left="50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Loans held for sale</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20,291</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ind w:left="500"/>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20,291</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b w:val="1"/>
                <w:bCs w:val="1"/>
                <w:i w:val="1"/>
                <w:iCs w:val="1"/>
                <w:color w:val="auto"/>
              </w:rPr>
              <w:t>Derivative assets</w:t>
            </w:r>
          </w:p>
        </w:tc>
        <w:tc>
          <w:tcPr>
            <w:tcW w:w="340" w:type="dxa"/>
            <w:vAlign w:val="bottom"/>
          </w:tcPr>
          <w:p>
            <w:pPr>
              <w:spacing w:after="0"/>
              <w:rPr>
                <w:sz w:val="16"/>
                <w:szCs w:val="16"/>
                <w:color w:val="auto"/>
              </w:rPr>
            </w:pPr>
          </w:p>
        </w:tc>
        <w:tc>
          <w:tcPr>
            <w:tcW w:w="880" w:type="dxa"/>
            <w:vAlign w:val="bottom"/>
          </w:tcPr>
          <w:p>
            <w:pPr>
              <w:jc w:val="right"/>
              <w:ind w:right="73"/>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900" w:type="dxa"/>
            <w:vAlign w:val="bottom"/>
          </w:tcPr>
          <w:p>
            <w:pPr>
              <w:jc w:val="right"/>
              <w:ind w:right="53"/>
              <w:spacing w:after="0" w:line="189" w:lineRule="exact"/>
              <w:rPr>
                <w:sz w:val="20"/>
                <w:szCs w:val="20"/>
                <w:color w:val="auto"/>
              </w:rPr>
            </w:pPr>
            <w:r>
              <w:rPr>
                <w:rFonts w:ascii="Arial" w:cs="Arial" w:eastAsia="Arial" w:hAnsi="Arial"/>
                <w:sz w:val="18"/>
                <w:szCs w:val="18"/>
                <w:color w:val="auto"/>
              </w:rPr>
              <w:t>5,986</w:t>
            </w:r>
          </w:p>
        </w:tc>
        <w:tc>
          <w:tcPr>
            <w:tcW w:w="300" w:type="dxa"/>
            <w:vAlign w:val="bottom"/>
          </w:tcPr>
          <w:p>
            <w:pPr>
              <w:spacing w:after="0"/>
              <w:rPr>
                <w:sz w:val="16"/>
                <w:szCs w:val="16"/>
                <w:color w:val="auto"/>
              </w:rPr>
            </w:pPr>
          </w:p>
        </w:tc>
        <w:tc>
          <w:tcPr>
            <w:tcW w:w="840" w:type="dxa"/>
            <w:vAlign w:val="bottom"/>
          </w:tcPr>
          <w:p>
            <w:pPr>
              <w:ind w:left="50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5,986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Derivative liabilities</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6,269</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ind w:left="500"/>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6,269</w:t>
            </w:r>
          </w:p>
        </w:tc>
        <w:tc>
          <w:tcPr>
            <w:tcW w:w="0" w:type="dxa"/>
            <w:vAlign w:val="bottom"/>
          </w:tcPr>
          <w:p>
            <w:pPr>
              <w:spacing w:after="0"/>
              <w:rPr>
                <w:sz w:val="1"/>
                <w:szCs w:val="1"/>
                <w:color w:val="auto"/>
              </w:rPr>
            </w:pPr>
          </w:p>
        </w:tc>
      </w:tr>
      <w:tr>
        <w:trPr>
          <w:trHeight w:val="315"/>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2018</w:t>
            </w:r>
          </w:p>
        </w:tc>
        <w:tc>
          <w:tcPr>
            <w:tcW w:w="340" w:type="dxa"/>
            <w:vAlign w:val="bottom"/>
          </w:tcPr>
          <w:p>
            <w:pPr>
              <w:spacing w:after="0"/>
              <w:rPr>
                <w:sz w:val="24"/>
                <w:szCs w:val="24"/>
                <w:color w:val="auto"/>
              </w:rPr>
            </w:pPr>
          </w:p>
        </w:tc>
        <w:tc>
          <w:tcPr>
            <w:tcW w:w="88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Level 1</w:t>
            </w:r>
          </w:p>
        </w:tc>
        <w:tc>
          <w:tcPr>
            <w:tcW w:w="300" w:type="dxa"/>
            <w:vAlign w:val="bottom"/>
          </w:tcPr>
          <w:p>
            <w:pPr>
              <w:spacing w:after="0"/>
              <w:rPr>
                <w:sz w:val="24"/>
                <w:szCs w:val="24"/>
                <w:color w:val="auto"/>
              </w:rPr>
            </w:pPr>
          </w:p>
        </w:tc>
        <w:tc>
          <w:tcPr>
            <w:tcW w:w="900" w:type="dxa"/>
            <w:vAlign w:val="bottom"/>
          </w:tcPr>
          <w:p>
            <w:pPr>
              <w:jc w:val="center"/>
              <w:ind w:right="153"/>
              <w:spacing w:after="0"/>
              <w:rPr>
                <w:sz w:val="20"/>
                <w:szCs w:val="20"/>
                <w:color w:val="auto"/>
              </w:rPr>
            </w:pPr>
            <w:r>
              <w:rPr>
                <w:rFonts w:ascii="Arial" w:cs="Arial" w:eastAsia="Arial" w:hAnsi="Arial"/>
                <w:sz w:val="14"/>
                <w:szCs w:val="14"/>
                <w:b w:val="1"/>
                <w:bCs w:val="1"/>
                <w:color w:val="auto"/>
                <w:w w:val="96"/>
              </w:rPr>
              <w:t>Level 2</w:t>
            </w:r>
          </w:p>
        </w:tc>
        <w:tc>
          <w:tcPr>
            <w:tcW w:w="300" w:type="dxa"/>
            <w:vAlign w:val="bottom"/>
          </w:tcPr>
          <w:p>
            <w:pPr>
              <w:spacing w:after="0"/>
              <w:rPr>
                <w:sz w:val="24"/>
                <w:szCs w:val="24"/>
                <w:color w:val="auto"/>
              </w:rPr>
            </w:pPr>
          </w:p>
        </w:tc>
        <w:tc>
          <w:tcPr>
            <w:tcW w:w="84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Level 3</w:t>
            </w:r>
          </w:p>
        </w:tc>
        <w:tc>
          <w:tcPr>
            <w:tcW w:w="280" w:type="dxa"/>
            <w:vAlign w:val="bottom"/>
          </w:tcPr>
          <w:p>
            <w:pPr>
              <w:spacing w:after="0"/>
              <w:rPr>
                <w:sz w:val="24"/>
                <w:szCs w:val="24"/>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4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5"/>
              </w:rPr>
              <w:t>Inputs</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5"/>
              </w:rPr>
              <w:t>Inputs</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5"/>
              </w:rPr>
              <w:t>Inputs</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i w:val="1"/>
                <w:iCs w:val="1"/>
                <w:color w:val="auto"/>
              </w:rPr>
              <w:t>Securities available for sale</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rPr>
              <w:t>U.S. Treasury securities</w:t>
            </w:r>
          </w:p>
        </w:tc>
        <w:tc>
          <w:tcPr>
            <w:tcW w:w="3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line="189" w:lineRule="exact"/>
              <w:rPr>
                <w:sz w:val="20"/>
                <w:szCs w:val="20"/>
                <w:color w:val="auto"/>
              </w:rPr>
            </w:pPr>
            <w:r>
              <w:rPr>
                <w:rFonts w:ascii="Arial" w:cs="Arial" w:eastAsia="Arial" w:hAnsi="Arial"/>
                <w:sz w:val="18"/>
                <w:szCs w:val="18"/>
                <w:color w:val="auto"/>
              </w:rPr>
              <w:t>25,411</w:t>
            </w:r>
          </w:p>
        </w:tc>
        <w:tc>
          <w:tcPr>
            <w:tcW w:w="3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ind w:left="54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Obligations of U.S. government corporations and agencies</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52,342</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52,342</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rPr>
              <w:t>Obligations of states and political subdivisions</w:t>
            </w:r>
          </w:p>
        </w:tc>
        <w:tc>
          <w:tcPr>
            <w:tcW w:w="340" w:type="dxa"/>
            <w:vAlign w:val="bottom"/>
          </w:tcPr>
          <w:p>
            <w:pPr>
              <w:spacing w:after="0"/>
              <w:rPr>
                <w:sz w:val="16"/>
                <w:szCs w:val="16"/>
                <w:color w:val="auto"/>
              </w:rPr>
            </w:pPr>
          </w:p>
        </w:tc>
        <w:tc>
          <w:tcPr>
            <w:tcW w:w="880" w:type="dxa"/>
            <w:vAlign w:val="bottom"/>
          </w:tcPr>
          <w:p>
            <w:pPr>
              <w:jc w:val="right"/>
              <w:ind w:right="53"/>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900" w:type="dxa"/>
            <w:vAlign w:val="bottom"/>
          </w:tcPr>
          <w:p>
            <w:pPr>
              <w:jc w:val="right"/>
              <w:ind w:right="73"/>
              <w:spacing w:after="0" w:line="189" w:lineRule="exact"/>
              <w:rPr>
                <w:sz w:val="20"/>
                <w:szCs w:val="20"/>
                <w:color w:val="auto"/>
              </w:rPr>
            </w:pPr>
            <w:r>
              <w:rPr>
                <w:rFonts w:ascii="Arial" w:cs="Arial" w:eastAsia="Arial" w:hAnsi="Arial"/>
                <w:sz w:val="18"/>
                <w:szCs w:val="18"/>
                <w:color w:val="auto"/>
              </w:rPr>
              <w:t>170,044</w:t>
            </w:r>
          </w:p>
        </w:tc>
        <w:tc>
          <w:tcPr>
            <w:tcW w:w="300" w:type="dxa"/>
            <w:vAlign w:val="bottom"/>
          </w:tcPr>
          <w:p>
            <w:pPr>
              <w:spacing w:after="0"/>
              <w:rPr>
                <w:sz w:val="16"/>
                <w:szCs w:val="16"/>
                <w:color w:val="auto"/>
              </w:rPr>
            </w:pPr>
          </w:p>
        </w:tc>
        <w:tc>
          <w:tcPr>
            <w:tcW w:w="840" w:type="dxa"/>
            <w:vAlign w:val="bottom"/>
          </w:tcPr>
          <w:p>
            <w:pPr>
              <w:ind w:left="54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170,044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Commercial mortgage-backed securities</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1,942</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rPr>
              <w:t>Residential mortgage-backed securities</w:t>
            </w:r>
          </w:p>
        </w:tc>
        <w:tc>
          <w:tcPr>
            <w:tcW w:w="340" w:type="dxa"/>
            <w:vAlign w:val="bottom"/>
          </w:tcPr>
          <w:p>
            <w:pPr>
              <w:spacing w:after="0"/>
              <w:rPr>
                <w:sz w:val="16"/>
                <w:szCs w:val="16"/>
                <w:color w:val="auto"/>
              </w:rPr>
            </w:pPr>
          </w:p>
        </w:tc>
        <w:tc>
          <w:tcPr>
            <w:tcW w:w="880" w:type="dxa"/>
            <w:vAlign w:val="bottom"/>
          </w:tcPr>
          <w:p>
            <w:pPr>
              <w:jc w:val="right"/>
              <w:ind w:right="53"/>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900" w:type="dxa"/>
            <w:vAlign w:val="bottom"/>
          </w:tcPr>
          <w:p>
            <w:pPr>
              <w:jc w:val="right"/>
              <w:ind w:right="73"/>
              <w:spacing w:after="0" w:line="189" w:lineRule="exact"/>
              <w:rPr>
                <w:sz w:val="20"/>
                <w:szCs w:val="20"/>
                <w:color w:val="auto"/>
              </w:rPr>
            </w:pPr>
            <w:r>
              <w:rPr>
                <w:rFonts w:ascii="Arial" w:cs="Arial" w:eastAsia="Arial" w:hAnsi="Arial"/>
                <w:sz w:val="18"/>
                <w:szCs w:val="18"/>
                <w:color w:val="auto"/>
              </w:rPr>
              <w:t>315,748</w:t>
            </w:r>
          </w:p>
        </w:tc>
        <w:tc>
          <w:tcPr>
            <w:tcW w:w="300" w:type="dxa"/>
            <w:vAlign w:val="bottom"/>
          </w:tcPr>
          <w:p>
            <w:pPr>
              <w:spacing w:after="0"/>
              <w:rPr>
                <w:sz w:val="16"/>
                <w:szCs w:val="16"/>
                <w:color w:val="auto"/>
              </w:rPr>
            </w:pPr>
          </w:p>
        </w:tc>
        <w:tc>
          <w:tcPr>
            <w:tcW w:w="840" w:type="dxa"/>
            <w:vAlign w:val="bottom"/>
          </w:tcPr>
          <w:p>
            <w:pPr>
              <w:ind w:left="54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315,748</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132,198</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132,198</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b w:val="1"/>
                <w:bCs w:val="1"/>
                <w:color w:val="auto"/>
              </w:rPr>
              <w:t>Fair value adjusted through period earnings:</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Securities equity investments</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6,169</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b w:val="1"/>
                <w:bCs w:val="1"/>
                <w:i w:val="1"/>
                <w:iCs w:val="1"/>
                <w:color w:val="auto"/>
              </w:rPr>
              <w:t>Loans held for sale</w:t>
            </w:r>
          </w:p>
        </w:tc>
        <w:tc>
          <w:tcPr>
            <w:tcW w:w="340" w:type="dxa"/>
            <w:vAlign w:val="bottom"/>
          </w:tcPr>
          <w:p>
            <w:pPr>
              <w:spacing w:after="0"/>
              <w:rPr>
                <w:sz w:val="16"/>
                <w:szCs w:val="16"/>
                <w:color w:val="auto"/>
              </w:rPr>
            </w:pPr>
          </w:p>
        </w:tc>
        <w:tc>
          <w:tcPr>
            <w:tcW w:w="880" w:type="dxa"/>
            <w:vAlign w:val="bottom"/>
          </w:tcPr>
          <w:p>
            <w:pPr>
              <w:jc w:val="right"/>
              <w:ind w:right="53"/>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900" w:type="dxa"/>
            <w:vAlign w:val="bottom"/>
          </w:tcPr>
          <w:p>
            <w:pPr>
              <w:jc w:val="right"/>
              <w:ind w:right="73"/>
              <w:spacing w:after="0" w:line="189" w:lineRule="exact"/>
              <w:rPr>
                <w:sz w:val="20"/>
                <w:szCs w:val="20"/>
                <w:color w:val="auto"/>
              </w:rPr>
            </w:pPr>
            <w:r>
              <w:rPr>
                <w:rFonts w:ascii="Arial" w:cs="Arial" w:eastAsia="Arial" w:hAnsi="Arial"/>
                <w:sz w:val="18"/>
                <w:szCs w:val="18"/>
                <w:color w:val="auto"/>
              </w:rPr>
              <w:t>25,895</w:t>
            </w:r>
          </w:p>
        </w:tc>
        <w:tc>
          <w:tcPr>
            <w:tcW w:w="300" w:type="dxa"/>
            <w:vAlign w:val="bottom"/>
          </w:tcPr>
          <w:p>
            <w:pPr>
              <w:spacing w:after="0"/>
              <w:rPr>
                <w:sz w:val="16"/>
                <w:szCs w:val="16"/>
                <w:color w:val="auto"/>
              </w:rPr>
            </w:pPr>
          </w:p>
        </w:tc>
        <w:tc>
          <w:tcPr>
            <w:tcW w:w="840" w:type="dxa"/>
            <w:vAlign w:val="bottom"/>
          </w:tcPr>
          <w:p>
            <w:pPr>
              <w:ind w:left="54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25,895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Derivative assets</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2,062</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340" w:type="dxa"/>
            <w:vAlign w:val="bottom"/>
          </w:tcPr>
          <w:p>
            <w:pPr>
              <w:spacing w:after="0"/>
              <w:rPr>
                <w:sz w:val="20"/>
                <w:szCs w:val="20"/>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2,643</w:t>
            </w:r>
          </w:p>
        </w:tc>
        <w:tc>
          <w:tcPr>
            <w:tcW w:w="300" w:type="dxa"/>
            <w:vAlign w:val="bottom"/>
          </w:tcPr>
          <w:p>
            <w:pPr>
              <w:spacing w:after="0"/>
              <w:rPr>
                <w:sz w:val="20"/>
                <w:szCs w:val="20"/>
                <w:color w:val="auto"/>
              </w:rPr>
            </w:pPr>
          </w:p>
        </w:tc>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23" w:lineRule="exact"/>
        <w:rPr>
          <w:sz w:val="20"/>
          <w:szCs w:val="20"/>
          <w:color w:val="auto"/>
        </w:rPr>
      </w:pPr>
    </w:p>
    <w:p>
      <w:pPr>
        <w:spacing w:after="0" w:line="241" w:lineRule="auto"/>
        <w:rPr>
          <w:sz w:val="20"/>
          <w:szCs w:val="20"/>
          <w:color w:val="auto"/>
        </w:rPr>
      </w:pPr>
      <w:r>
        <w:rPr>
          <w:rFonts w:ascii="Arial" w:cs="Arial" w:eastAsia="Arial" w:hAnsi="Arial"/>
          <w:sz w:val="16"/>
          <w:szCs w:val="16"/>
          <w:i w:val="1"/>
          <w:iCs w:val="1"/>
          <w:color w:val="auto"/>
        </w:rPr>
        <w:t>Impaired Loans</w:t>
      </w:r>
      <w:r>
        <w:rPr>
          <w:rFonts w:ascii="Arial" w:cs="Arial" w:eastAsia="Arial" w:hAnsi="Arial"/>
          <w:sz w:val="16"/>
          <w:szCs w:val="16"/>
          <w:color w:val="auto"/>
        </w:rPr>
        <w:t>. The Company does not record loans at fair value on a recurring basis. However, periodically, a loan is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as impaired and is reported at 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w:t>
      </w:r>
    </w:p>
    <w:p>
      <w:pPr>
        <w:spacing w:after="0" w:line="120"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i w:val="1"/>
          <w:iCs w:val="1"/>
          <w:color w:val="auto"/>
        </w:rPr>
        <w:t xml:space="preserve">OREO. </w:t>
      </w:r>
      <w:r>
        <w:rPr>
          <w:rFonts w:ascii="Arial" w:cs="Arial" w:eastAsia="Arial" w:hAnsi="Arial"/>
          <w:sz w:val="18"/>
          <w:szCs w:val="18"/>
          <w:color w:val="auto"/>
        </w:rPr>
        <w:t>Non-financial assets and non-financial liabilities measured at fair value include OREO (upon initial recognition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impairment). OREO properties are measured using a combination of observable inputs, including recent appraisals, and unobservable inputs. Due to the significance of the unobservable inputs, all OREO fair values have been classified as level 3.</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40"/>
        <w:spacing w:after="0" w:line="216" w:lineRule="auto"/>
        <w:rPr>
          <w:sz w:val="20"/>
          <w:szCs w:val="20"/>
          <w:color w:val="auto"/>
        </w:rPr>
      </w:pPr>
      <w:r>
        <w:rPr>
          <w:rFonts w:ascii="Arial" w:cs="Arial" w:eastAsia="Arial" w:hAnsi="Arial"/>
          <w:sz w:val="18"/>
          <w:szCs w:val="18"/>
          <w:i w:val="1"/>
          <w:iCs w:val="1"/>
          <w:color w:val="auto"/>
        </w:rPr>
        <w:t xml:space="preserve">Bank Property Held for Sale. </w:t>
      </w:r>
      <w:r>
        <w:rPr>
          <w:rFonts w:ascii="Arial" w:cs="Arial" w:eastAsia="Arial" w:hAnsi="Arial"/>
          <w:sz w:val="18"/>
          <w:szCs w:val="18"/>
          <w:color w:val="auto"/>
        </w:rPr>
        <w:t>Bank property held for sale represents certain banking center office buildings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closed and consolidated with other existing banking centers. Bank property held for sale is measured at the lower of amortized cost or fair value less estimated costs to sell. The fair values were based upon appraisals or real estate listing price. Due to the significance of the unobservable inputs, all bank property held for sale fair values have been classified as level 3.</w:t>
      </w:r>
    </w:p>
    <w:p>
      <w:pPr>
        <w:spacing w:after="0" w:line="122"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 xml:space="preserve">The following table summarizes assets and liabilities measured at fair value on a non-recurring basis, segregated by the level of the valuation inputs within the fair value hierarchy utilized to measure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4"/>
                <w:szCs w:val="14"/>
                <w:color w:val="auto"/>
              </w:rPr>
            </w:pPr>
          </w:p>
        </w:tc>
        <w:tc>
          <w:tcPr>
            <w:tcW w:w="1020" w:type="dxa"/>
            <w:vAlign w:val="bottom"/>
          </w:tcPr>
          <w:p>
            <w:pPr>
              <w:ind w:left="540"/>
              <w:spacing w:after="0"/>
              <w:rPr>
                <w:sz w:val="20"/>
                <w:szCs w:val="20"/>
                <w:color w:val="auto"/>
              </w:rPr>
            </w:pPr>
            <w:r>
              <w:rPr>
                <w:rFonts w:ascii="Arial" w:cs="Arial" w:eastAsia="Arial" w:hAnsi="Arial"/>
                <w:sz w:val="14"/>
                <w:szCs w:val="14"/>
                <w:b w:val="1"/>
                <w:bCs w:val="1"/>
                <w:color w:val="auto"/>
                <w:w w:val="96"/>
              </w:rPr>
              <w:t>Level 2</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374"/>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4"/>
                <w:szCs w:val="14"/>
                <w:color w:val="auto"/>
              </w:rPr>
            </w:pP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171"/>
        </w:trPr>
        <w:tc>
          <w:tcPr>
            <w:tcW w:w="36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Inputs</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Inputs</w:t>
            </w: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Inputs</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36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March 31, 2019</w:t>
            </w: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9"/>
        </w:trPr>
        <w:tc>
          <w:tcPr>
            <w:tcW w:w="3600" w:type="dxa"/>
            <w:vAlign w:val="bottom"/>
          </w:tcPr>
          <w:p>
            <w:pPr>
              <w:spacing w:after="0" w:line="189" w:lineRule="exact"/>
              <w:rPr>
                <w:sz w:val="20"/>
                <w:szCs w:val="20"/>
                <w:color w:val="auto"/>
              </w:rPr>
            </w:pPr>
            <w:r>
              <w:rPr>
                <w:rFonts w:ascii="Arial" w:cs="Arial" w:eastAsia="Arial" w:hAnsi="Arial"/>
                <w:sz w:val="18"/>
                <w:szCs w:val="18"/>
                <w:color w:val="auto"/>
              </w:rPr>
              <w:t>Impaired loans</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6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659"/>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ind w:left="80"/>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4"/>
              <w:spacing w:after="0" w:line="189" w:lineRule="exact"/>
              <w:rPr>
                <w:sz w:val="20"/>
                <w:szCs w:val="20"/>
                <w:color w:val="auto"/>
              </w:rPr>
            </w:pPr>
            <w:r>
              <w:rPr>
                <w:rFonts w:ascii="Arial" w:cs="Arial" w:eastAsia="Arial" w:hAnsi="Arial"/>
                <w:sz w:val="18"/>
                <w:szCs w:val="18"/>
                <w:color w:val="auto"/>
              </w:rPr>
              <w:t>10,001</w:t>
            </w:r>
          </w:p>
        </w:tc>
        <w:tc>
          <w:tcPr>
            <w:tcW w:w="3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10,001</w:t>
            </w:r>
          </w:p>
        </w:tc>
      </w:tr>
      <w:tr>
        <w:trPr>
          <w:trHeight w:val="189"/>
        </w:trPr>
        <w:tc>
          <w:tcPr>
            <w:tcW w:w="3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OREO</w:t>
            </w: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4"/>
              <w:spacing w:after="0" w:line="189" w:lineRule="exact"/>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84</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Bank property held for sale</w:t>
            </w:r>
          </w:p>
        </w:tc>
        <w:tc>
          <w:tcPr>
            <w:tcW w:w="86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1,832</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1,832</w:t>
            </w:r>
          </w:p>
        </w:tc>
      </w:tr>
      <w:tr>
        <w:trPr>
          <w:trHeight w:val="148"/>
        </w:trPr>
        <w:tc>
          <w:tcPr>
            <w:tcW w:w="3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9"/>
        </w:trPr>
        <w:tc>
          <w:tcPr>
            <w:tcW w:w="36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December 31, 2018</w:t>
            </w: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3600" w:type="dxa"/>
            <w:vAlign w:val="bottom"/>
          </w:tcPr>
          <w:p>
            <w:pPr>
              <w:spacing w:after="0" w:line="189" w:lineRule="exact"/>
              <w:rPr>
                <w:sz w:val="20"/>
                <w:szCs w:val="20"/>
                <w:color w:val="auto"/>
              </w:rPr>
            </w:pPr>
            <w:r>
              <w:rPr>
                <w:rFonts w:ascii="Arial" w:cs="Arial" w:eastAsia="Arial" w:hAnsi="Arial"/>
                <w:sz w:val="18"/>
                <w:szCs w:val="18"/>
                <w:color w:val="auto"/>
              </w:rPr>
              <w:t>Impaired loans</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4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679"/>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ind w:left="60"/>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line="189" w:lineRule="exact"/>
              <w:rPr>
                <w:sz w:val="20"/>
                <w:szCs w:val="20"/>
                <w:color w:val="auto"/>
              </w:rPr>
            </w:pPr>
            <w:r>
              <w:rPr>
                <w:rFonts w:ascii="Arial" w:cs="Arial" w:eastAsia="Arial" w:hAnsi="Arial"/>
                <w:sz w:val="18"/>
                <w:szCs w:val="18"/>
                <w:color w:val="auto"/>
              </w:rPr>
              <w:t>10,999</w:t>
            </w:r>
          </w:p>
        </w:tc>
        <w:tc>
          <w:tcPr>
            <w:tcW w:w="3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10,999</w:t>
            </w:r>
          </w:p>
        </w:tc>
      </w:tr>
      <w:tr>
        <w:trPr>
          <w:trHeight w:val="189"/>
        </w:trPr>
        <w:tc>
          <w:tcPr>
            <w:tcW w:w="3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OREO</w:t>
            </w: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4"/>
              <w:spacing w:after="0" w:line="189" w:lineRule="exact"/>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55</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Bank property held for sale</w:t>
            </w:r>
          </w:p>
        </w:tc>
        <w:tc>
          <w:tcPr>
            <w:tcW w:w="86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1,832</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1,832</w:t>
            </w:r>
          </w:p>
        </w:tc>
      </w:tr>
    </w:tbl>
    <w:p>
      <w:pPr>
        <w:spacing w:after="0" w:line="106"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2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158"/>
              <w:spacing w:after="0" w:line="119" w:lineRule="exact"/>
              <w:rPr>
                <w:sz w:val="20"/>
                <w:szCs w:val="20"/>
                <w:color w:val="auto"/>
              </w:rPr>
            </w:pPr>
            <w:r>
              <w:rPr>
                <w:rFonts w:ascii="Arial" w:cs="Arial" w:eastAsia="Arial" w:hAnsi="Arial"/>
                <w:sz w:val="13"/>
                <w:szCs w:val="13"/>
                <w:b w:val="1"/>
                <w:bCs w:val="1"/>
                <w:color w:val="auto"/>
              </w:rPr>
              <w:t>Fair Value</w:t>
            </w:r>
          </w:p>
        </w:tc>
        <w:tc>
          <w:tcPr>
            <w:tcW w:w="1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Valuation</w:t>
            </w:r>
          </w:p>
        </w:tc>
        <w:tc>
          <w:tcPr>
            <w:tcW w:w="2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Unobservable</w:t>
            </w:r>
          </w:p>
        </w:tc>
        <w:tc>
          <w:tcPr>
            <w:tcW w:w="1300" w:type="dxa"/>
            <w:vAlign w:val="bottom"/>
          </w:tcPr>
          <w:p>
            <w:pPr>
              <w:jc w:val="center"/>
              <w:ind w:left="555"/>
              <w:spacing w:after="0" w:line="119" w:lineRule="exact"/>
              <w:rPr>
                <w:sz w:val="20"/>
                <w:szCs w:val="20"/>
                <w:color w:val="auto"/>
              </w:rPr>
            </w:pPr>
            <w:r>
              <w:rPr>
                <w:rFonts w:ascii="Arial" w:cs="Arial" w:eastAsia="Arial" w:hAnsi="Arial"/>
                <w:sz w:val="13"/>
                <w:szCs w:val="13"/>
                <w:b w:val="1"/>
                <w:bCs w:val="1"/>
                <w:color w:val="auto"/>
                <w:w w:val="95"/>
              </w:rPr>
              <w:t>Range</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Estimate</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March 31, 2019</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8"/>
                <w:szCs w:val="18"/>
                <w:color w:val="auto"/>
              </w:rPr>
              <w:t>Impaired loans</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98"/>
              <w:spacing w:after="0" w:line="189" w:lineRule="exact"/>
              <w:rPr>
                <w:sz w:val="20"/>
                <w:szCs w:val="20"/>
                <w:color w:val="auto"/>
              </w:rPr>
            </w:pPr>
            <w:r>
              <w:rPr>
                <w:rFonts w:ascii="Arial" w:cs="Arial" w:eastAsia="Arial" w:hAnsi="Arial"/>
                <w:sz w:val="18"/>
                <w:szCs w:val="18"/>
                <w:color w:val="auto"/>
              </w:rPr>
              <w:t>10,001</w:t>
            </w:r>
          </w:p>
        </w:tc>
        <w:tc>
          <w:tcPr>
            <w:tcW w:w="1900" w:type="dxa"/>
            <w:vAlign w:val="bottom"/>
          </w:tcPr>
          <w:p>
            <w:pPr>
              <w:jc w:val="center"/>
              <w:spacing w:after="0" w:line="189" w:lineRule="exact"/>
              <w:rPr>
                <w:sz w:val="20"/>
                <w:szCs w:val="20"/>
                <w:color w:val="auto"/>
              </w:rPr>
            </w:pPr>
            <w:r>
              <w:rPr>
                <w:rFonts w:ascii="Arial" w:cs="Arial" w:eastAsia="Arial" w:hAnsi="Arial"/>
                <w:sz w:val="18"/>
                <w:szCs w:val="18"/>
                <w:color w:val="auto"/>
                <w:w w:val="94"/>
              </w:rPr>
              <w:t>Appraisal of collateral</w:t>
            </w:r>
          </w:p>
        </w:tc>
        <w:tc>
          <w:tcPr>
            <w:tcW w:w="2060" w:type="dxa"/>
            <w:vAlign w:val="bottom"/>
          </w:tcPr>
          <w:p>
            <w:pPr>
              <w:ind w:left="140"/>
              <w:spacing w:after="0" w:line="189" w:lineRule="exact"/>
              <w:rPr>
                <w:sz w:val="20"/>
                <w:szCs w:val="20"/>
                <w:color w:val="auto"/>
              </w:rPr>
            </w:pPr>
            <w:r>
              <w:rPr>
                <w:rFonts w:ascii="Arial" w:cs="Arial" w:eastAsia="Arial" w:hAnsi="Arial"/>
                <w:sz w:val="18"/>
                <w:szCs w:val="18"/>
                <w:color w:val="auto"/>
              </w:rPr>
              <w:t>Appraisal adjustments</w:t>
            </w:r>
          </w:p>
        </w:tc>
        <w:tc>
          <w:tcPr>
            <w:tcW w:w="1940" w:type="dxa"/>
            <w:vAlign w:val="bottom"/>
            <w:gridSpan w:val="2"/>
          </w:tcPr>
          <w:p>
            <w:pPr>
              <w:ind w:left="380"/>
              <w:spacing w:after="0" w:line="189" w:lineRule="exact"/>
              <w:rPr>
                <w:sz w:val="20"/>
                <w:szCs w:val="20"/>
                <w:color w:val="auto"/>
              </w:rPr>
            </w:pPr>
            <w:r>
              <w:rPr>
                <w:rFonts w:ascii="Arial" w:cs="Arial" w:eastAsia="Arial" w:hAnsi="Arial"/>
                <w:sz w:val="18"/>
                <w:szCs w:val="18"/>
                <w:color w:val="auto"/>
                <w:w w:val="96"/>
              </w:rPr>
              <w:t>- 4.1 % to - 100.0 %</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left="575"/>
              <w:spacing w:after="0" w:line="189" w:lineRule="exact"/>
              <w:rPr>
                <w:sz w:val="20"/>
                <w:szCs w:val="20"/>
                <w:color w:val="auto"/>
              </w:rPr>
            </w:pPr>
            <w:r>
              <w:rPr>
                <w:rFonts w:ascii="Arial" w:cs="Arial" w:eastAsia="Arial" w:hAnsi="Arial"/>
                <w:sz w:val="18"/>
                <w:szCs w:val="18"/>
                <w:color w:val="auto"/>
                <w:w w:val="92"/>
              </w:rPr>
              <w:t>(-25.6)%</w:t>
            </w: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vMerge w:val="restart"/>
          </w:tcPr>
          <w:p>
            <w:pPr>
              <w:ind w:left="300"/>
              <w:spacing w:after="0" w:line="378" w:lineRule="exact"/>
              <w:rPr>
                <w:sz w:val="20"/>
                <w:szCs w:val="20"/>
                <w:color w:val="auto"/>
              </w:rPr>
            </w:pPr>
            <w:r>
              <w:rPr>
                <w:rFonts w:ascii="Arial" w:cs="Arial" w:eastAsia="Arial" w:hAnsi="Arial"/>
                <w:sz w:val="18"/>
                <w:szCs w:val="18"/>
                <w:color w:val="auto"/>
                <w:w w:val="98"/>
              </w:rPr>
              <w:t xml:space="preserve">- 25.0 </w:t>
            </w:r>
            <w:r>
              <w:rPr>
                <w:rFonts w:ascii="Arial" w:cs="Arial" w:eastAsia="Arial" w:hAnsi="Arial"/>
                <w:sz w:val="36"/>
                <w:szCs w:val="36"/>
                <w:color w:val="auto"/>
                <w:w w:val="98"/>
                <w:vertAlign w:val="subscript"/>
              </w:rPr>
              <w:t>% to</w:t>
            </w:r>
          </w:p>
        </w:tc>
        <w:tc>
          <w:tcPr>
            <w:tcW w:w="640" w:type="dxa"/>
            <w:vAlign w:val="bottom"/>
          </w:tcPr>
          <w:p>
            <w:pPr>
              <w:jc w:val="right"/>
              <w:ind w:right="130"/>
              <w:spacing w:after="0" w:line="16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120" w:type="dxa"/>
            <w:vAlign w:val="bottom"/>
          </w:tcPr>
          <w:p>
            <w:pPr>
              <w:spacing w:after="0"/>
              <w:rPr>
                <w:sz w:val="20"/>
                <w:szCs w:val="20"/>
                <w:color w:val="auto"/>
              </w:rPr>
            </w:pPr>
            <w:r>
              <w:rPr>
                <w:rFonts w:ascii="Arial" w:cs="Arial" w:eastAsia="Arial" w:hAnsi="Arial"/>
                <w:sz w:val="18"/>
                <w:szCs w:val="18"/>
                <w:color w:val="auto"/>
              </w:rPr>
              <w:t>OREO</w:t>
            </w:r>
          </w:p>
        </w:tc>
        <w:tc>
          <w:tcPr>
            <w:tcW w:w="120" w:type="dxa"/>
            <w:vAlign w:val="bottom"/>
          </w:tcPr>
          <w:p>
            <w:pPr>
              <w:spacing w:after="0"/>
              <w:rPr>
                <w:sz w:val="18"/>
                <w:szCs w:val="18"/>
                <w:color w:val="auto"/>
              </w:rPr>
            </w:pPr>
          </w:p>
        </w:tc>
        <w:tc>
          <w:tcPr>
            <w:tcW w:w="920" w:type="dxa"/>
            <w:vAlign w:val="bottom"/>
          </w:tcPr>
          <w:p>
            <w:pPr>
              <w:jc w:val="right"/>
              <w:ind w:right="98"/>
              <w:spacing w:after="0"/>
              <w:rPr>
                <w:sz w:val="20"/>
                <w:szCs w:val="20"/>
                <w:color w:val="auto"/>
              </w:rPr>
            </w:pPr>
            <w:r>
              <w:rPr>
                <w:rFonts w:ascii="Arial" w:cs="Arial" w:eastAsia="Arial" w:hAnsi="Arial"/>
                <w:sz w:val="18"/>
                <w:szCs w:val="18"/>
                <w:color w:val="auto"/>
              </w:rPr>
              <w:t>84</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060" w:type="dxa"/>
            <w:vAlign w:val="bottom"/>
          </w:tcPr>
          <w:p>
            <w:pPr>
              <w:jc w:val="center"/>
              <w:ind w:right="18"/>
              <w:spacing w:after="0"/>
              <w:rPr>
                <w:sz w:val="20"/>
                <w:szCs w:val="20"/>
                <w:color w:val="auto"/>
              </w:rPr>
            </w:pPr>
            <w:r>
              <w:rPr>
                <w:rFonts w:ascii="Arial" w:cs="Arial" w:eastAsia="Arial" w:hAnsi="Arial"/>
                <w:sz w:val="18"/>
                <w:szCs w:val="18"/>
                <w:color w:val="auto"/>
                <w:w w:val="90"/>
              </w:rPr>
              <w:t>Appraisal adjustments</w:t>
            </w:r>
          </w:p>
        </w:tc>
        <w:tc>
          <w:tcPr>
            <w:tcW w:w="130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left="575"/>
              <w:spacing w:after="0" w:line="189" w:lineRule="exact"/>
              <w:rPr>
                <w:sz w:val="20"/>
                <w:szCs w:val="20"/>
                <w:color w:val="auto"/>
              </w:rPr>
            </w:pPr>
            <w:r>
              <w:rPr>
                <w:rFonts w:ascii="Arial" w:cs="Arial" w:eastAsia="Arial" w:hAnsi="Arial"/>
                <w:sz w:val="18"/>
                <w:szCs w:val="18"/>
                <w:color w:val="auto"/>
                <w:w w:val="92"/>
              </w:rPr>
              <w:t>(-61.8)%</w:t>
            </w: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line="161" w:lineRule="exact"/>
              <w:rPr>
                <w:sz w:val="20"/>
                <w:szCs w:val="20"/>
                <w:color w:val="auto"/>
              </w:rPr>
            </w:pPr>
            <w:r>
              <w:rPr>
                <w:rFonts w:ascii="Arial" w:cs="Arial" w:eastAsia="Arial" w:hAnsi="Arial"/>
                <w:sz w:val="18"/>
                <w:szCs w:val="18"/>
                <w:color w:val="auto"/>
                <w:w w:val="97"/>
              </w:rPr>
              <w:t>Bank property held for sale</w:t>
            </w:r>
          </w:p>
        </w:tc>
        <w:tc>
          <w:tcPr>
            <w:tcW w:w="120" w:type="dxa"/>
            <w:vAlign w:val="bottom"/>
          </w:tcPr>
          <w:p>
            <w:pPr>
              <w:spacing w:after="0"/>
              <w:rPr>
                <w:sz w:val="14"/>
                <w:szCs w:val="14"/>
                <w:color w:val="auto"/>
              </w:rPr>
            </w:pPr>
          </w:p>
        </w:tc>
        <w:tc>
          <w:tcPr>
            <w:tcW w:w="920" w:type="dxa"/>
            <w:vAlign w:val="bottom"/>
          </w:tcPr>
          <w:p>
            <w:pPr>
              <w:jc w:val="right"/>
              <w:ind w:right="98"/>
              <w:spacing w:after="0" w:line="161" w:lineRule="exact"/>
              <w:rPr>
                <w:sz w:val="20"/>
                <w:szCs w:val="20"/>
                <w:color w:val="auto"/>
              </w:rPr>
            </w:pPr>
            <w:r>
              <w:rPr>
                <w:rFonts w:ascii="Arial" w:cs="Arial" w:eastAsia="Arial" w:hAnsi="Arial"/>
                <w:sz w:val="18"/>
                <w:szCs w:val="18"/>
                <w:color w:val="auto"/>
              </w:rPr>
              <w:t>1,832</w:t>
            </w:r>
          </w:p>
        </w:tc>
        <w:tc>
          <w:tcPr>
            <w:tcW w:w="1900" w:type="dxa"/>
            <w:vAlign w:val="bottom"/>
          </w:tcPr>
          <w:p>
            <w:pPr>
              <w:jc w:val="center"/>
              <w:spacing w:after="0" w:line="161" w:lineRule="exact"/>
              <w:rPr>
                <w:sz w:val="20"/>
                <w:szCs w:val="20"/>
                <w:color w:val="auto"/>
              </w:rPr>
            </w:pPr>
            <w:r>
              <w:rPr>
                <w:rFonts w:ascii="Arial" w:cs="Arial" w:eastAsia="Arial" w:hAnsi="Arial"/>
                <w:sz w:val="18"/>
                <w:szCs w:val="18"/>
                <w:color w:val="auto"/>
                <w:w w:val="94"/>
              </w:rPr>
              <w:t>Appraisal of collateral</w:t>
            </w:r>
          </w:p>
        </w:tc>
        <w:tc>
          <w:tcPr>
            <w:tcW w:w="2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00" w:type="dxa"/>
            <w:vAlign w:val="bottom"/>
          </w:tcPr>
          <w:p>
            <w:pPr>
              <w:jc w:val="center"/>
              <w:spacing w:after="0" w:line="189" w:lineRule="exact"/>
              <w:rPr>
                <w:sz w:val="20"/>
                <w:szCs w:val="20"/>
                <w:color w:val="auto"/>
              </w:rPr>
            </w:pPr>
            <w:r>
              <w:rPr>
                <w:rFonts w:ascii="Arial" w:cs="Arial" w:eastAsia="Arial" w:hAnsi="Arial"/>
                <w:sz w:val="18"/>
                <w:szCs w:val="18"/>
                <w:color w:val="auto"/>
                <w:w w:val="90"/>
              </w:rPr>
              <w:t>or real estate listing</w:t>
            </w:r>
          </w:p>
        </w:tc>
        <w:tc>
          <w:tcPr>
            <w:tcW w:w="2060" w:type="dxa"/>
            <w:vAlign w:val="bottom"/>
          </w:tcPr>
          <w:p>
            <w:pPr>
              <w:ind w:left="140"/>
              <w:spacing w:after="0" w:line="189" w:lineRule="exact"/>
              <w:rPr>
                <w:sz w:val="20"/>
                <w:szCs w:val="20"/>
                <w:color w:val="auto"/>
              </w:rPr>
            </w:pPr>
            <w:r>
              <w:rPr>
                <w:rFonts w:ascii="Arial" w:cs="Arial" w:eastAsia="Arial" w:hAnsi="Arial"/>
                <w:sz w:val="18"/>
                <w:szCs w:val="18"/>
                <w:color w:val="auto"/>
              </w:rPr>
              <w:t>Appraisal adjustments</w:t>
            </w:r>
          </w:p>
        </w:tc>
        <w:tc>
          <w:tcPr>
            <w:tcW w:w="1300" w:type="dxa"/>
            <w:vAlign w:val="bottom"/>
          </w:tcPr>
          <w:p>
            <w:pPr>
              <w:ind w:left="380"/>
              <w:spacing w:after="0" w:line="189" w:lineRule="exact"/>
              <w:rPr>
                <w:sz w:val="20"/>
                <w:szCs w:val="20"/>
                <w:color w:val="auto"/>
              </w:rPr>
            </w:pPr>
            <w:r>
              <w:rPr>
                <w:rFonts w:ascii="Arial" w:cs="Arial" w:eastAsia="Arial" w:hAnsi="Arial"/>
                <w:sz w:val="18"/>
                <w:szCs w:val="18"/>
                <w:color w:val="auto"/>
              </w:rPr>
              <w:t>- 0.0 % to</w:t>
            </w: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w w:val="89"/>
              </w:rPr>
              <w:t>- 35.1 %</w:t>
            </w: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left="575"/>
              <w:spacing w:after="0" w:line="189" w:lineRule="exact"/>
              <w:rPr>
                <w:sz w:val="20"/>
                <w:szCs w:val="20"/>
                <w:color w:val="auto"/>
              </w:rPr>
            </w:pPr>
            <w:r>
              <w:rPr>
                <w:rFonts w:ascii="Arial" w:cs="Arial" w:eastAsia="Arial" w:hAnsi="Arial"/>
                <w:sz w:val="18"/>
                <w:szCs w:val="18"/>
                <w:color w:val="auto"/>
                <w:w w:val="92"/>
              </w:rPr>
              <w:t>(-28.3)%</w:t>
            </w: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158"/>
              <w:spacing w:after="0" w:line="142" w:lineRule="exact"/>
              <w:rPr>
                <w:sz w:val="20"/>
                <w:szCs w:val="20"/>
                <w:color w:val="auto"/>
              </w:rPr>
            </w:pPr>
            <w:r>
              <w:rPr>
                <w:rFonts w:ascii="Arial" w:cs="Arial" w:eastAsia="Arial" w:hAnsi="Arial"/>
                <w:sz w:val="14"/>
                <w:szCs w:val="14"/>
                <w:b w:val="1"/>
                <w:bCs w:val="1"/>
                <w:color w:val="auto"/>
                <w:w w:val="95"/>
              </w:rPr>
              <w:t>Fair Value</w:t>
            </w:r>
          </w:p>
        </w:tc>
        <w:tc>
          <w:tcPr>
            <w:tcW w:w="19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1"/>
              </w:rPr>
              <w:t>Valuation</w:t>
            </w:r>
          </w:p>
        </w:tc>
        <w:tc>
          <w:tcPr>
            <w:tcW w:w="20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2"/>
              </w:rPr>
              <w:t>Unobservable</w:t>
            </w:r>
          </w:p>
        </w:tc>
        <w:tc>
          <w:tcPr>
            <w:tcW w:w="1300" w:type="dxa"/>
            <w:vAlign w:val="bottom"/>
            <w:shd w:val="clear" w:color="auto" w:fill="CCEEFF"/>
          </w:tcPr>
          <w:p>
            <w:pPr>
              <w:jc w:val="center"/>
              <w:ind w:left="555"/>
              <w:spacing w:after="0" w:line="142" w:lineRule="exact"/>
              <w:rPr>
                <w:sz w:val="20"/>
                <w:szCs w:val="20"/>
                <w:color w:val="auto"/>
              </w:rPr>
            </w:pPr>
            <w:r>
              <w:rPr>
                <w:rFonts w:ascii="Arial" w:cs="Arial" w:eastAsia="Arial" w:hAnsi="Arial"/>
                <w:sz w:val="14"/>
                <w:szCs w:val="14"/>
                <w:b w:val="1"/>
                <w:bCs w:val="1"/>
                <w:color w:val="auto"/>
                <w:w w:val="88"/>
              </w:rPr>
              <w:t>Range</w:t>
            </w: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38"/>
              <w:spacing w:after="0" w:line="149" w:lineRule="exact"/>
              <w:rPr>
                <w:sz w:val="20"/>
                <w:szCs w:val="20"/>
                <w:color w:val="auto"/>
              </w:rPr>
            </w:pPr>
            <w:r>
              <w:rPr>
                <w:rFonts w:ascii="Arial" w:cs="Arial" w:eastAsia="Arial" w:hAnsi="Arial"/>
                <w:sz w:val="14"/>
                <w:szCs w:val="14"/>
                <w:b w:val="1"/>
                <w:bCs w:val="1"/>
                <w:color w:val="auto"/>
                <w:w w:val="92"/>
              </w:rPr>
              <w:t>Estimate</w:t>
            </w:r>
          </w:p>
        </w:tc>
        <w:tc>
          <w:tcPr>
            <w:tcW w:w="19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Techniques</w:t>
            </w:r>
          </w:p>
        </w:tc>
        <w:tc>
          <w:tcPr>
            <w:tcW w:w="20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Input</w:t>
            </w:r>
          </w:p>
        </w:tc>
        <w:tc>
          <w:tcPr>
            <w:tcW w:w="194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December 31, 2018</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8"/>
                <w:szCs w:val="18"/>
                <w:color w:val="auto"/>
              </w:rPr>
              <w:t>Impaired loans</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98"/>
              <w:spacing w:after="0" w:line="189" w:lineRule="exact"/>
              <w:rPr>
                <w:sz w:val="20"/>
                <w:szCs w:val="20"/>
                <w:color w:val="auto"/>
              </w:rPr>
            </w:pPr>
            <w:r>
              <w:rPr>
                <w:rFonts w:ascii="Arial" w:cs="Arial" w:eastAsia="Arial" w:hAnsi="Arial"/>
                <w:sz w:val="18"/>
                <w:szCs w:val="18"/>
                <w:color w:val="auto"/>
              </w:rPr>
              <w:t>10,999</w:t>
            </w:r>
          </w:p>
        </w:tc>
        <w:tc>
          <w:tcPr>
            <w:tcW w:w="1900" w:type="dxa"/>
            <w:vAlign w:val="bottom"/>
          </w:tcPr>
          <w:p>
            <w:pPr>
              <w:jc w:val="center"/>
              <w:spacing w:after="0" w:line="189" w:lineRule="exact"/>
              <w:rPr>
                <w:sz w:val="20"/>
                <w:szCs w:val="20"/>
                <w:color w:val="auto"/>
              </w:rPr>
            </w:pPr>
            <w:r>
              <w:rPr>
                <w:rFonts w:ascii="Arial" w:cs="Arial" w:eastAsia="Arial" w:hAnsi="Arial"/>
                <w:sz w:val="18"/>
                <w:szCs w:val="18"/>
                <w:color w:val="auto"/>
                <w:w w:val="94"/>
              </w:rPr>
              <w:t>Appraisal of collateral</w:t>
            </w:r>
          </w:p>
        </w:tc>
        <w:tc>
          <w:tcPr>
            <w:tcW w:w="2060" w:type="dxa"/>
            <w:vAlign w:val="bottom"/>
          </w:tcPr>
          <w:p>
            <w:pPr>
              <w:ind w:left="140"/>
              <w:spacing w:after="0" w:line="189" w:lineRule="exact"/>
              <w:rPr>
                <w:sz w:val="20"/>
                <w:szCs w:val="20"/>
                <w:color w:val="auto"/>
              </w:rPr>
            </w:pPr>
            <w:r>
              <w:rPr>
                <w:rFonts w:ascii="Arial" w:cs="Arial" w:eastAsia="Arial" w:hAnsi="Arial"/>
                <w:sz w:val="18"/>
                <w:szCs w:val="18"/>
                <w:color w:val="auto"/>
              </w:rPr>
              <w:t>Appraisal adjustments</w:t>
            </w:r>
          </w:p>
        </w:tc>
        <w:tc>
          <w:tcPr>
            <w:tcW w:w="1940" w:type="dxa"/>
            <w:vAlign w:val="bottom"/>
            <w:gridSpan w:val="2"/>
          </w:tcPr>
          <w:p>
            <w:pPr>
              <w:ind w:left="380"/>
              <w:spacing w:after="0" w:line="189" w:lineRule="exact"/>
              <w:rPr>
                <w:sz w:val="20"/>
                <w:szCs w:val="20"/>
                <w:color w:val="auto"/>
              </w:rPr>
            </w:pPr>
            <w:r>
              <w:rPr>
                <w:rFonts w:ascii="Arial" w:cs="Arial" w:eastAsia="Arial" w:hAnsi="Arial"/>
                <w:sz w:val="18"/>
                <w:szCs w:val="18"/>
                <w:color w:val="auto"/>
                <w:w w:val="96"/>
              </w:rPr>
              <w:t>- 3.3 % to - 100.0 %</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left="575"/>
              <w:spacing w:after="0" w:line="189" w:lineRule="exact"/>
              <w:rPr>
                <w:sz w:val="20"/>
                <w:szCs w:val="20"/>
                <w:color w:val="auto"/>
              </w:rPr>
            </w:pPr>
            <w:r>
              <w:rPr>
                <w:rFonts w:ascii="Arial" w:cs="Arial" w:eastAsia="Arial" w:hAnsi="Arial"/>
                <w:sz w:val="18"/>
                <w:szCs w:val="18"/>
                <w:color w:val="auto"/>
                <w:w w:val="92"/>
              </w:rPr>
              <w:t>(-24.1)%</w:t>
            </w: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8"/>
                <w:szCs w:val="18"/>
                <w:color w:val="auto"/>
              </w:rPr>
              <w:t>OREO</w:t>
            </w:r>
          </w:p>
        </w:tc>
        <w:tc>
          <w:tcPr>
            <w:tcW w:w="120" w:type="dxa"/>
            <w:vAlign w:val="bottom"/>
          </w:tcPr>
          <w:p>
            <w:pPr>
              <w:spacing w:after="0"/>
              <w:rPr>
                <w:sz w:val="16"/>
                <w:szCs w:val="16"/>
                <w:color w:val="auto"/>
              </w:rPr>
            </w:pPr>
          </w:p>
        </w:tc>
        <w:tc>
          <w:tcPr>
            <w:tcW w:w="920" w:type="dxa"/>
            <w:vAlign w:val="bottom"/>
          </w:tcPr>
          <w:p>
            <w:pPr>
              <w:jc w:val="right"/>
              <w:ind w:right="98"/>
              <w:spacing w:after="0" w:line="189" w:lineRule="exact"/>
              <w:rPr>
                <w:sz w:val="20"/>
                <w:szCs w:val="20"/>
                <w:color w:val="auto"/>
              </w:rPr>
            </w:pPr>
            <w:r>
              <w:rPr>
                <w:rFonts w:ascii="Arial" w:cs="Arial" w:eastAsia="Arial" w:hAnsi="Arial"/>
                <w:sz w:val="18"/>
                <w:szCs w:val="18"/>
                <w:color w:val="auto"/>
              </w:rPr>
              <w:t>55</w:t>
            </w:r>
          </w:p>
        </w:tc>
        <w:tc>
          <w:tcPr>
            <w:tcW w:w="1900" w:type="dxa"/>
            <w:vAlign w:val="bottom"/>
          </w:tcPr>
          <w:p>
            <w:pPr>
              <w:jc w:val="center"/>
              <w:spacing w:after="0" w:line="189" w:lineRule="exact"/>
              <w:rPr>
                <w:sz w:val="20"/>
                <w:szCs w:val="20"/>
                <w:color w:val="auto"/>
              </w:rPr>
            </w:pPr>
            <w:r>
              <w:rPr>
                <w:rFonts w:ascii="Arial" w:cs="Arial" w:eastAsia="Arial" w:hAnsi="Arial"/>
                <w:sz w:val="18"/>
                <w:szCs w:val="18"/>
                <w:color w:val="auto"/>
                <w:w w:val="94"/>
              </w:rPr>
              <w:t>Appraisal of collateral</w:t>
            </w:r>
          </w:p>
        </w:tc>
        <w:tc>
          <w:tcPr>
            <w:tcW w:w="2060" w:type="dxa"/>
            <w:vAlign w:val="bottom"/>
          </w:tcPr>
          <w:p>
            <w:pPr>
              <w:jc w:val="center"/>
              <w:ind w:right="18"/>
              <w:spacing w:after="0" w:line="189" w:lineRule="exact"/>
              <w:rPr>
                <w:sz w:val="20"/>
                <w:szCs w:val="20"/>
                <w:color w:val="auto"/>
              </w:rPr>
            </w:pPr>
            <w:r>
              <w:rPr>
                <w:rFonts w:ascii="Arial" w:cs="Arial" w:eastAsia="Arial" w:hAnsi="Arial"/>
                <w:sz w:val="18"/>
                <w:szCs w:val="18"/>
                <w:color w:val="auto"/>
                <w:w w:val="90"/>
              </w:rPr>
              <w:t>Appraisal adjustments</w:t>
            </w:r>
          </w:p>
        </w:tc>
        <w:tc>
          <w:tcPr>
            <w:tcW w:w="1940" w:type="dxa"/>
            <w:vAlign w:val="bottom"/>
            <w:gridSpan w:val="2"/>
          </w:tcPr>
          <w:p>
            <w:pPr>
              <w:ind w:left="300"/>
              <w:spacing w:after="0" w:line="189" w:lineRule="exact"/>
              <w:rPr>
                <w:sz w:val="20"/>
                <w:szCs w:val="20"/>
                <w:color w:val="auto"/>
              </w:rPr>
            </w:pPr>
            <w:r>
              <w:rPr>
                <w:rFonts w:ascii="Arial" w:cs="Arial" w:eastAsia="Arial" w:hAnsi="Arial"/>
                <w:sz w:val="18"/>
                <w:szCs w:val="18"/>
                <w:color w:val="auto"/>
                <w:w w:val="95"/>
              </w:rPr>
              <w:t>- 25.0 % to - 100.0 %</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left="575"/>
              <w:spacing w:after="0" w:line="189" w:lineRule="exact"/>
              <w:rPr>
                <w:sz w:val="20"/>
                <w:szCs w:val="20"/>
                <w:color w:val="auto"/>
              </w:rPr>
            </w:pPr>
            <w:r>
              <w:rPr>
                <w:rFonts w:ascii="Arial" w:cs="Arial" w:eastAsia="Arial" w:hAnsi="Arial"/>
                <w:sz w:val="18"/>
                <w:szCs w:val="18"/>
                <w:color w:val="auto"/>
                <w:w w:val="92"/>
              </w:rPr>
              <w:t>(-65.0)%</w:t>
            </w: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line="161" w:lineRule="exact"/>
              <w:rPr>
                <w:sz w:val="20"/>
                <w:szCs w:val="20"/>
                <w:color w:val="auto"/>
              </w:rPr>
            </w:pPr>
            <w:r>
              <w:rPr>
                <w:rFonts w:ascii="Arial" w:cs="Arial" w:eastAsia="Arial" w:hAnsi="Arial"/>
                <w:sz w:val="18"/>
                <w:szCs w:val="18"/>
                <w:color w:val="auto"/>
                <w:w w:val="97"/>
              </w:rPr>
              <w:t>Bank property held for sale</w:t>
            </w:r>
          </w:p>
        </w:tc>
        <w:tc>
          <w:tcPr>
            <w:tcW w:w="120" w:type="dxa"/>
            <w:vAlign w:val="bottom"/>
          </w:tcPr>
          <w:p>
            <w:pPr>
              <w:spacing w:after="0"/>
              <w:rPr>
                <w:sz w:val="14"/>
                <w:szCs w:val="14"/>
                <w:color w:val="auto"/>
              </w:rPr>
            </w:pPr>
          </w:p>
        </w:tc>
        <w:tc>
          <w:tcPr>
            <w:tcW w:w="920" w:type="dxa"/>
            <w:vAlign w:val="bottom"/>
          </w:tcPr>
          <w:p>
            <w:pPr>
              <w:jc w:val="right"/>
              <w:ind w:right="98"/>
              <w:spacing w:after="0" w:line="161" w:lineRule="exact"/>
              <w:rPr>
                <w:sz w:val="20"/>
                <w:szCs w:val="20"/>
                <w:color w:val="auto"/>
              </w:rPr>
            </w:pPr>
            <w:r>
              <w:rPr>
                <w:rFonts w:ascii="Arial" w:cs="Arial" w:eastAsia="Arial" w:hAnsi="Arial"/>
                <w:sz w:val="18"/>
                <w:szCs w:val="18"/>
                <w:color w:val="auto"/>
              </w:rPr>
              <w:t>1,832</w:t>
            </w:r>
          </w:p>
        </w:tc>
        <w:tc>
          <w:tcPr>
            <w:tcW w:w="1900" w:type="dxa"/>
            <w:vAlign w:val="bottom"/>
          </w:tcPr>
          <w:p>
            <w:pPr>
              <w:jc w:val="center"/>
              <w:spacing w:after="0" w:line="161" w:lineRule="exact"/>
              <w:rPr>
                <w:sz w:val="20"/>
                <w:szCs w:val="20"/>
                <w:color w:val="auto"/>
              </w:rPr>
            </w:pPr>
            <w:r>
              <w:rPr>
                <w:rFonts w:ascii="Arial" w:cs="Arial" w:eastAsia="Arial" w:hAnsi="Arial"/>
                <w:sz w:val="18"/>
                <w:szCs w:val="18"/>
                <w:color w:val="auto"/>
                <w:w w:val="94"/>
              </w:rPr>
              <w:t>Appraisal of collateral</w:t>
            </w:r>
          </w:p>
        </w:tc>
        <w:tc>
          <w:tcPr>
            <w:tcW w:w="2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00" w:type="dxa"/>
            <w:vAlign w:val="bottom"/>
          </w:tcPr>
          <w:p>
            <w:pPr>
              <w:jc w:val="center"/>
              <w:spacing w:after="0" w:line="189" w:lineRule="exact"/>
              <w:rPr>
                <w:sz w:val="20"/>
                <w:szCs w:val="20"/>
                <w:color w:val="auto"/>
              </w:rPr>
            </w:pPr>
            <w:r>
              <w:rPr>
                <w:rFonts w:ascii="Arial" w:cs="Arial" w:eastAsia="Arial" w:hAnsi="Arial"/>
                <w:sz w:val="18"/>
                <w:szCs w:val="18"/>
                <w:color w:val="auto"/>
                <w:w w:val="90"/>
              </w:rPr>
              <w:t>or real estate listing</w:t>
            </w:r>
          </w:p>
        </w:tc>
        <w:tc>
          <w:tcPr>
            <w:tcW w:w="2060" w:type="dxa"/>
            <w:vAlign w:val="bottom"/>
          </w:tcPr>
          <w:p>
            <w:pPr>
              <w:ind w:left="140"/>
              <w:spacing w:after="0" w:line="189" w:lineRule="exact"/>
              <w:rPr>
                <w:sz w:val="20"/>
                <w:szCs w:val="20"/>
                <w:color w:val="auto"/>
              </w:rPr>
            </w:pPr>
            <w:r>
              <w:rPr>
                <w:rFonts w:ascii="Arial" w:cs="Arial" w:eastAsia="Arial" w:hAnsi="Arial"/>
                <w:sz w:val="18"/>
                <w:szCs w:val="18"/>
                <w:color w:val="auto"/>
              </w:rPr>
              <w:t>Appraisal adjustments</w:t>
            </w:r>
          </w:p>
        </w:tc>
        <w:tc>
          <w:tcPr>
            <w:tcW w:w="1300" w:type="dxa"/>
            <w:vAlign w:val="bottom"/>
          </w:tcPr>
          <w:p>
            <w:pPr>
              <w:ind w:left="380"/>
              <w:spacing w:after="0" w:line="189" w:lineRule="exact"/>
              <w:rPr>
                <w:sz w:val="20"/>
                <w:szCs w:val="20"/>
                <w:color w:val="auto"/>
              </w:rPr>
            </w:pPr>
            <w:r>
              <w:rPr>
                <w:rFonts w:ascii="Arial" w:cs="Arial" w:eastAsia="Arial" w:hAnsi="Arial"/>
                <w:sz w:val="18"/>
                <w:szCs w:val="18"/>
                <w:color w:val="auto"/>
              </w:rPr>
              <w:t>- 0.0 % to</w:t>
            </w: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w w:val="89"/>
              </w:rPr>
              <w:t>- 35.1 %</w:t>
            </w: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575"/>
              <w:spacing w:after="0"/>
              <w:rPr>
                <w:sz w:val="20"/>
                <w:szCs w:val="20"/>
                <w:color w:val="auto"/>
              </w:rPr>
            </w:pPr>
            <w:r>
              <w:rPr>
                <w:rFonts w:ascii="Arial" w:cs="Arial" w:eastAsia="Arial" w:hAnsi="Arial"/>
                <w:sz w:val="18"/>
                <w:szCs w:val="18"/>
                <w:color w:val="auto"/>
                <w:w w:val="92"/>
              </w:rPr>
              <w:t>(-28.3)%</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35"/>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00" w:type="dxa"/>
            <w:vAlign w:val="bottom"/>
          </w:tcPr>
          <w:p>
            <w:pPr>
              <w:jc w:val="right"/>
              <w:ind w:right="357"/>
              <w:spacing w:after="0"/>
              <w:rPr>
                <w:sz w:val="20"/>
                <w:szCs w:val="20"/>
                <w:color w:val="auto"/>
              </w:rPr>
            </w:pPr>
            <w:r>
              <w:rPr>
                <w:rFonts w:ascii="Arial" w:cs="Arial" w:eastAsia="Arial" w:hAnsi="Arial"/>
                <w:sz w:val="18"/>
                <w:szCs w:val="18"/>
                <w:color w:val="auto"/>
              </w:rPr>
              <w:t>35</w:t>
            </w:r>
          </w:p>
        </w:tc>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 xml:space="preserve">The estimated fair values of financial instruments that are reported at amortized cost in the Company’s Consolidated Balance Sheets, segregated by the level of the valuation inputs within the fair value hierarchy utilized to measure fair value,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58"/>
        </w:trPr>
        <w:tc>
          <w:tcPr>
            <w:tcW w:w="4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jc w:val="right"/>
              <w:ind w:right="673"/>
              <w:spacing w:after="0" w:line="158" w:lineRule="exact"/>
              <w:rPr>
                <w:sz w:val="20"/>
                <w:szCs w:val="20"/>
                <w:color w:val="auto"/>
              </w:rPr>
            </w:pPr>
            <w:r>
              <w:rPr>
                <w:rFonts w:ascii="Arial" w:cs="Arial" w:eastAsia="Arial" w:hAnsi="Arial"/>
                <w:sz w:val="14"/>
                <w:szCs w:val="14"/>
                <w:b w:val="1"/>
                <w:bCs w:val="1"/>
                <w:color w:val="auto"/>
              </w:rPr>
              <w:t>March 31, 2019</w:t>
            </w:r>
          </w:p>
        </w:tc>
        <w:tc>
          <w:tcPr>
            <w:tcW w:w="3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433"/>
              <w:spacing w:after="0" w:line="158" w:lineRule="exact"/>
              <w:rPr>
                <w:sz w:val="20"/>
                <w:szCs w:val="20"/>
                <w:color w:val="auto"/>
              </w:rPr>
            </w:pPr>
            <w:r>
              <w:rPr>
                <w:rFonts w:ascii="Arial" w:cs="Arial" w:eastAsia="Arial" w:hAnsi="Arial"/>
                <w:sz w:val="14"/>
                <w:szCs w:val="14"/>
                <w:b w:val="1"/>
                <w:bCs w:val="1"/>
                <w:color w:val="auto"/>
              </w:rPr>
              <w:t>December 31, 2018</w:t>
            </w:r>
          </w:p>
        </w:tc>
      </w:tr>
      <w:tr>
        <w:trPr>
          <w:trHeight w:val="119"/>
        </w:trPr>
        <w:tc>
          <w:tcPr>
            <w:tcW w:w="4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Carrying</w:t>
            </w:r>
          </w:p>
        </w:tc>
        <w:tc>
          <w:tcPr>
            <w:tcW w:w="320" w:type="dxa"/>
            <w:vAlign w:val="bottom"/>
          </w:tcPr>
          <w:p>
            <w:pPr>
              <w:spacing w:after="0"/>
              <w:rPr>
                <w:sz w:val="10"/>
                <w:szCs w:val="10"/>
                <w:color w:val="auto"/>
              </w:rPr>
            </w:pPr>
          </w:p>
        </w:tc>
        <w:tc>
          <w:tcPr>
            <w:tcW w:w="940" w:type="dxa"/>
            <w:vAlign w:val="bottom"/>
          </w:tcPr>
          <w:p>
            <w:pPr>
              <w:jc w:val="right"/>
              <w:ind w:right="373"/>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Pr>
          <w:p>
            <w:pPr>
              <w:spacing w:after="0"/>
              <w:rPr>
                <w:sz w:val="10"/>
                <w:szCs w:val="10"/>
                <w:color w:val="auto"/>
              </w:rPr>
            </w:pPr>
          </w:p>
        </w:tc>
        <w:tc>
          <w:tcPr>
            <w:tcW w:w="94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Pr>
          <w:p>
            <w:pPr>
              <w:spacing w:after="0"/>
              <w:rPr>
                <w:sz w:val="10"/>
                <w:szCs w:val="10"/>
                <w:color w:val="auto"/>
              </w:rPr>
            </w:pPr>
          </w:p>
        </w:tc>
        <w:tc>
          <w:tcPr>
            <w:tcW w:w="820" w:type="dxa"/>
            <w:vAlign w:val="bottom"/>
          </w:tcPr>
          <w:p>
            <w:pPr>
              <w:jc w:val="right"/>
              <w:ind w:right="253"/>
              <w:spacing w:after="0" w:line="119" w:lineRule="exact"/>
              <w:rPr>
                <w:sz w:val="20"/>
                <w:szCs w:val="20"/>
                <w:color w:val="auto"/>
              </w:rPr>
            </w:pPr>
            <w:r>
              <w:rPr>
                <w:rFonts w:ascii="Arial" w:cs="Arial" w:eastAsia="Arial" w:hAnsi="Arial"/>
                <w:sz w:val="13"/>
                <w:szCs w:val="13"/>
                <w:b w:val="1"/>
                <w:bCs w:val="1"/>
                <w:color w:val="auto"/>
              </w:rPr>
              <w:t>Fair</w:t>
            </w:r>
          </w:p>
        </w:tc>
      </w:tr>
      <w:tr>
        <w:trPr>
          <w:trHeight w:val="171"/>
        </w:trPr>
        <w:tc>
          <w:tcPr>
            <w:tcW w:w="4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Value</w:t>
            </w:r>
          </w:p>
        </w:tc>
      </w:tr>
      <w:tr>
        <w:trPr>
          <w:trHeight w:val="183"/>
        </w:trPr>
        <w:tc>
          <w:tcPr>
            <w:tcW w:w="4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Financial assets:</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Level 1 inputs: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43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330,407</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330,407</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239,973</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239,973</w:t>
            </w: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Level 2 inputs: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43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Securities held to maturity</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15,846</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15,975</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608,660</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603,360</w:t>
            </w:r>
          </w:p>
        </w:tc>
      </w:tr>
      <w:tr>
        <w:trPr>
          <w:trHeight w:val="189"/>
        </w:trPr>
        <w:tc>
          <w:tcPr>
            <w:tcW w:w="4340" w:type="dxa"/>
            <w:vAlign w:val="bottom"/>
          </w:tcPr>
          <w:p>
            <w:pPr>
              <w:ind w:left="220"/>
              <w:spacing w:after="0" w:line="189" w:lineRule="exact"/>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6"/>
                <w:szCs w:val="16"/>
                <w:color w:val="auto"/>
              </w:rPr>
            </w:pPr>
          </w:p>
        </w:tc>
        <w:tc>
          <w:tcPr>
            <w:tcW w:w="960" w:type="dxa"/>
            <w:vAlign w:val="bottom"/>
          </w:tcPr>
          <w:p>
            <w:pPr>
              <w:jc w:val="right"/>
              <w:ind w:right="53"/>
              <w:spacing w:after="0" w:line="189" w:lineRule="exact"/>
              <w:rPr>
                <w:sz w:val="20"/>
                <w:szCs w:val="20"/>
                <w:color w:val="auto"/>
              </w:rPr>
            </w:pPr>
            <w:r>
              <w:rPr>
                <w:rFonts w:ascii="Arial" w:cs="Arial" w:eastAsia="Arial" w:hAnsi="Arial"/>
                <w:sz w:val="18"/>
                <w:szCs w:val="18"/>
                <w:color w:val="auto"/>
              </w:rPr>
              <w:t>29,748</w:t>
            </w:r>
          </w:p>
        </w:tc>
        <w:tc>
          <w:tcPr>
            <w:tcW w:w="320" w:type="dxa"/>
            <w:vAlign w:val="bottom"/>
          </w:tcPr>
          <w:p>
            <w:pPr>
              <w:spacing w:after="0"/>
              <w:rPr>
                <w:sz w:val="16"/>
                <w:szCs w:val="16"/>
                <w:color w:val="auto"/>
              </w:rPr>
            </w:pPr>
          </w:p>
        </w:tc>
        <w:tc>
          <w:tcPr>
            <w:tcW w:w="940" w:type="dxa"/>
            <w:vAlign w:val="bottom"/>
          </w:tcPr>
          <w:p>
            <w:pPr>
              <w:jc w:val="right"/>
              <w:ind w:right="53"/>
              <w:spacing w:after="0" w:line="189" w:lineRule="exact"/>
              <w:rPr>
                <w:sz w:val="20"/>
                <w:szCs w:val="20"/>
                <w:color w:val="auto"/>
              </w:rPr>
            </w:pPr>
            <w:r>
              <w:rPr>
                <w:rFonts w:ascii="Arial" w:cs="Arial" w:eastAsia="Arial" w:hAnsi="Arial"/>
                <w:sz w:val="18"/>
                <w:szCs w:val="18"/>
                <w:color w:val="auto"/>
              </w:rPr>
              <w:t>29,748</w:t>
            </w:r>
          </w:p>
        </w:tc>
        <w:tc>
          <w:tcPr>
            <w:tcW w:w="300" w:type="dxa"/>
            <w:vAlign w:val="bottom"/>
          </w:tcPr>
          <w:p>
            <w:pPr>
              <w:spacing w:after="0"/>
              <w:rPr>
                <w:sz w:val="16"/>
                <w:szCs w:val="16"/>
                <w:color w:val="auto"/>
              </w:rPr>
            </w:pPr>
          </w:p>
        </w:tc>
        <w:tc>
          <w:tcPr>
            <w:tcW w:w="940" w:type="dxa"/>
            <w:vAlign w:val="bottom"/>
          </w:tcPr>
          <w:p>
            <w:pPr>
              <w:jc w:val="right"/>
              <w:ind w:right="73"/>
              <w:spacing w:after="0" w:line="189" w:lineRule="exact"/>
              <w:rPr>
                <w:sz w:val="20"/>
                <w:szCs w:val="20"/>
                <w:color w:val="auto"/>
              </w:rPr>
            </w:pPr>
            <w:r>
              <w:rPr>
                <w:rFonts w:ascii="Arial" w:cs="Arial" w:eastAsia="Arial" w:hAnsi="Arial"/>
                <w:sz w:val="18"/>
                <w:szCs w:val="18"/>
                <w:color w:val="auto"/>
              </w:rPr>
              <w:t>22,314</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22,314</w:t>
            </w:r>
          </w:p>
        </w:tc>
      </w:tr>
      <w:tr>
        <w:trPr>
          <w:trHeight w:val="189"/>
        </w:trPr>
        <w:tc>
          <w:tcPr>
            <w:tcW w:w="4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Level 3 inputs: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9"/>
        </w:trPr>
        <w:tc>
          <w:tcPr>
            <w:tcW w:w="4340" w:type="dxa"/>
            <w:vAlign w:val="bottom"/>
          </w:tcPr>
          <w:p>
            <w:pPr>
              <w:ind w:left="220"/>
              <w:spacing w:after="0" w:line="189" w:lineRule="exact"/>
              <w:rPr>
                <w:sz w:val="20"/>
                <w:szCs w:val="20"/>
                <w:color w:val="auto"/>
              </w:rPr>
            </w:pPr>
            <w:r>
              <w:rPr>
                <w:rFonts w:ascii="Arial" w:cs="Arial" w:eastAsia="Arial" w:hAnsi="Arial"/>
                <w:sz w:val="18"/>
                <w:szCs w:val="18"/>
                <w:color w:val="auto"/>
              </w:rPr>
              <w:t>Portfolio loans, net</w:t>
            </w:r>
          </w:p>
        </w:tc>
        <w:tc>
          <w:tcPr>
            <w:tcW w:w="160" w:type="dxa"/>
            <w:vAlign w:val="bottom"/>
          </w:tcPr>
          <w:p>
            <w:pPr>
              <w:spacing w:after="0"/>
              <w:rPr>
                <w:sz w:val="16"/>
                <w:szCs w:val="16"/>
                <w:color w:val="auto"/>
              </w:rPr>
            </w:pPr>
          </w:p>
        </w:tc>
        <w:tc>
          <w:tcPr>
            <w:tcW w:w="960" w:type="dxa"/>
            <w:vAlign w:val="bottom"/>
          </w:tcPr>
          <w:p>
            <w:pPr>
              <w:jc w:val="right"/>
              <w:ind w:right="53"/>
              <w:spacing w:after="0" w:line="189" w:lineRule="exact"/>
              <w:rPr>
                <w:sz w:val="20"/>
                <w:szCs w:val="20"/>
                <w:color w:val="auto"/>
              </w:rPr>
            </w:pPr>
            <w:r>
              <w:rPr>
                <w:rFonts w:ascii="Arial" w:cs="Arial" w:eastAsia="Arial" w:hAnsi="Arial"/>
                <w:sz w:val="18"/>
                <w:szCs w:val="18"/>
                <w:color w:val="auto"/>
                <w:w w:val="99"/>
              </w:rPr>
              <w:t>6,464,166</w:t>
            </w:r>
          </w:p>
        </w:tc>
        <w:tc>
          <w:tcPr>
            <w:tcW w:w="320" w:type="dxa"/>
            <w:vAlign w:val="bottom"/>
          </w:tcPr>
          <w:p>
            <w:pPr>
              <w:spacing w:after="0"/>
              <w:rPr>
                <w:sz w:val="16"/>
                <w:szCs w:val="16"/>
                <w:color w:val="auto"/>
              </w:rPr>
            </w:pPr>
          </w:p>
        </w:tc>
        <w:tc>
          <w:tcPr>
            <w:tcW w:w="940" w:type="dxa"/>
            <w:vAlign w:val="bottom"/>
          </w:tcPr>
          <w:p>
            <w:pPr>
              <w:jc w:val="right"/>
              <w:ind w:right="53"/>
              <w:spacing w:after="0" w:line="189" w:lineRule="exact"/>
              <w:rPr>
                <w:sz w:val="20"/>
                <w:szCs w:val="20"/>
                <w:color w:val="auto"/>
              </w:rPr>
            </w:pPr>
            <w:r>
              <w:rPr>
                <w:rFonts w:ascii="Arial" w:cs="Arial" w:eastAsia="Arial" w:hAnsi="Arial"/>
                <w:sz w:val="18"/>
                <w:szCs w:val="18"/>
                <w:color w:val="auto"/>
                <w:w w:val="97"/>
              </w:rPr>
              <w:t>6,402,404</w:t>
            </w:r>
          </w:p>
        </w:tc>
        <w:tc>
          <w:tcPr>
            <w:tcW w:w="300" w:type="dxa"/>
            <w:vAlign w:val="bottom"/>
          </w:tcPr>
          <w:p>
            <w:pPr>
              <w:spacing w:after="0"/>
              <w:rPr>
                <w:sz w:val="16"/>
                <w:szCs w:val="16"/>
                <w:color w:val="auto"/>
              </w:rPr>
            </w:pPr>
          </w:p>
        </w:tc>
        <w:tc>
          <w:tcPr>
            <w:tcW w:w="940" w:type="dxa"/>
            <w:vAlign w:val="bottom"/>
          </w:tcPr>
          <w:p>
            <w:pPr>
              <w:jc w:val="right"/>
              <w:ind w:right="73"/>
              <w:spacing w:after="0" w:line="189" w:lineRule="exact"/>
              <w:rPr>
                <w:sz w:val="20"/>
                <w:szCs w:val="20"/>
                <w:color w:val="auto"/>
              </w:rPr>
            </w:pPr>
            <w:r>
              <w:rPr>
                <w:rFonts w:ascii="Arial" w:cs="Arial" w:eastAsia="Arial" w:hAnsi="Arial"/>
                <w:sz w:val="18"/>
                <w:szCs w:val="18"/>
                <w:color w:val="auto"/>
                <w:w w:val="94"/>
              </w:rPr>
              <w:t>5,517,780</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w w:val="94"/>
              </w:rPr>
              <w:t>5,473,063</w:t>
            </w:r>
          </w:p>
        </w:tc>
      </w:tr>
      <w:tr>
        <w:trPr>
          <w:trHeight w:val="189"/>
        </w:trPr>
        <w:tc>
          <w:tcPr>
            <w:tcW w:w="43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Mortgage servicing rights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10,201</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16,194</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3,315</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11,051</w:t>
            </w:r>
          </w:p>
        </w:tc>
      </w:tr>
      <w:tr>
        <w:trPr>
          <w:trHeight w:val="189"/>
        </w:trPr>
        <w:tc>
          <w:tcPr>
            <w:tcW w:w="4340" w:type="dxa"/>
            <w:vAlign w:val="bottom"/>
          </w:tcPr>
          <w:p>
            <w:pPr>
              <w:ind w:left="220"/>
              <w:spacing w:after="0" w:line="189" w:lineRule="exact"/>
              <w:rPr>
                <w:sz w:val="20"/>
                <w:szCs w:val="20"/>
                <w:color w:val="auto"/>
              </w:rPr>
            </w:pPr>
            <w:r>
              <w:rPr>
                <w:rFonts w:ascii="Arial" w:cs="Arial" w:eastAsia="Arial" w:hAnsi="Arial"/>
                <w:sz w:val="18"/>
                <w:szCs w:val="18"/>
                <w:color w:val="auto"/>
              </w:rPr>
              <w:t>Other servicing rights</w:t>
            </w:r>
          </w:p>
        </w:tc>
        <w:tc>
          <w:tcPr>
            <w:tcW w:w="160" w:type="dxa"/>
            <w:vAlign w:val="bottom"/>
          </w:tcPr>
          <w:p>
            <w:pPr>
              <w:spacing w:after="0"/>
              <w:rPr>
                <w:sz w:val="16"/>
                <w:szCs w:val="16"/>
                <w:color w:val="auto"/>
              </w:rPr>
            </w:pPr>
          </w:p>
        </w:tc>
        <w:tc>
          <w:tcPr>
            <w:tcW w:w="960" w:type="dxa"/>
            <w:vAlign w:val="bottom"/>
          </w:tcPr>
          <w:p>
            <w:pPr>
              <w:jc w:val="right"/>
              <w:ind w:right="53"/>
              <w:spacing w:after="0" w:line="189" w:lineRule="exact"/>
              <w:rPr>
                <w:sz w:val="20"/>
                <w:szCs w:val="20"/>
                <w:color w:val="auto"/>
              </w:rPr>
            </w:pPr>
            <w:r>
              <w:rPr>
                <w:rFonts w:ascii="Arial" w:cs="Arial" w:eastAsia="Arial" w:hAnsi="Arial"/>
                <w:sz w:val="18"/>
                <w:szCs w:val="18"/>
                <w:color w:val="auto"/>
              </w:rPr>
              <w:t>839</w:t>
            </w:r>
          </w:p>
        </w:tc>
        <w:tc>
          <w:tcPr>
            <w:tcW w:w="320" w:type="dxa"/>
            <w:vAlign w:val="bottom"/>
          </w:tcPr>
          <w:p>
            <w:pPr>
              <w:spacing w:after="0"/>
              <w:rPr>
                <w:sz w:val="16"/>
                <w:szCs w:val="16"/>
                <w:color w:val="auto"/>
              </w:rPr>
            </w:pPr>
          </w:p>
        </w:tc>
        <w:tc>
          <w:tcPr>
            <w:tcW w:w="940" w:type="dxa"/>
            <w:vAlign w:val="bottom"/>
          </w:tcPr>
          <w:p>
            <w:pPr>
              <w:jc w:val="right"/>
              <w:ind w:right="53"/>
              <w:spacing w:after="0" w:line="189" w:lineRule="exact"/>
              <w:rPr>
                <w:sz w:val="20"/>
                <w:szCs w:val="20"/>
                <w:color w:val="auto"/>
              </w:rPr>
            </w:pPr>
            <w:r>
              <w:rPr>
                <w:rFonts w:ascii="Arial" w:cs="Arial" w:eastAsia="Arial" w:hAnsi="Arial"/>
                <w:sz w:val="18"/>
                <w:szCs w:val="18"/>
                <w:color w:val="auto"/>
              </w:rPr>
              <w:t>1,413</w:t>
            </w:r>
          </w:p>
        </w:tc>
        <w:tc>
          <w:tcPr>
            <w:tcW w:w="300" w:type="dxa"/>
            <w:vAlign w:val="bottom"/>
          </w:tcPr>
          <w:p>
            <w:pPr>
              <w:spacing w:after="0"/>
              <w:rPr>
                <w:sz w:val="16"/>
                <w:szCs w:val="16"/>
                <w:color w:val="auto"/>
              </w:rPr>
            </w:pPr>
          </w:p>
        </w:tc>
        <w:tc>
          <w:tcPr>
            <w:tcW w:w="940" w:type="dxa"/>
            <w:vAlign w:val="bottom"/>
          </w:tcPr>
          <w:p>
            <w:pPr>
              <w:jc w:val="right"/>
              <w:ind w:right="73"/>
              <w:spacing w:after="0" w:line="189" w:lineRule="exact"/>
              <w:rPr>
                <w:sz w:val="20"/>
                <w:szCs w:val="20"/>
                <w:color w:val="auto"/>
              </w:rPr>
            </w:pPr>
            <w:r>
              <w:rPr>
                <w:rFonts w:ascii="Arial" w:cs="Arial" w:eastAsia="Arial" w:hAnsi="Arial"/>
                <w:sz w:val="18"/>
                <w:szCs w:val="18"/>
                <w:color w:val="auto"/>
              </w:rPr>
              <w:t>781</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1,443</w:t>
            </w:r>
          </w:p>
        </w:tc>
      </w:tr>
      <w:tr>
        <w:trPr>
          <w:trHeight w:val="189"/>
        </w:trPr>
        <w:tc>
          <w:tcPr>
            <w:tcW w:w="4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4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Level 2 inputs: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9"/>
        </w:trPr>
        <w:tc>
          <w:tcPr>
            <w:tcW w:w="4340" w:type="dxa"/>
            <w:vAlign w:val="bottom"/>
          </w:tcPr>
          <w:p>
            <w:pPr>
              <w:ind w:left="220"/>
              <w:spacing w:after="0" w:line="189" w:lineRule="exact"/>
              <w:rPr>
                <w:sz w:val="20"/>
                <w:szCs w:val="20"/>
                <w:color w:val="auto"/>
              </w:rPr>
            </w:pPr>
            <w:r>
              <w:rPr>
                <w:rFonts w:ascii="Arial" w:cs="Arial" w:eastAsia="Arial" w:hAnsi="Arial"/>
                <w:sz w:val="18"/>
                <w:szCs w:val="18"/>
                <w:color w:val="auto"/>
              </w:rPr>
              <w:t>Time deposits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53"/>
              <w:spacing w:after="0" w:line="189" w:lineRule="exact"/>
              <w:rPr>
                <w:sz w:val="20"/>
                <w:szCs w:val="20"/>
                <w:color w:val="auto"/>
              </w:rPr>
            </w:pPr>
            <w:r>
              <w:rPr>
                <w:rFonts w:ascii="Arial" w:cs="Arial" w:eastAsia="Arial" w:hAnsi="Arial"/>
                <w:sz w:val="18"/>
                <w:szCs w:val="18"/>
                <w:color w:val="auto"/>
                <w:w w:val="99"/>
              </w:rPr>
              <w:t>1,757,078</w:t>
            </w:r>
          </w:p>
        </w:tc>
        <w:tc>
          <w:tcPr>
            <w:tcW w:w="3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line="189" w:lineRule="exact"/>
              <w:rPr>
                <w:sz w:val="20"/>
                <w:szCs w:val="20"/>
                <w:color w:val="auto"/>
              </w:rPr>
            </w:pPr>
            <w:r>
              <w:rPr>
                <w:rFonts w:ascii="Arial" w:cs="Arial" w:eastAsia="Arial" w:hAnsi="Arial"/>
                <w:sz w:val="18"/>
                <w:szCs w:val="18"/>
                <w:color w:val="auto"/>
                <w:w w:val="97"/>
              </w:rPr>
              <w:t>1,746,252</w:t>
            </w:r>
          </w:p>
        </w:tc>
        <w:tc>
          <w:tcPr>
            <w:tcW w:w="3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line="189" w:lineRule="exact"/>
              <w:rPr>
                <w:sz w:val="20"/>
                <w:szCs w:val="20"/>
                <w:color w:val="auto"/>
              </w:rPr>
            </w:pPr>
            <w:r>
              <w:rPr>
                <w:rFonts w:ascii="Arial" w:cs="Arial" w:eastAsia="Arial" w:hAnsi="Arial"/>
                <w:sz w:val="18"/>
                <w:szCs w:val="18"/>
                <w:color w:val="auto"/>
                <w:w w:val="94"/>
              </w:rPr>
              <w:t>1,497,003</w:t>
            </w: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w w:val="94"/>
              </w:rPr>
              <w:t>1,482,301</w:t>
            </w:r>
          </w:p>
        </w:tc>
      </w:tr>
      <w:tr>
        <w:trPr>
          <w:trHeight w:val="189"/>
        </w:trPr>
        <w:tc>
          <w:tcPr>
            <w:tcW w:w="43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Securities sold under agreements to repurchase</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217,077</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217,077</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185,796</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185,796</w:t>
            </w:r>
          </w:p>
        </w:tc>
      </w:tr>
      <w:tr>
        <w:trPr>
          <w:trHeight w:val="189"/>
        </w:trPr>
        <w:tc>
          <w:tcPr>
            <w:tcW w:w="4340" w:type="dxa"/>
            <w:vAlign w:val="bottom"/>
          </w:tcPr>
          <w:p>
            <w:pPr>
              <w:ind w:left="220"/>
              <w:spacing w:after="0" w:line="189" w:lineRule="exact"/>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6"/>
                <w:szCs w:val="16"/>
                <w:color w:val="auto"/>
              </w:rPr>
            </w:pPr>
          </w:p>
        </w:tc>
        <w:tc>
          <w:tcPr>
            <w:tcW w:w="960" w:type="dxa"/>
            <w:vAlign w:val="bottom"/>
          </w:tcPr>
          <w:p>
            <w:pPr>
              <w:jc w:val="right"/>
              <w:ind w:right="53"/>
              <w:spacing w:after="0" w:line="189" w:lineRule="exact"/>
              <w:rPr>
                <w:sz w:val="20"/>
                <w:szCs w:val="20"/>
                <w:color w:val="auto"/>
              </w:rPr>
            </w:pPr>
            <w:r>
              <w:rPr>
                <w:rFonts w:ascii="Arial" w:cs="Arial" w:eastAsia="Arial" w:hAnsi="Arial"/>
                <w:sz w:val="18"/>
                <w:szCs w:val="18"/>
                <w:color w:val="auto"/>
              </w:rPr>
              <w:t>30,739</w:t>
            </w:r>
          </w:p>
        </w:tc>
        <w:tc>
          <w:tcPr>
            <w:tcW w:w="320" w:type="dxa"/>
            <w:vAlign w:val="bottom"/>
          </w:tcPr>
          <w:p>
            <w:pPr>
              <w:spacing w:after="0"/>
              <w:rPr>
                <w:sz w:val="16"/>
                <w:szCs w:val="16"/>
                <w:color w:val="auto"/>
              </w:rPr>
            </w:pPr>
          </w:p>
        </w:tc>
        <w:tc>
          <w:tcPr>
            <w:tcW w:w="940" w:type="dxa"/>
            <w:vAlign w:val="bottom"/>
          </w:tcPr>
          <w:p>
            <w:pPr>
              <w:jc w:val="right"/>
              <w:ind w:right="53"/>
              <w:spacing w:after="0" w:line="189" w:lineRule="exact"/>
              <w:rPr>
                <w:sz w:val="20"/>
                <w:szCs w:val="20"/>
                <w:color w:val="auto"/>
              </w:rPr>
            </w:pPr>
            <w:r>
              <w:rPr>
                <w:rFonts w:ascii="Arial" w:cs="Arial" w:eastAsia="Arial" w:hAnsi="Arial"/>
                <w:sz w:val="18"/>
                <w:szCs w:val="18"/>
                <w:color w:val="auto"/>
              </w:rPr>
              <w:t>30,871</w:t>
            </w:r>
          </w:p>
        </w:tc>
        <w:tc>
          <w:tcPr>
            <w:tcW w:w="300" w:type="dxa"/>
            <w:vAlign w:val="bottom"/>
          </w:tcPr>
          <w:p>
            <w:pPr>
              <w:spacing w:after="0"/>
              <w:rPr>
                <w:sz w:val="16"/>
                <w:szCs w:val="16"/>
                <w:color w:val="auto"/>
              </w:rPr>
            </w:pPr>
          </w:p>
        </w:tc>
        <w:tc>
          <w:tcPr>
            <w:tcW w:w="940" w:type="dxa"/>
            <w:vAlign w:val="bottom"/>
          </w:tcPr>
          <w:p>
            <w:pPr>
              <w:jc w:val="right"/>
              <w:ind w:right="73"/>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3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89,476</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89,738</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49,873</w:t>
            </w:r>
          </w:p>
        </w:tc>
      </w:tr>
      <w:tr>
        <w:trPr>
          <w:trHeight w:val="189"/>
        </w:trPr>
        <w:tc>
          <w:tcPr>
            <w:tcW w:w="4340" w:type="dxa"/>
            <w:vAlign w:val="bottom"/>
          </w:tcPr>
          <w:p>
            <w:pPr>
              <w:ind w:left="220"/>
              <w:spacing w:after="0" w:line="189" w:lineRule="exact"/>
              <w:rPr>
                <w:sz w:val="20"/>
                <w:szCs w:val="20"/>
                <w:color w:val="auto"/>
              </w:rPr>
            </w:pPr>
            <w:r>
              <w:rPr>
                <w:rFonts w:ascii="Arial" w:cs="Arial" w:eastAsia="Arial" w:hAnsi="Arial"/>
                <w:sz w:val="18"/>
                <w:szCs w:val="18"/>
                <w:color w:val="auto"/>
                <w:w w:val="92"/>
              </w:rPr>
              <w:t>Junior subordinated debt owed to unconsolidated trusts</w:t>
            </w:r>
          </w:p>
        </w:tc>
        <w:tc>
          <w:tcPr>
            <w:tcW w:w="160" w:type="dxa"/>
            <w:vAlign w:val="bottom"/>
          </w:tcPr>
          <w:p>
            <w:pPr>
              <w:spacing w:after="0"/>
              <w:rPr>
                <w:sz w:val="16"/>
                <w:szCs w:val="16"/>
                <w:color w:val="auto"/>
              </w:rPr>
            </w:pPr>
          </w:p>
        </w:tc>
        <w:tc>
          <w:tcPr>
            <w:tcW w:w="960" w:type="dxa"/>
            <w:vAlign w:val="bottom"/>
          </w:tcPr>
          <w:p>
            <w:pPr>
              <w:jc w:val="right"/>
              <w:ind w:right="53"/>
              <w:spacing w:after="0" w:line="189" w:lineRule="exact"/>
              <w:rPr>
                <w:sz w:val="20"/>
                <w:szCs w:val="20"/>
                <w:color w:val="auto"/>
              </w:rPr>
            </w:pPr>
            <w:r>
              <w:rPr>
                <w:rFonts w:ascii="Arial" w:cs="Arial" w:eastAsia="Arial" w:hAnsi="Arial"/>
                <w:sz w:val="18"/>
                <w:szCs w:val="18"/>
                <w:color w:val="auto"/>
              </w:rPr>
              <w:t>71,192</w:t>
            </w:r>
          </w:p>
        </w:tc>
        <w:tc>
          <w:tcPr>
            <w:tcW w:w="320" w:type="dxa"/>
            <w:vAlign w:val="bottom"/>
          </w:tcPr>
          <w:p>
            <w:pPr>
              <w:spacing w:after="0"/>
              <w:rPr>
                <w:sz w:val="16"/>
                <w:szCs w:val="16"/>
                <w:color w:val="auto"/>
              </w:rPr>
            </w:pPr>
          </w:p>
        </w:tc>
        <w:tc>
          <w:tcPr>
            <w:tcW w:w="940" w:type="dxa"/>
            <w:vAlign w:val="bottom"/>
          </w:tcPr>
          <w:p>
            <w:pPr>
              <w:jc w:val="right"/>
              <w:ind w:right="53"/>
              <w:spacing w:after="0" w:line="189" w:lineRule="exact"/>
              <w:rPr>
                <w:sz w:val="20"/>
                <w:szCs w:val="20"/>
                <w:color w:val="auto"/>
              </w:rPr>
            </w:pPr>
            <w:r>
              <w:rPr>
                <w:rFonts w:ascii="Arial" w:cs="Arial" w:eastAsia="Arial" w:hAnsi="Arial"/>
                <w:sz w:val="18"/>
                <w:szCs w:val="18"/>
                <w:color w:val="auto"/>
              </w:rPr>
              <w:t>65,152</w:t>
            </w:r>
          </w:p>
        </w:tc>
        <w:tc>
          <w:tcPr>
            <w:tcW w:w="300" w:type="dxa"/>
            <w:vAlign w:val="bottom"/>
          </w:tcPr>
          <w:p>
            <w:pPr>
              <w:spacing w:after="0"/>
              <w:rPr>
                <w:sz w:val="16"/>
                <w:szCs w:val="16"/>
                <w:color w:val="auto"/>
              </w:rPr>
            </w:pPr>
          </w:p>
        </w:tc>
        <w:tc>
          <w:tcPr>
            <w:tcW w:w="940" w:type="dxa"/>
            <w:vAlign w:val="bottom"/>
          </w:tcPr>
          <w:p>
            <w:pPr>
              <w:jc w:val="right"/>
              <w:ind w:right="73"/>
              <w:spacing w:after="0" w:line="189" w:lineRule="exact"/>
              <w:rPr>
                <w:sz w:val="20"/>
                <w:szCs w:val="20"/>
                <w:color w:val="auto"/>
              </w:rPr>
            </w:pPr>
            <w:r>
              <w:rPr>
                <w:rFonts w:ascii="Arial" w:cs="Arial" w:eastAsia="Arial" w:hAnsi="Arial"/>
                <w:sz w:val="18"/>
                <w:szCs w:val="18"/>
                <w:color w:val="auto"/>
              </w:rPr>
              <w:t>71,155</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65,182</w:t>
            </w:r>
          </w:p>
        </w:tc>
      </w:tr>
      <w:tr>
        <w:trPr>
          <w:trHeight w:val="189"/>
        </w:trPr>
        <w:tc>
          <w:tcPr>
            <w:tcW w:w="43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7,589</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7,589</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6,568</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6,568</w:t>
            </w: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Level 3 inputs: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43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Senior notes, net of unamortized issuance costs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39,573</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39,797</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3"/>
              <w:spacing w:after="0" w:line="189" w:lineRule="exact"/>
              <w:rPr>
                <w:sz w:val="20"/>
                <w:szCs w:val="20"/>
                <w:color w:val="auto"/>
              </w:rPr>
            </w:pPr>
            <w:r>
              <w:rPr>
                <w:rFonts w:ascii="Arial" w:cs="Arial" w:eastAsia="Arial" w:hAnsi="Arial"/>
                <w:sz w:val="18"/>
                <w:szCs w:val="18"/>
                <w:color w:val="auto"/>
              </w:rPr>
              <w:t>39,539</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39,452</w:t>
            </w:r>
          </w:p>
        </w:tc>
      </w:tr>
      <w:tr>
        <w:trPr>
          <w:trHeight w:val="230"/>
        </w:trPr>
        <w:tc>
          <w:tcPr>
            <w:tcW w:w="4340" w:type="dxa"/>
            <w:vAlign w:val="bottom"/>
          </w:tcPr>
          <w:p>
            <w:pPr>
              <w:ind w:left="220"/>
              <w:spacing w:after="0"/>
              <w:rPr>
                <w:sz w:val="20"/>
                <w:szCs w:val="20"/>
                <w:color w:val="auto"/>
              </w:rPr>
            </w:pPr>
            <w:r>
              <w:rPr>
                <w:rFonts w:ascii="Arial" w:cs="Arial" w:eastAsia="Arial" w:hAnsi="Arial"/>
                <w:sz w:val="18"/>
                <w:szCs w:val="18"/>
                <w:color w:val="auto"/>
                <w:w w:val="93"/>
              </w:rPr>
              <w:t>Subordinated notes, net of unamortized issuance costs</w:t>
            </w:r>
          </w:p>
        </w:tc>
        <w:tc>
          <w:tcPr>
            <w:tcW w:w="16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59,172</w:t>
            </w:r>
          </w:p>
        </w:tc>
        <w:tc>
          <w:tcPr>
            <w:tcW w:w="32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58,748</w:t>
            </w:r>
          </w:p>
        </w:tc>
        <w:tc>
          <w:tcPr>
            <w:tcW w:w="300" w:type="dxa"/>
            <w:vAlign w:val="bottom"/>
          </w:tcPr>
          <w:p>
            <w:pPr>
              <w:spacing w:after="0"/>
              <w:rPr>
                <w:sz w:val="20"/>
                <w:szCs w:val="20"/>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59,147</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58,186</w:t>
            </w:r>
          </w:p>
        </w:tc>
      </w:tr>
    </w:tbl>
    <w:p>
      <w:pPr>
        <w:spacing w:after="0" w:line="106"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ASC Topic 825 requires disclosure of the fair value of financial assets and financial liabilities, including those financial assets and financial liabilities that are not measured and reported at fair value on a recurring basis or non-recurring basis. A detailed description of the valuation methodologies used in estimating the fair value of financial instruments is set forth in the Company’s Annual Report on Form 10-K for the year ended December 31, 2018.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Leases</w:t>
      </w:r>
    </w:p>
    <w:p>
      <w:pPr>
        <w:spacing w:after="0" w:line="1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operating leases consisting primarily of equipment leases and real estate leases. The Company leases real estate property for bank branches, ATM locations, and office space with terms extending through 2032. As of March 31, 2019, the Company reported $10.9 million of right-of-use asset and $11.0 million lease liability in its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tables represents lease costs and other lease information for the periods presented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ectPr>
          <w:pgSz w:w="11900" w:h="16838" w:orient="portrait"/>
          <w:cols w:equalWidth="0" w:num="1">
            <w:col w:w="9060"/>
          </w:cols>
          <w:pgMar w:left="1420" w:top="111" w:right="1419" w:bottom="1440" w:gutter="0" w:footer="0" w:header="0"/>
        </w:sect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Lease Costs</w:t>
      </w:r>
    </w:p>
    <w:p>
      <w:pPr>
        <w:spacing w:after="0" w:line="234" w:lineRule="auto"/>
        <w:rPr>
          <w:sz w:val="20"/>
          <w:szCs w:val="20"/>
          <w:color w:val="auto"/>
        </w:rPr>
      </w:pPr>
      <w:r>
        <w:rPr>
          <w:rFonts w:ascii="Arial" w:cs="Arial" w:eastAsia="Arial" w:hAnsi="Arial"/>
          <w:sz w:val="18"/>
          <w:szCs w:val="18"/>
          <w:color w:val="auto"/>
        </w:rPr>
        <w:t>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575437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128905"/>
                    </a:xfrm>
                    <a:prstGeom prst="rect">
                      <a:avLst/>
                    </a:prstGeom>
                    <a:noFill/>
                  </pic:spPr>
                </pic:pic>
              </a:graphicData>
            </a:graphic>
          </wp:anchor>
        </w:drawing>
      </w:r>
    </w:p>
    <w:p>
      <w:pPr>
        <w:spacing w:after="0" w:line="220" w:lineRule="auto"/>
        <w:rPr>
          <w:sz w:val="20"/>
          <w:szCs w:val="20"/>
          <w:color w:val="auto"/>
        </w:rPr>
      </w:pPr>
      <w:r>
        <w:rPr>
          <w:rFonts w:ascii="Arial" w:cs="Arial" w:eastAsia="Arial" w:hAnsi="Arial"/>
          <w:sz w:val="18"/>
          <w:szCs w:val="18"/>
          <w:color w:val="auto"/>
        </w:rPr>
        <w:t>Variable lease costs</w:t>
      </w:r>
    </w:p>
    <w:p>
      <w:pPr>
        <w:spacing w:after="0" w:line="219" w:lineRule="auto"/>
        <w:rPr>
          <w:sz w:val="20"/>
          <w:szCs w:val="20"/>
          <w:color w:val="auto"/>
        </w:rPr>
      </w:pPr>
      <w:r>
        <w:rPr>
          <w:rFonts w:ascii="Arial" w:cs="Arial" w:eastAsia="Arial" w:hAnsi="Arial"/>
          <w:sz w:val="18"/>
          <w:szCs w:val="18"/>
          <w:color w:val="auto"/>
        </w:rPr>
        <w:t>Short-term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575437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75437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575437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 information</w:t>
      </w:r>
    </w:p>
    <w:p>
      <w:pPr>
        <w:spacing w:after="0" w:line="219" w:lineRule="auto"/>
        <w:rPr>
          <w:sz w:val="20"/>
          <w:szCs w:val="20"/>
          <w:color w:val="auto"/>
        </w:rPr>
      </w:pPr>
      <w:r>
        <w:rPr>
          <w:rFonts w:ascii="Arial" w:cs="Arial" w:eastAsia="Arial" w:hAnsi="Arial"/>
          <w:sz w:val="18"/>
          <w:szCs w:val="18"/>
          <w:color w:val="auto"/>
        </w:rPr>
        <w:t>Cash paid for amounts included in the measurement of lease liabilities:</w:t>
      </w:r>
    </w:p>
    <w:p>
      <w:pPr>
        <w:spacing w:after="0" w:line="219" w:lineRule="auto"/>
        <w:rPr>
          <w:sz w:val="20"/>
          <w:szCs w:val="20"/>
          <w:color w:val="auto"/>
        </w:rPr>
      </w:pPr>
      <w:r>
        <w:rPr>
          <w:rFonts w:ascii="Arial" w:cs="Arial" w:eastAsia="Arial" w:hAnsi="Arial"/>
          <w:sz w:val="18"/>
          <w:szCs w:val="18"/>
          <w:color w:val="auto"/>
        </w:rPr>
        <w:t>Operating lease cash flows – Fixed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575437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line="219" w:lineRule="auto"/>
        <w:rPr>
          <w:sz w:val="20"/>
          <w:szCs w:val="20"/>
          <w:color w:val="auto"/>
        </w:rPr>
      </w:pPr>
      <w:r>
        <w:rPr>
          <w:rFonts w:ascii="Arial" w:cs="Arial" w:eastAsia="Arial" w:hAnsi="Arial"/>
          <w:sz w:val="18"/>
          <w:szCs w:val="18"/>
          <w:color w:val="auto"/>
        </w:rPr>
        <w:t>Operating lease cash flows – Liability reduction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Right of use assets obtained during the period in exchange for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575437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Weighted average lease term (in years)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13379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2019</w:t>
      </w:r>
    </w:p>
    <w:tbl>
      <w:tblPr>
        <w:tblLayout w:type="fixed"/>
        <w:tblInd w:w="0" w:type="dxa"/>
        <w:tblCellMar>
          <w:top w:w="0" w:type="dxa"/>
          <w:left w:w="0" w:type="dxa"/>
          <w:bottom w:w="0" w:type="dxa"/>
          <w:right w:w="0" w:type="dxa"/>
        </w:tblCellMar>
      </w:tblPr>
      <w:tr>
        <w:trPr>
          <w:trHeight w:val="155"/>
        </w:trPr>
        <w:tc>
          <w:tcPr>
            <w:tcW w:w="840" w:type="dxa"/>
            <w:vAlign w:val="bottom"/>
            <w:tcBorders>
              <w:top w:val="single" w:sz="8" w:color="auto"/>
            </w:tcBorders>
            <w:gridSpan w:val="2"/>
          </w:tcPr>
          <w:p>
            <w:pPr>
              <w:jc w:val="right"/>
              <w:ind w:right="710"/>
              <w:spacing w:after="0" w:line="155" w:lineRule="exact"/>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auto"/>
              </w:rPr>
              <w:t>533</w:t>
            </w:r>
          </w:p>
        </w:tc>
      </w:tr>
      <w:tr>
        <w:trPr>
          <w:trHeight w:val="189"/>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111</w:t>
            </w:r>
          </w:p>
        </w:tc>
      </w:tr>
      <w:tr>
        <w:trPr>
          <w:trHeight w:val="189"/>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15</w:t>
            </w:r>
          </w:p>
        </w:tc>
      </w:tr>
      <w:tr>
        <w:trPr>
          <w:trHeight w:val="217"/>
        </w:trPr>
        <w:tc>
          <w:tcPr>
            <w:tcW w:w="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659</w:t>
            </w:r>
          </w:p>
        </w:tc>
      </w:tr>
      <w:tr>
        <w:trPr>
          <w:trHeight w:val="728"/>
        </w:trPr>
        <w:tc>
          <w:tcPr>
            <w:tcW w:w="840" w:type="dxa"/>
            <w:vAlign w:val="bottom"/>
            <w:gridSpan w:val="2"/>
          </w:tcPr>
          <w:p>
            <w:pPr>
              <w:jc w:val="right"/>
              <w:ind w:right="71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189"/>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463</w:t>
            </w: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w:t>
            </w:r>
          </w:p>
        </w:tc>
      </w:tr>
    </w:tbl>
    <w:p>
      <w:pPr>
        <w:spacing w:after="0" w:line="161" w:lineRule="exact"/>
        <w:rPr>
          <w:sz w:val="20"/>
          <w:szCs w:val="20"/>
          <w:color w:val="auto"/>
        </w:rPr>
      </w:pPr>
    </w:p>
    <w:p>
      <w:pPr>
        <w:sectPr>
          <w:pgSz w:w="11900" w:h="16838" w:orient="portrait"/>
          <w:cols w:equalWidth="0" w:num="2">
            <w:col w:w="6300" w:space="660"/>
            <w:col w:w="2100"/>
          </w:cols>
          <w:pgMar w:left="1420" w:top="111" w:right="1419" w:bottom="1440" w:gutter="0" w:footer="0" w:header="0"/>
          <w:type w:val="continuous"/>
        </w:sectPr>
      </w:pPr>
    </w:p>
    <w:p>
      <w:pPr>
        <w:ind w:right="100"/>
        <w:spacing w:after="0" w:line="235" w:lineRule="auto"/>
        <w:rPr>
          <w:sz w:val="20"/>
          <w:szCs w:val="20"/>
          <w:color w:val="auto"/>
        </w:rPr>
      </w:pPr>
      <w:r>
        <w:rPr>
          <w:rFonts w:ascii="Arial" w:cs="Arial" w:eastAsia="Arial" w:hAnsi="Arial"/>
          <w:sz w:val="18"/>
          <w:szCs w:val="18"/>
          <w:color w:val="auto"/>
        </w:rPr>
        <w:t>At March 31, 2019, the Company was obligated under noncancelable operating leases for office space and other commitments. Rent expense under operating leases, included in net occupancy and equipment expense, was $0.7 million for the three months ended March 31, 2019 and 2018.</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Rent commitments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42"/>
        </w:trPr>
        <w:tc>
          <w:tcPr>
            <w:tcW w:w="412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81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2020</w:t>
            </w:r>
          </w:p>
        </w:tc>
        <w:tc>
          <w:tcPr>
            <w:tcW w:w="2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2,094</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2022</w:t>
            </w:r>
          </w:p>
        </w:tc>
        <w:tc>
          <w:tcPr>
            <w:tcW w:w="2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1,406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16"/>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4,498</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Amounts representing interest</w:t>
            </w:r>
          </w:p>
        </w:tc>
        <w:tc>
          <w:tcPr>
            <w:tcW w:w="28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r>
      <w:tr>
        <w:trPr>
          <w:trHeight w:val="217"/>
        </w:trPr>
        <w:tc>
          <w:tcPr>
            <w:tcW w:w="4120" w:type="dxa"/>
            <w:vAlign w:val="bottom"/>
          </w:tcPr>
          <w:p>
            <w:pPr>
              <w:spacing w:after="0"/>
              <w:rPr>
                <w:sz w:val="20"/>
                <w:szCs w:val="20"/>
                <w:color w:val="auto"/>
              </w:rPr>
            </w:pPr>
            <w:r>
              <w:rPr>
                <w:rFonts w:ascii="Arial" w:cs="Arial" w:eastAsia="Arial" w:hAnsi="Arial"/>
                <w:sz w:val="18"/>
                <w:szCs w:val="18"/>
                <w:color w:val="auto"/>
                <w:w w:val="97"/>
              </w:rPr>
              <w:t>Present value of net future minimum lease payments</w:t>
            </w:r>
          </w:p>
        </w:tc>
        <w:tc>
          <w:tcPr>
            <w:tcW w:w="2840" w:type="dxa"/>
            <w:vAlign w:val="bottom"/>
          </w:tcPr>
          <w:p>
            <w:pPr>
              <w:spacing w:after="0"/>
              <w:rPr>
                <w:sz w:val="18"/>
                <w:szCs w:val="18"/>
                <w:color w:val="auto"/>
              </w:rPr>
            </w:pPr>
          </w:p>
        </w:tc>
        <w:tc>
          <w:tcPr>
            <w:tcW w:w="5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10,982</w:t>
            </w:r>
          </w:p>
        </w:tc>
      </w:tr>
      <w:tr>
        <w:trPr>
          <w:trHeight w:val="824"/>
        </w:trPr>
        <w:tc>
          <w:tcPr>
            <w:tcW w:w="4120" w:type="dxa"/>
            <w:vAlign w:val="bottom"/>
          </w:tcPr>
          <w:p>
            <w:pPr>
              <w:spacing w:after="0"/>
              <w:rPr>
                <w:sz w:val="24"/>
                <w:szCs w:val="24"/>
                <w:color w:val="auto"/>
              </w:rPr>
            </w:pPr>
          </w:p>
        </w:tc>
        <w:tc>
          <w:tcPr>
            <w:tcW w:w="2840" w:type="dxa"/>
            <w:vAlign w:val="bottom"/>
          </w:tcPr>
          <w:p>
            <w:pPr>
              <w:jc w:val="right"/>
              <w:ind w:right="2250"/>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02"/>
        </w:trPr>
        <w:tc>
          <w:tcPr>
            <w:tcW w:w="412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type w:val="continuous"/>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left="1440" w:right="80"/>
        <w:spacing w:after="0" w:line="23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2"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The following is management’s discussion and analysis of the financial condition as of March 31, 2019 (unaudited), as compared with December 31, 2018 and March 31, 2018 (unaudited), and the results of operations for the three months ended March 31, 2019 and 2018 (unaudited) and December 31, 2018. Management’s discussion and analysis should be read in conjunction with the Company’s unaudited consolidated financial statements and notes thereto appearing elsewhere in this Quarterly Report on Form 10-Q, as well as the Company’s Annual Report on Form 10-K for the year ended December 31, 2018.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144"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The Company recorded net income for the first quarter of 2019 of $25.5 million, or $0.48 per diluted common share, as compared to $25.3 million, or $0.51 per diluted common share, for the fourth quarter of 2018 and $21.9 million, or $0.45 per diluted common share, for the first quarter of 2018. Adjusted net income</w:t>
      </w:r>
      <w:r>
        <w:rPr>
          <w:rFonts w:ascii="Arial" w:cs="Arial" w:eastAsia="Arial" w:hAnsi="Arial"/>
          <w:sz w:val="8"/>
          <w:szCs w:val="8"/>
          <w:color w:val="auto"/>
        </w:rPr>
        <w:t>1</w:t>
      </w:r>
      <w:r>
        <w:rPr>
          <w:rFonts w:ascii="Arial" w:cs="Arial" w:eastAsia="Arial" w:hAnsi="Arial"/>
          <w:sz w:val="17"/>
          <w:szCs w:val="17"/>
          <w:color w:val="auto"/>
        </w:rPr>
        <w:t xml:space="preserve"> for the first quarter of 2019 was $26.6 million, or $0.50 per diluted common share, as compared to $26.0 million, or $0.53 per diluted common share, for the fourth quarter of 2018 and $24.9 million, or $0.51 per diluted common share, for the first quarter of 2018.</w:t>
      </w:r>
    </w:p>
    <w:p>
      <w:pPr>
        <w:spacing w:after="0" w:line="121" w:lineRule="exact"/>
        <w:rPr>
          <w:sz w:val="20"/>
          <w:szCs w:val="20"/>
          <w:color w:val="auto"/>
        </w:rPr>
      </w:pPr>
    </w:p>
    <w:p>
      <w:pPr>
        <w:jc w:val="both"/>
        <w:ind w:right="140"/>
        <w:spacing w:after="0" w:line="219" w:lineRule="auto"/>
        <w:rPr>
          <w:sz w:val="20"/>
          <w:szCs w:val="20"/>
          <w:color w:val="auto"/>
        </w:rPr>
      </w:pPr>
      <w:r>
        <w:rPr>
          <w:rFonts w:ascii="Arial" w:cs="Arial" w:eastAsia="Arial" w:hAnsi="Arial"/>
          <w:sz w:val="18"/>
          <w:szCs w:val="18"/>
          <w:color w:val="auto"/>
        </w:rPr>
        <w:t>On January 31, 2019, the Company completed its acquisition of The Banc Ed Corp., the holding company for The Bank of Edwardsville (“TheBANK”). TheBANK, founded in 1868, is a commercial bank headquartered in Edwardsville, Illinois. It is anticipated that TheBANK will be merged with and into First Busey’s bank subsidiary, Busey Bank, in the fourth quarter of 2019.</w:t>
      </w:r>
    </w:p>
    <w:p>
      <w:pPr>
        <w:spacing w:after="0" w:line="122"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The Company views certain non-operating items, including acquisition-related and restructuring charges, as adjustments to net income reported under GAAP. Non-operating pretax adjustments for the first quarter of 2019 were $1.2 million of expenses related to acquisitions and $0.3 million of expenses related to restructuring costs. The reconciliation of non-GAAP measures (including adjusted net income, adjusted return on average assets, adjusted net interest margin, adjusted efficiency ratio, tangible book value, tangible book value per share and return on average tangible common equity), which the Company believes facilitates the assessment of its financial results and peer comparability, is included in tabular form in this Quarterly Report on Form 10-Q in the “Non-GAAP Financial Information” section.</w:t>
      </w:r>
    </w:p>
    <w:p>
      <w:pPr>
        <w:spacing w:after="0" w:line="122" w:lineRule="exact"/>
        <w:rPr>
          <w:sz w:val="20"/>
          <w:szCs w:val="20"/>
          <w:color w:val="auto"/>
        </w:rPr>
      </w:pPr>
    </w:p>
    <w:p>
      <w:pPr>
        <w:ind w:right="200"/>
        <w:spacing w:after="0" w:line="229" w:lineRule="auto"/>
        <w:rPr>
          <w:sz w:val="20"/>
          <w:szCs w:val="20"/>
          <w:color w:val="auto"/>
        </w:rPr>
      </w:pPr>
      <w:r>
        <w:rPr>
          <w:rFonts w:ascii="Arial" w:cs="Arial" w:eastAsia="Arial" w:hAnsi="Arial"/>
          <w:sz w:val="17"/>
          <w:szCs w:val="17"/>
          <w:color w:val="auto"/>
        </w:rPr>
        <w:t>Revenues from trust fees, commissions and brokers’ fees, and remittance processing activities represented 49.4% of the Company’s non-interest income for the first quarter of 2019, providing a balance to revenue from traditional banking activities. Two of the Company’s acquisitions, Pulaski and First Community, had no legacy fee income in these businesses; therefore, the addition of First Busey’s fee-based service offerings in the respective acquired bank markets is expected to continue providing attractive growth opportunities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274320</wp:posOffset>
            </wp:positionV>
            <wp:extent cx="14408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20" w:right="280" w:hanging="317"/>
        <w:spacing w:after="0" w:line="235"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 reconciliation of adjusted net income, a non-GAAP financial measure, see “Non-GAAP Financial Information”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144" w:lineRule="exact"/>
        <w:rPr>
          <w:sz w:val="20"/>
          <w:szCs w:val="20"/>
          <w:color w:val="auto"/>
        </w:rPr>
      </w:pPr>
    </w:p>
    <w:p>
      <w:pPr>
        <w:ind w:right="680"/>
        <w:spacing w:after="0" w:line="239" w:lineRule="auto"/>
        <w:rPr>
          <w:sz w:val="20"/>
          <w:szCs w:val="20"/>
          <w:color w:val="auto"/>
        </w:rPr>
      </w:pPr>
      <w:r>
        <w:rPr>
          <w:rFonts w:ascii="Arial" w:cs="Arial" w:eastAsia="Arial" w:hAnsi="Arial"/>
          <w:sz w:val="16"/>
          <w:szCs w:val="16"/>
          <w:color w:val="auto"/>
        </w:rPr>
        <w:t>As of March 31, 2019 and December 31, 2018, the Company reported non-performing loans of $36.6 million. Non-performing loans were 0.56% of total portfolio loans as of March 31, 2019 compared to 0.66% as of December 31,</w:t>
      </w:r>
    </w:p>
    <w:p>
      <w:pPr>
        <w:spacing w:after="0" w:line="1"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 xml:space="preserve">2018. With a continued commitment to asset quality and the strength of our balance sheet, near-term loan losses are expected to remain generally low. While these results are encouraging, asset quality metrics can be generally influenced by market-specific economic conditions, and specific measures may fluctuate from period to period. The key metrics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19"/>
        </w:trPr>
        <w:tc>
          <w:tcPr>
            <w:tcW w:w="3980" w:type="dxa"/>
            <w:vAlign w:val="bottom"/>
          </w:tcPr>
          <w:p>
            <w:pPr>
              <w:spacing w:after="0"/>
              <w:rPr>
                <w:sz w:val="10"/>
                <w:szCs w:val="10"/>
                <w:color w:val="auto"/>
              </w:rPr>
            </w:pPr>
          </w:p>
        </w:tc>
        <w:tc>
          <w:tcPr>
            <w:tcW w:w="12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0"/>
                <w:szCs w:val="10"/>
                <w:color w:val="auto"/>
              </w:rPr>
            </w:pPr>
          </w:p>
        </w:tc>
        <w:tc>
          <w:tcPr>
            <w:tcW w:w="120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80" w:type="dxa"/>
            <w:vAlign w:val="bottom"/>
          </w:tcPr>
          <w:p>
            <w:pPr>
              <w:jc w:val="right"/>
              <w:ind w:right="414"/>
              <w:spacing w:after="0" w:line="119" w:lineRule="exact"/>
              <w:rPr>
                <w:sz w:val="20"/>
                <w:szCs w:val="20"/>
                <w:color w:val="auto"/>
              </w:rPr>
            </w:pPr>
            <w:r>
              <w:rPr>
                <w:rFonts w:ascii="Arial" w:cs="Arial" w:eastAsia="Arial" w:hAnsi="Arial"/>
                <w:sz w:val="13"/>
                <w:szCs w:val="13"/>
                <w:b w:val="1"/>
                <w:bCs w:val="1"/>
                <w:color w:val="auto"/>
              </w:rPr>
              <w:t>June 30,</w:t>
            </w:r>
          </w:p>
        </w:tc>
      </w:tr>
      <w:tr>
        <w:trPr>
          <w:trHeight w:val="171"/>
        </w:trPr>
        <w:tc>
          <w:tcPr>
            <w:tcW w:w="3980" w:type="dxa"/>
            <w:vAlign w:val="bottom"/>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20" w:type="dxa"/>
            <w:vAlign w:val="bottom"/>
            <w:gridSpan w:val="2"/>
          </w:tcPr>
          <w:p>
            <w:pPr>
              <w:jc w:val="right"/>
              <w:ind w:right="26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183"/>
        </w:trPr>
        <w:tc>
          <w:tcPr>
            <w:tcW w:w="3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Portfolio loans</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   6,515,081</w:t>
            </w: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  5,568,428</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154"/>
              <w:spacing w:after="0" w:line="182" w:lineRule="exact"/>
              <w:rPr>
                <w:sz w:val="20"/>
                <w:szCs w:val="20"/>
                <w:color w:val="auto"/>
              </w:rPr>
            </w:pPr>
            <w:r>
              <w:rPr>
                <w:rFonts w:ascii="Arial" w:cs="Arial" w:eastAsia="Arial" w:hAnsi="Arial"/>
                <w:sz w:val="18"/>
                <w:szCs w:val="18"/>
                <w:color w:val="auto"/>
              </w:rPr>
              <w:t>5,623,741</w:t>
            </w:r>
          </w:p>
        </w:tc>
        <w:tc>
          <w:tcPr>
            <w:tcW w:w="1280" w:type="dxa"/>
            <w:vAlign w:val="bottom"/>
            <w:tcBorders>
              <w:top w:val="single" w:sz="8" w:color="auto"/>
            </w:tcBorders>
            <w:shd w:val="clear" w:color="auto" w:fill="CCEEFF"/>
          </w:tcPr>
          <w:p>
            <w:pPr>
              <w:jc w:val="right"/>
              <w:ind w:right="214"/>
              <w:spacing w:after="0" w:line="182" w:lineRule="exact"/>
              <w:rPr>
                <w:sz w:val="20"/>
                <w:szCs w:val="20"/>
                <w:color w:val="auto"/>
              </w:rPr>
            </w:pPr>
            <w:r>
              <w:rPr>
                <w:rFonts w:ascii="Arial" w:cs="Arial" w:eastAsia="Arial" w:hAnsi="Arial"/>
                <w:sz w:val="18"/>
                <w:szCs w:val="18"/>
                <w:color w:val="auto"/>
              </w:rPr>
              <w:t>$ 5,555,287</w:t>
            </w:r>
          </w:p>
        </w:tc>
      </w:tr>
      <w:tr>
        <w:trPr>
          <w:trHeight w:val="189"/>
        </w:trPr>
        <w:tc>
          <w:tcPr>
            <w:tcW w:w="3980" w:type="dxa"/>
            <w:vAlign w:val="bottom"/>
          </w:tcPr>
          <w:p>
            <w:pPr>
              <w:spacing w:after="0" w:line="189" w:lineRule="exact"/>
              <w:rPr>
                <w:sz w:val="20"/>
                <w:szCs w:val="20"/>
                <w:color w:val="auto"/>
              </w:rPr>
            </w:pPr>
            <w:r>
              <w:rPr>
                <w:rFonts w:ascii="Arial" w:cs="Arial" w:eastAsia="Arial" w:hAnsi="Arial"/>
                <w:sz w:val="18"/>
                <w:szCs w:val="18"/>
                <w:color w:val="auto"/>
              </w:rPr>
              <w:t>Allowance for loan losses</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50,915</w:t>
            </w:r>
          </w:p>
        </w:tc>
        <w:tc>
          <w:tcPr>
            <w:tcW w:w="200" w:type="dxa"/>
            <w:vAlign w:val="bottom"/>
          </w:tcPr>
          <w:p>
            <w:pPr>
              <w:spacing w:after="0"/>
              <w:rPr>
                <w:sz w:val="16"/>
                <w:szCs w:val="16"/>
                <w:color w:val="auto"/>
              </w:rPr>
            </w:pPr>
          </w:p>
        </w:tc>
        <w:tc>
          <w:tcPr>
            <w:tcW w:w="10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50,648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ind w:right="154"/>
              <w:spacing w:after="0" w:line="189" w:lineRule="exact"/>
              <w:rPr>
                <w:sz w:val="20"/>
                <w:szCs w:val="20"/>
                <w:color w:val="auto"/>
              </w:rPr>
            </w:pPr>
            <w:r>
              <w:rPr>
                <w:rFonts w:ascii="Arial" w:cs="Arial" w:eastAsia="Arial" w:hAnsi="Arial"/>
                <w:sz w:val="18"/>
                <w:szCs w:val="18"/>
                <w:color w:val="auto"/>
              </w:rPr>
              <w:t>52,743</w:t>
            </w:r>
          </w:p>
        </w:tc>
        <w:tc>
          <w:tcPr>
            <w:tcW w:w="1280" w:type="dxa"/>
            <w:vAlign w:val="bottom"/>
          </w:tcPr>
          <w:p>
            <w:pPr>
              <w:jc w:val="right"/>
              <w:ind w:right="214"/>
              <w:spacing w:after="0" w:line="189" w:lineRule="exact"/>
              <w:rPr>
                <w:sz w:val="20"/>
                <w:szCs w:val="20"/>
                <w:color w:val="auto"/>
              </w:rPr>
            </w:pPr>
            <w:r>
              <w:rPr>
                <w:rFonts w:ascii="Arial" w:cs="Arial" w:eastAsia="Arial" w:hAnsi="Arial"/>
                <w:sz w:val="18"/>
                <w:szCs w:val="18"/>
                <w:color w:val="auto"/>
              </w:rPr>
              <w:t>53,305</w:t>
            </w:r>
          </w:p>
        </w:tc>
      </w:tr>
      <w:tr>
        <w:trPr>
          <w:trHeight w:val="189"/>
        </w:trPr>
        <w:tc>
          <w:tcPr>
            <w:tcW w:w="3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Non-performing loans</w:t>
            </w: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9"/>
        </w:trPr>
        <w:tc>
          <w:tcPr>
            <w:tcW w:w="3980" w:type="dxa"/>
            <w:vAlign w:val="bottom"/>
          </w:tcPr>
          <w:p>
            <w:pPr>
              <w:ind w:left="220"/>
              <w:spacing w:after="0" w:line="189" w:lineRule="exact"/>
              <w:rPr>
                <w:sz w:val="20"/>
                <w:szCs w:val="20"/>
                <w:color w:val="auto"/>
              </w:rPr>
            </w:pPr>
            <w:r>
              <w:rPr>
                <w:rFonts w:ascii="Arial" w:cs="Arial" w:eastAsia="Arial" w:hAnsi="Arial"/>
                <w:sz w:val="18"/>
                <w:szCs w:val="18"/>
                <w:color w:val="auto"/>
              </w:rPr>
              <w:t>Non-accrual loans</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36,230</w:t>
            </w:r>
          </w:p>
        </w:tc>
        <w:tc>
          <w:tcPr>
            <w:tcW w:w="200" w:type="dxa"/>
            <w:vAlign w:val="bottom"/>
          </w:tcPr>
          <w:p>
            <w:pPr>
              <w:spacing w:after="0"/>
              <w:rPr>
                <w:sz w:val="16"/>
                <w:szCs w:val="16"/>
                <w:color w:val="auto"/>
              </w:rPr>
            </w:pPr>
          </w:p>
        </w:tc>
        <w:tc>
          <w:tcPr>
            <w:tcW w:w="10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34,997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ind w:right="154"/>
              <w:spacing w:after="0" w:line="189" w:lineRule="exact"/>
              <w:rPr>
                <w:sz w:val="20"/>
                <w:szCs w:val="20"/>
                <w:color w:val="auto"/>
              </w:rPr>
            </w:pPr>
            <w:r>
              <w:rPr>
                <w:rFonts w:ascii="Arial" w:cs="Arial" w:eastAsia="Arial" w:hAnsi="Arial"/>
                <w:sz w:val="18"/>
                <w:szCs w:val="18"/>
                <w:color w:val="auto"/>
              </w:rPr>
              <w:t>40,395</w:t>
            </w:r>
          </w:p>
        </w:tc>
        <w:tc>
          <w:tcPr>
            <w:tcW w:w="1280" w:type="dxa"/>
            <w:vAlign w:val="bottom"/>
          </w:tcPr>
          <w:p>
            <w:pPr>
              <w:jc w:val="right"/>
              <w:ind w:right="214"/>
              <w:spacing w:after="0" w:line="189" w:lineRule="exact"/>
              <w:rPr>
                <w:sz w:val="20"/>
                <w:szCs w:val="20"/>
                <w:color w:val="auto"/>
              </w:rPr>
            </w:pPr>
            <w:r>
              <w:rPr>
                <w:rFonts w:ascii="Arial" w:cs="Arial" w:eastAsia="Arial" w:hAnsi="Arial"/>
                <w:sz w:val="18"/>
                <w:szCs w:val="18"/>
                <w:color w:val="auto"/>
              </w:rPr>
              <w:t>23,215</w:t>
            </w:r>
          </w:p>
        </w:tc>
      </w:tr>
      <w:tr>
        <w:trPr>
          <w:trHeight w:val="189"/>
        </w:trPr>
        <w:tc>
          <w:tcPr>
            <w:tcW w:w="39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Loans 90+ days past due</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1,601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54"/>
              <w:spacing w:after="0" w:line="189" w:lineRule="exact"/>
              <w:rPr>
                <w:sz w:val="20"/>
                <w:szCs w:val="20"/>
                <w:color w:val="auto"/>
              </w:rPr>
            </w:pPr>
            <w:r>
              <w:rPr>
                <w:rFonts w:ascii="Arial" w:cs="Arial" w:eastAsia="Arial" w:hAnsi="Arial"/>
                <w:sz w:val="18"/>
                <w:szCs w:val="18"/>
                <w:color w:val="auto"/>
              </w:rPr>
              <w:t>364</w:t>
            </w:r>
          </w:p>
        </w:tc>
        <w:tc>
          <w:tcPr>
            <w:tcW w:w="1280" w:type="dxa"/>
            <w:vAlign w:val="bottom"/>
            <w:shd w:val="clear" w:color="auto" w:fill="CCEEFF"/>
          </w:tcPr>
          <w:p>
            <w:pPr>
              <w:jc w:val="right"/>
              <w:ind w:right="214"/>
              <w:spacing w:after="0" w:line="189" w:lineRule="exact"/>
              <w:rPr>
                <w:sz w:val="20"/>
                <w:szCs w:val="20"/>
                <w:color w:val="auto"/>
              </w:rPr>
            </w:pPr>
            <w:r>
              <w:rPr>
                <w:rFonts w:ascii="Arial" w:cs="Arial" w:eastAsia="Arial" w:hAnsi="Arial"/>
                <w:sz w:val="18"/>
                <w:szCs w:val="18"/>
                <w:color w:val="auto"/>
              </w:rPr>
              <w:t>1,142</w:t>
            </w:r>
          </w:p>
        </w:tc>
      </w:tr>
      <w:tr>
        <w:trPr>
          <w:trHeight w:val="189"/>
        </w:trPr>
        <w:tc>
          <w:tcPr>
            <w:tcW w:w="3980" w:type="dxa"/>
            <w:vAlign w:val="bottom"/>
          </w:tcPr>
          <w:p>
            <w:pPr>
              <w:spacing w:after="0" w:line="189" w:lineRule="exact"/>
              <w:rPr>
                <w:sz w:val="20"/>
                <w:szCs w:val="20"/>
                <w:color w:val="auto"/>
              </w:rPr>
            </w:pPr>
            <w:r>
              <w:rPr>
                <w:rFonts w:ascii="Arial" w:cs="Arial" w:eastAsia="Arial" w:hAnsi="Arial"/>
                <w:sz w:val="18"/>
                <w:szCs w:val="18"/>
                <w:color w:val="auto"/>
              </w:rPr>
              <w:t>Loans 30-89 days past due</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10,780</w:t>
            </w:r>
          </w:p>
        </w:tc>
        <w:tc>
          <w:tcPr>
            <w:tcW w:w="200" w:type="dxa"/>
            <w:vAlign w:val="bottom"/>
          </w:tcPr>
          <w:p>
            <w:pPr>
              <w:spacing w:after="0"/>
              <w:rPr>
                <w:sz w:val="16"/>
                <w:szCs w:val="16"/>
                <w:color w:val="auto"/>
              </w:rPr>
            </w:pPr>
          </w:p>
        </w:tc>
        <w:tc>
          <w:tcPr>
            <w:tcW w:w="10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7,121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ind w:right="154"/>
              <w:spacing w:after="0" w:line="189" w:lineRule="exact"/>
              <w:rPr>
                <w:sz w:val="20"/>
                <w:szCs w:val="20"/>
                <w:color w:val="auto"/>
              </w:rPr>
            </w:pPr>
            <w:r>
              <w:rPr>
                <w:rFonts w:ascii="Arial" w:cs="Arial" w:eastAsia="Arial" w:hAnsi="Arial"/>
                <w:sz w:val="18"/>
                <w:szCs w:val="18"/>
                <w:color w:val="auto"/>
              </w:rPr>
              <w:t>8,189</w:t>
            </w:r>
          </w:p>
        </w:tc>
        <w:tc>
          <w:tcPr>
            <w:tcW w:w="1280" w:type="dxa"/>
            <w:vAlign w:val="bottom"/>
          </w:tcPr>
          <w:p>
            <w:pPr>
              <w:jc w:val="right"/>
              <w:ind w:right="214"/>
              <w:spacing w:after="0" w:line="189" w:lineRule="exact"/>
              <w:rPr>
                <w:sz w:val="20"/>
                <w:szCs w:val="20"/>
                <w:color w:val="auto"/>
              </w:rPr>
            </w:pPr>
            <w:r>
              <w:rPr>
                <w:rFonts w:ascii="Arial" w:cs="Arial" w:eastAsia="Arial" w:hAnsi="Arial"/>
                <w:sz w:val="18"/>
                <w:szCs w:val="18"/>
                <w:color w:val="auto"/>
              </w:rPr>
              <w:t>10,017</w:t>
            </w:r>
          </w:p>
        </w:tc>
      </w:tr>
      <w:tr>
        <w:trPr>
          <w:trHeight w:val="189"/>
        </w:trPr>
        <w:tc>
          <w:tcPr>
            <w:tcW w:w="3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non-performing assets</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921</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376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54"/>
              <w:spacing w:after="0" w:line="189" w:lineRule="exact"/>
              <w:rPr>
                <w:sz w:val="20"/>
                <w:szCs w:val="20"/>
                <w:color w:val="auto"/>
              </w:rPr>
            </w:pPr>
            <w:r>
              <w:rPr>
                <w:rFonts w:ascii="Arial" w:cs="Arial" w:eastAsia="Arial" w:hAnsi="Arial"/>
                <w:sz w:val="18"/>
                <w:szCs w:val="18"/>
                <w:color w:val="auto"/>
              </w:rPr>
              <w:t>1,093</w:t>
            </w:r>
          </w:p>
        </w:tc>
        <w:tc>
          <w:tcPr>
            <w:tcW w:w="1280" w:type="dxa"/>
            <w:vAlign w:val="bottom"/>
            <w:shd w:val="clear" w:color="auto" w:fill="CCEEFF"/>
          </w:tcPr>
          <w:p>
            <w:pPr>
              <w:jc w:val="right"/>
              <w:ind w:right="214"/>
              <w:spacing w:after="0" w:line="189" w:lineRule="exact"/>
              <w:rPr>
                <w:sz w:val="20"/>
                <w:szCs w:val="20"/>
                <w:color w:val="auto"/>
              </w:rPr>
            </w:pPr>
            <w:r>
              <w:rPr>
                <w:rFonts w:ascii="Arial" w:cs="Arial" w:eastAsia="Arial" w:hAnsi="Arial"/>
                <w:sz w:val="18"/>
                <w:szCs w:val="18"/>
                <w:color w:val="auto"/>
              </w:rPr>
              <w:t>3,694</w:t>
            </w:r>
          </w:p>
        </w:tc>
      </w:tr>
      <w:tr>
        <w:trPr>
          <w:trHeight w:val="161"/>
        </w:trPr>
        <w:tc>
          <w:tcPr>
            <w:tcW w:w="3980" w:type="dxa"/>
            <w:vAlign w:val="bottom"/>
          </w:tcPr>
          <w:p>
            <w:pPr>
              <w:spacing w:after="0" w:line="161" w:lineRule="exact"/>
              <w:rPr>
                <w:sz w:val="20"/>
                <w:szCs w:val="20"/>
                <w:color w:val="auto"/>
              </w:rPr>
            </w:pPr>
            <w:r>
              <w:rPr>
                <w:rFonts w:ascii="Arial" w:cs="Arial" w:eastAsia="Arial" w:hAnsi="Arial"/>
                <w:sz w:val="18"/>
                <w:szCs w:val="18"/>
                <w:color w:val="auto"/>
              </w:rPr>
              <w:t>Allowance as a percentage of non-performing</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7"/>
        </w:trPr>
        <w:tc>
          <w:tcPr>
            <w:tcW w:w="3980" w:type="dxa"/>
            <w:vAlign w:val="bottom"/>
          </w:tcPr>
          <w:p>
            <w:pPr>
              <w:spacing w:after="0"/>
              <w:rPr>
                <w:sz w:val="20"/>
                <w:szCs w:val="20"/>
                <w:color w:val="auto"/>
              </w:rPr>
            </w:pPr>
            <w:r>
              <w:rPr>
                <w:rFonts w:ascii="Arial" w:cs="Arial" w:eastAsia="Arial" w:hAnsi="Arial"/>
                <w:sz w:val="18"/>
                <w:szCs w:val="18"/>
                <w:color w:val="auto"/>
              </w:rPr>
              <w:t>loans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139.2 %</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138.4 %</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129.4 %</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202.2 %</w:t>
            </w:r>
          </w:p>
        </w:tc>
      </w:tr>
      <w:tr>
        <w:trPr>
          <w:trHeight w:val="189"/>
        </w:trPr>
        <w:tc>
          <w:tcPr>
            <w:tcW w:w="3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Allowance for loan losses to portfolio loans</w:t>
            </w:r>
          </w:p>
        </w:tc>
        <w:tc>
          <w:tcPr>
            <w:tcW w:w="12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0.78 %</w:t>
            </w:r>
          </w:p>
        </w:tc>
        <w:tc>
          <w:tcPr>
            <w:tcW w:w="12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0.91 %</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0.94 %</w:t>
            </w:r>
          </w:p>
        </w:tc>
        <w:tc>
          <w:tcPr>
            <w:tcW w:w="1280" w:type="dxa"/>
            <w:vAlign w:val="bottom"/>
            <w:shd w:val="clear" w:color="auto" w:fill="CCEEFF"/>
          </w:tcPr>
          <w:p>
            <w:pPr>
              <w:jc w:val="right"/>
              <w:ind w:right="14"/>
              <w:spacing w:after="0" w:line="189" w:lineRule="exact"/>
              <w:rPr>
                <w:sz w:val="20"/>
                <w:szCs w:val="20"/>
                <w:color w:val="auto"/>
              </w:rPr>
            </w:pPr>
            <w:r>
              <w:rPr>
                <w:rFonts w:ascii="Arial" w:cs="Arial" w:eastAsia="Arial" w:hAnsi="Arial"/>
                <w:sz w:val="18"/>
                <w:szCs w:val="18"/>
                <w:color w:val="auto"/>
              </w:rPr>
              <w:t>0.96 %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of Markets</w:t>
      </w:r>
    </w:p>
    <w:p>
      <w:pPr>
        <w:spacing w:after="0" w:line="144" w:lineRule="exact"/>
        <w:rPr>
          <w:sz w:val="20"/>
          <w:szCs w:val="20"/>
          <w:color w:val="auto"/>
        </w:rPr>
      </w:pPr>
    </w:p>
    <w:p>
      <w:pPr>
        <w:ind w:right="420"/>
        <w:spacing w:after="0" w:line="219" w:lineRule="auto"/>
        <w:rPr>
          <w:sz w:val="20"/>
          <w:szCs w:val="20"/>
          <w:color w:val="auto"/>
        </w:rPr>
      </w:pPr>
      <w:r>
        <w:rPr>
          <w:rFonts w:ascii="Arial" w:cs="Arial" w:eastAsia="Arial" w:hAnsi="Arial"/>
          <w:sz w:val="18"/>
          <w:szCs w:val="18"/>
          <w:color w:val="auto"/>
        </w:rPr>
        <w:t>The Company has 44 banking centers serving Illinois. Our Illinois markets of Champaign, Macon, McLean, and Peoria counties and Southwest Chicago feature several Fortune 1000 companies. Those organizations, coupled with large healthcare and higher education sectors, anchor the communities in which they are located and have provided a comparatively stable foundation for housing, employment and small business.</w:t>
      </w:r>
    </w:p>
    <w:p>
      <w:pPr>
        <w:spacing w:after="0" w:line="122"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color w:val="auto"/>
        </w:rPr>
        <w:t>The State of Illinois, where a large portion of the Company’s customer base is located, continues to be troubled with pension under-funding, continued budget deficits and a declining credit outlook. Any possible payment lapses by the State of Illinois to its vendors and government sponsored entities may have negative effects on our primary market areas.</w:t>
      </w:r>
    </w:p>
    <w:p>
      <w:pPr>
        <w:spacing w:after="0" w:line="107"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Busey Bank has 13 banking centers serving the St. Louis metropolitan area, all of which are located in the city of St. Louis or the adjacent counties of St. Louis County and St. Charles County. The bi-state metropolitan area includes seven counties in Missouri and eight counties in Illinois; therefore, the Company’s geographic concentration in only three of these 15 counties gives the Company expansion opportunities into neighboring counties. St. Louis has a diverse economy with major employment sectors including health care, financial services, professional and business services, and retail. St. Charles County has been one of the fastest-growing counties in the country for decades.</w:t>
      </w:r>
    </w:p>
    <w:p>
      <w:pPr>
        <w:spacing w:after="0" w:line="125"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Busey Bank has five banking centers in southwest Florida, which has experienced job growth and an expanded housing market over the last several years.</w:t>
      </w:r>
    </w:p>
    <w:p>
      <w:pPr>
        <w:spacing w:after="0" w:line="121"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Busey Bank has one banking center in the Indianapolis, Indiana area, which is the most populous city of Indiana with a diverse economy Indianapolis is the headquarters of many large corporations.</w:t>
      </w:r>
    </w:p>
    <w:p>
      <w:pPr>
        <w:spacing w:after="0" w:line="121" w:lineRule="exact"/>
        <w:rPr>
          <w:sz w:val="20"/>
          <w:szCs w:val="20"/>
          <w:color w:val="auto"/>
        </w:rPr>
      </w:pPr>
    </w:p>
    <w:p>
      <w:pPr>
        <w:ind w:right="800"/>
        <w:spacing w:after="0" w:line="407" w:lineRule="auto"/>
        <w:rPr>
          <w:sz w:val="20"/>
          <w:szCs w:val="20"/>
          <w:color w:val="auto"/>
        </w:rPr>
      </w:pPr>
      <w:r>
        <w:rPr>
          <w:rFonts w:ascii="Arial" w:cs="Arial" w:eastAsia="Arial" w:hAnsi="Arial"/>
          <w:sz w:val="18"/>
          <w:szCs w:val="18"/>
          <w:color w:val="auto"/>
        </w:rPr>
        <w:t xml:space="preserve">TheBANK has 19 banking centers in Illinois and one loan production office in the greater St. Louis, MO-IL MSA. </w:t>
      </w:r>
      <w:r>
        <w:rPr>
          <w:rFonts w:ascii="Arial" w:cs="Arial" w:eastAsia="Arial" w:hAnsi="Arial"/>
          <w:sz w:val="18"/>
          <w:szCs w:val="18"/>
          <w:b w:val="1"/>
          <w:bCs w:val="1"/>
          <w:i w:val="1"/>
          <w:iCs w:val="1"/>
          <w:color w:val="auto"/>
        </w:rPr>
        <w:t>Net interest income</w:t>
      </w:r>
    </w:p>
    <w:p>
      <w:pPr>
        <w:ind w:right="60"/>
        <w:spacing w:after="0" w:line="258" w:lineRule="auto"/>
        <w:rPr>
          <w:sz w:val="20"/>
          <w:szCs w:val="20"/>
          <w:color w:val="auto"/>
        </w:rPr>
      </w:pPr>
      <w:r>
        <w:rPr>
          <w:rFonts w:ascii="Arial" w:cs="Arial" w:eastAsia="Arial" w:hAnsi="Arial"/>
          <w:sz w:val="17"/>
          <w:szCs w:val="17"/>
          <w:color w:val="auto"/>
        </w:rPr>
        <w:t>Net interest income is the difference between interest income and fees earned on earning assets and interest expense incurred on interest-bearing liabilities. Interest rate levels and volume fluctuations within earning assets and interest-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bearing liabilities impact net interest income. Net interest margin is tax-equivalent net interest income as a percent of average earning assets. Certain assets with tax favorable treatment are evaluated on a tax-equivalent basis. Tax-equivalent basis assumes an income tax rate of 21%.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following tables show our consolidated average balance sheets, detailing the major categories of assets and liabilities, the interest income earned on interest-earning assets, the interest expense paid for the interest-bearing liabilities, and the related interest rates for the periods shown. All average information is provided on a daily average basis.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AVERAGE BALANCE SHEETS AND INTEREST RATES</w:t>
      </w:r>
    </w:p>
    <w:p>
      <w:pPr>
        <w:jc w:val="center"/>
        <w:spacing w:after="0" w:line="228" w:lineRule="auto"/>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39"/>
        </w:trPr>
        <w:tc>
          <w:tcPr>
            <w:tcW w:w="2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7"/>
          </w:tcPr>
          <w:p>
            <w:pPr>
              <w:ind w:left="140"/>
              <w:spacing w:after="0" w:line="139" w:lineRule="exact"/>
              <w:rPr>
                <w:sz w:val="20"/>
                <w:szCs w:val="20"/>
                <w:color w:val="auto"/>
              </w:rPr>
            </w:pPr>
            <w:r>
              <w:rPr>
                <w:rFonts w:ascii="Arial" w:cs="Arial" w:eastAsia="Arial" w:hAnsi="Arial"/>
                <w:sz w:val="13"/>
                <w:szCs w:val="13"/>
                <w:b w:val="1"/>
                <w:bCs w:val="1"/>
                <w:color w:val="auto"/>
                <w:w w:val="96"/>
              </w:rPr>
              <w:t>Three Months Ended March 31,</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9"/>
        </w:trPr>
        <w:tc>
          <w:tcPr>
            <w:tcW w:w="2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97"/>
              <w:spacing w:after="0" w:line="129"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77"/>
              <w:spacing w:after="0" w:line="129" w:lineRule="exact"/>
              <w:rPr>
                <w:sz w:val="20"/>
                <w:szCs w:val="20"/>
                <w:color w:val="auto"/>
              </w:rPr>
            </w:pPr>
            <w:r>
              <w:rPr>
                <w:rFonts w:ascii="Arial" w:cs="Arial" w:eastAsia="Arial" w:hAnsi="Arial"/>
                <w:sz w:val="13"/>
                <w:szCs w:val="13"/>
                <w:b w:val="1"/>
                <w:bCs w:val="1"/>
                <w:color w:val="auto"/>
              </w:rPr>
              <w:t>2018</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10"/>
        </w:trPr>
        <w:tc>
          <w:tcPr>
            <w:tcW w:w="2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Average</w:t>
            </w:r>
          </w:p>
        </w:tc>
        <w:tc>
          <w:tcPr>
            <w:tcW w:w="120" w:type="dxa"/>
            <w:vAlign w:val="bottom"/>
          </w:tcPr>
          <w:p>
            <w:pPr>
              <w:spacing w:after="0"/>
              <w:rPr>
                <w:sz w:val="9"/>
                <w:szCs w:val="9"/>
                <w:color w:val="auto"/>
              </w:rPr>
            </w:pPr>
          </w:p>
        </w:tc>
        <w:tc>
          <w:tcPr>
            <w:tcW w:w="700" w:type="dxa"/>
            <w:vAlign w:val="bottom"/>
          </w:tcPr>
          <w:p>
            <w:pPr>
              <w:jc w:val="right"/>
              <w:ind w:right="137"/>
              <w:spacing w:after="0" w:line="110" w:lineRule="exact"/>
              <w:rPr>
                <w:sz w:val="20"/>
                <w:szCs w:val="20"/>
                <w:color w:val="auto"/>
              </w:rPr>
            </w:pPr>
            <w:r>
              <w:rPr>
                <w:rFonts w:ascii="Arial" w:cs="Arial" w:eastAsia="Arial" w:hAnsi="Arial"/>
                <w:sz w:val="12"/>
                <w:szCs w:val="12"/>
                <w:b w:val="1"/>
                <w:bCs w:val="1"/>
                <w:color w:val="auto"/>
              </w:rPr>
              <w:t>Income/</w:t>
            </w:r>
          </w:p>
        </w:tc>
        <w:tc>
          <w:tcPr>
            <w:tcW w:w="200" w:type="dxa"/>
            <w:vAlign w:val="bottom"/>
          </w:tcPr>
          <w:p>
            <w:pPr>
              <w:spacing w:after="0"/>
              <w:rPr>
                <w:sz w:val="9"/>
                <w:szCs w:val="9"/>
                <w:color w:val="auto"/>
              </w:rPr>
            </w:pPr>
          </w:p>
        </w:tc>
        <w:tc>
          <w:tcPr>
            <w:tcW w:w="700" w:type="dxa"/>
            <w:vAlign w:val="bottom"/>
          </w:tcPr>
          <w:p>
            <w:pPr>
              <w:jc w:val="right"/>
              <w:ind w:right="138"/>
              <w:spacing w:after="0" w:line="110" w:lineRule="exact"/>
              <w:rPr>
                <w:sz w:val="20"/>
                <w:szCs w:val="20"/>
                <w:color w:val="auto"/>
              </w:rPr>
            </w:pPr>
            <w:r>
              <w:rPr>
                <w:rFonts w:ascii="Arial" w:cs="Arial" w:eastAsia="Arial" w:hAnsi="Arial"/>
                <w:sz w:val="12"/>
                <w:szCs w:val="12"/>
                <w:b w:val="1"/>
                <w:bCs w:val="1"/>
                <w:color w:val="auto"/>
              </w:rPr>
              <w:t>Yield/</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Average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Income/</w:t>
            </w:r>
          </w:p>
        </w:tc>
        <w:tc>
          <w:tcPr>
            <w:tcW w:w="720" w:type="dxa"/>
            <w:vAlign w:val="bottom"/>
          </w:tcPr>
          <w:p>
            <w:pPr>
              <w:jc w:val="right"/>
              <w:ind w:right="137"/>
              <w:spacing w:after="0" w:line="110" w:lineRule="exact"/>
              <w:rPr>
                <w:sz w:val="20"/>
                <w:szCs w:val="20"/>
                <w:color w:val="auto"/>
              </w:rPr>
            </w:pPr>
            <w:r>
              <w:rPr>
                <w:rFonts w:ascii="Arial" w:cs="Arial" w:eastAsia="Arial" w:hAnsi="Arial"/>
                <w:sz w:val="12"/>
                <w:szCs w:val="12"/>
                <w:b w:val="1"/>
                <w:bCs w:val="1"/>
                <w:color w:val="auto"/>
              </w:rPr>
              <w:t>Yield/</w:t>
            </w:r>
          </w:p>
        </w:tc>
        <w:tc>
          <w:tcPr>
            <w:tcW w:w="200" w:type="dxa"/>
            <w:vAlign w:val="bottom"/>
          </w:tcPr>
          <w:p>
            <w:pPr>
              <w:spacing w:after="0"/>
              <w:rPr>
                <w:sz w:val="9"/>
                <w:szCs w:val="9"/>
                <w:color w:val="auto"/>
              </w:rPr>
            </w:pPr>
          </w:p>
        </w:tc>
      </w:tr>
      <w:tr>
        <w:trPr>
          <w:trHeight w:val="153"/>
        </w:trPr>
        <w:tc>
          <w:tcPr>
            <w:tcW w:w="31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(dollars in thousands)</w:t>
            </w:r>
          </w:p>
        </w:tc>
        <w:tc>
          <w:tcPr>
            <w:tcW w:w="14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3"/>
                <w:szCs w:val="13"/>
                <w:color w:val="auto"/>
              </w:rPr>
            </w:pPr>
          </w:p>
        </w:tc>
        <w:tc>
          <w:tcPr>
            <w:tcW w:w="700" w:type="dxa"/>
            <w:vAlign w:val="bottom"/>
          </w:tcPr>
          <w:p>
            <w:pPr>
              <w:jc w:val="right"/>
              <w:ind w:right="117"/>
              <w:spacing w:after="0"/>
              <w:rPr>
                <w:sz w:val="20"/>
                <w:szCs w:val="20"/>
                <w:color w:val="auto"/>
              </w:rPr>
            </w:pPr>
            <w:r>
              <w:rPr>
                <w:rFonts w:ascii="Arial" w:cs="Arial" w:eastAsia="Arial" w:hAnsi="Arial"/>
                <w:sz w:val="13"/>
                <w:szCs w:val="13"/>
                <w:b w:val="1"/>
                <w:bCs w:val="1"/>
                <w:color w:val="auto"/>
                <w:w w:val="93"/>
              </w:rPr>
              <w:t>Expense</w:t>
            </w:r>
          </w:p>
        </w:tc>
        <w:tc>
          <w:tcPr>
            <w:tcW w:w="200" w:type="dxa"/>
            <w:vAlign w:val="bottom"/>
          </w:tcPr>
          <w:p>
            <w:pPr>
              <w:spacing w:after="0"/>
              <w:rPr>
                <w:sz w:val="13"/>
                <w:szCs w:val="13"/>
                <w:color w:val="auto"/>
              </w:rPr>
            </w:pPr>
          </w:p>
        </w:tc>
        <w:tc>
          <w:tcPr>
            <w:tcW w:w="840" w:type="dxa"/>
            <w:vAlign w:val="bottom"/>
            <w:gridSpan w:val="2"/>
          </w:tcPr>
          <w:p>
            <w:pPr>
              <w:jc w:val="right"/>
              <w:ind w:right="262"/>
              <w:spacing w:after="0" w:line="153"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4"/>
                <w:szCs w:val="14"/>
                <w:b w:val="1"/>
                <w:bCs w:val="1"/>
                <w:color w:val="auto"/>
                <w:vertAlign w:val="superscript"/>
              </w:rPr>
              <w:t>(5)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Expense</w:t>
            </w:r>
          </w:p>
        </w:tc>
        <w:tc>
          <w:tcPr>
            <w:tcW w:w="920" w:type="dxa"/>
            <w:vAlign w:val="bottom"/>
            <w:gridSpan w:val="2"/>
          </w:tcPr>
          <w:p>
            <w:pPr>
              <w:jc w:val="right"/>
              <w:ind w:right="322"/>
              <w:spacing w:after="0" w:line="153"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4"/>
                <w:szCs w:val="14"/>
                <w:b w:val="1"/>
                <w:bCs w:val="1"/>
                <w:color w:val="auto"/>
                <w:vertAlign w:val="superscript"/>
              </w:rPr>
              <w:t>(5)</w:t>
            </w:r>
          </w:p>
        </w:tc>
      </w:tr>
      <w:tr>
        <w:trPr>
          <w:trHeight w:val="129"/>
        </w:trPr>
        <w:tc>
          <w:tcPr>
            <w:tcW w:w="314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color w:val="auto"/>
              </w:rPr>
              <w:t>Interest-bearing bank deposits and federal funds sold</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220,471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1,232</w:t>
            </w: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2.27 %</w:t>
            </w:r>
          </w:p>
        </w:tc>
        <w:tc>
          <w:tcPr>
            <w:tcW w:w="18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118,327</w:t>
            </w:r>
          </w:p>
        </w:tc>
        <w:tc>
          <w:tcPr>
            <w:tcW w:w="100" w:type="dxa"/>
            <w:vAlign w:val="bottom"/>
          </w:tcPr>
          <w:p>
            <w:pPr>
              <w:spacing w:after="0"/>
              <w:rPr>
                <w:sz w:val="11"/>
                <w:szCs w:val="11"/>
                <w:color w:val="auto"/>
              </w:rPr>
            </w:pPr>
          </w:p>
        </w:tc>
        <w:tc>
          <w:tcPr>
            <w:tcW w:w="22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423</w:t>
            </w:r>
          </w:p>
        </w:tc>
        <w:tc>
          <w:tcPr>
            <w:tcW w:w="200" w:type="dxa"/>
            <w:vAlign w:val="bottom"/>
          </w:tcPr>
          <w:p>
            <w:pPr>
              <w:spacing w:after="0"/>
              <w:rPr>
                <w:sz w:val="11"/>
                <w:szCs w:val="11"/>
                <w:color w:val="auto"/>
              </w:rPr>
            </w:pPr>
          </w:p>
        </w:tc>
        <w:tc>
          <w:tcPr>
            <w:tcW w:w="9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1.45 %</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Investment securities:</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U.S. Government obligations</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333,101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2,066</w:t>
            </w: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2.52 %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161,572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649</w:t>
            </w:r>
          </w:p>
        </w:tc>
        <w:tc>
          <w:tcPr>
            <w:tcW w:w="200" w:type="dxa"/>
            <w:vAlign w:val="bottom"/>
          </w:tcPr>
          <w:p>
            <w:pPr>
              <w:spacing w:after="0"/>
              <w:rPr>
                <w:sz w:val="11"/>
                <w:szCs w:val="11"/>
                <w:color w:val="auto"/>
              </w:rPr>
            </w:pPr>
          </w:p>
        </w:tc>
        <w:tc>
          <w:tcPr>
            <w:tcW w:w="9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1.63 %</w:t>
            </w:r>
          </w:p>
        </w:tc>
      </w:tr>
      <w:tr>
        <w:trPr>
          <w:trHeight w:val="135"/>
        </w:trPr>
        <w:tc>
          <w:tcPr>
            <w:tcW w:w="31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Obligations of states and political subdivisions</w:t>
            </w:r>
            <w:r>
              <w:rPr>
                <w:rFonts w:ascii="Arial" w:cs="Arial" w:eastAsia="Arial" w:hAnsi="Arial"/>
                <w:sz w:val="14"/>
                <w:szCs w:val="14"/>
                <w:color w:val="auto"/>
                <w:vertAlign w:val="superscript"/>
              </w:rPr>
              <w:t>(1)</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266,283</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1,937</w:t>
            </w:r>
          </w:p>
        </w:tc>
        <w:tc>
          <w:tcPr>
            <w:tcW w:w="10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2.95 %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309,252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1,979</w:t>
            </w: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2.74 %</w:t>
            </w:r>
          </w:p>
        </w:tc>
      </w:tr>
      <w:tr>
        <w:trPr>
          <w:trHeight w:val="135"/>
        </w:trPr>
        <w:tc>
          <w:tcPr>
            <w:tcW w:w="31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Other securities</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1,122,631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7,544</w:t>
            </w: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2.73 %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840,078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4,958</w:t>
            </w:r>
          </w:p>
        </w:tc>
        <w:tc>
          <w:tcPr>
            <w:tcW w:w="200" w:type="dxa"/>
            <w:vAlign w:val="bottom"/>
          </w:tcPr>
          <w:p>
            <w:pPr>
              <w:spacing w:after="0"/>
              <w:rPr>
                <w:sz w:val="11"/>
                <w:szCs w:val="11"/>
                <w:color w:val="auto"/>
              </w:rPr>
            </w:pPr>
          </w:p>
        </w:tc>
        <w:tc>
          <w:tcPr>
            <w:tcW w:w="9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2.39 %</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Loans held for sale</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17,249</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167</w:t>
            </w:r>
          </w:p>
        </w:tc>
        <w:tc>
          <w:tcPr>
            <w:tcW w:w="10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3.93 %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39,294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350</w:t>
            </w: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3.61 %</w:t>
            </w: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color w:val="auto"/>
              </w:rPr>
              <w:t>Portfolio loans</w:t>
            </w:r>
            <w:r>
              <w:rPr>
                <w:rFonts w:ascii="Arial" w:cs="Arial" w:eastAsia="Arial" w:hAnsi="Arial"/>
                <w:sz w:val="14"/>
                <w:szCs w:val="14"/>
                <w:color w:val="auto"/>
                <w:vertAlign w:val="superscript"/>
              </w:rPr>
              <w:t>(1), (2)</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6,128,661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72,012</w:t>
            </w: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4.77 %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5,507,860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60,852</w:t>
            </w:r>
          </w:p>
        </w:tc>
        <w:tc>
          <w:tcPr>
            <w:tcW w:w="200" w:type="dxa"/>
            <w:vAlign w:val="bottom"/>
          </w:tcPr>
          <w:p>
            <w:pPr>
              <w:spacing w:after="0"/>
              <w:rPr>
                <w:sz w:val="11"/>
                <w:szCs w:val="11"/>
                <w:color w:val="auto"/>
              </w:rPr>
            </w:pPr>
          </w:p>
        </w:tc>
        <w:tc>
          <w:tcPr>
            <w:tcW w:w="9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4.49 %</w:t>
            </w:r>
          </w:p>
        </w:tc>
      </w:tr>
      <w:tr>
        <w:trPr>
          <w:trHeight w:val="136"/>
        </w:trPr>
        <w:tc>
          <w:tcPr>
            <w:tcW w:w="314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interest-earning assets</w:t>
            </w:r>
            <w:r>
              <w:rPr>
                <w:rFonts w:ascii="Arial" w:cs="Arial" w:eastAsia="Arial" w:hAnsi="Arial"/>
                <w:sz w:val="14"/>
                <w:szCs w:val="14"/>
                <w:color w:val="auto"/>
                <w:vertAlign w:val="superscript"/>
              </w:rPr>
              <w:t>(1), (3)</w:t>
            </w:r>
          </w:p>
        </w:tc>
        <w:tc>
          <w:tcPr>
            <w:tcW w:w="1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8,088,396</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84,958</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4.26</w:t>
            </w:r>
          </w:p>
        </w:tc>
        <w:tc>
          <w:tcPr>
            <w:tcW w:w="14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6,976,383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69,211</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4.03</w:t>
            </w:r>
          </w:p>
        </w:tc>
        <w:tc>
          <w:tcPr>
            <w:tcW w:w="200" w:type="dxa"/>
            <w:vAlign w:val="bottom"/>
            <w:tcBorders>
              <w:top w:val="single" w:sz="8" w:color="CCEEFF"/>
              <w:bottom w:val="single" w:sz="8" w:color="CCEEFF"/>
            </w:tcBorders>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w w:val="74"/>
              </w:rPr>
              <w:t>%</w:t>
            </w:r>
          </w:p>
        </w:tc>
      </w:tr>
      <w:tr>
        <w:trPr>
          <w:trHeight w:val="135"/>
        </w:trPr>
        <w:tc>
          <w:tcPr>
            <w:tcW w:w="2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Cash and due from banks</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106,155</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108,728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color w:val="auto"/>
              </w:rPr>
              <w:t>Premises and equipment</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138,157</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118,356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Allowance for loan losses</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(51,427)</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(54,637)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5"/>
        </w:trPr>
        <w:tc>
          <w:tcPr>
            <w:tcW w:w="314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584,361</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515,069</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r>
      <w:tr>
        <w:trPr>
          <w:trHeight w:val="136"/>
        </w:trPr>
        <w:tc>
          <w:tcPr>
            <w:tcW w:w="314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8,865,642</w:t>
            </w: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7,663,899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r>
      <w:tr>
        <w:trPr>
          <w:trHeight w:val="135"/>
        </w:trPr>
        <w:tc>
          <w:tcPr>
            <w:tcW w:w="2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color w:val="auto"/>
              </w:rPr>
              <w:t>Interest-bearing transaction deposits</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1,698,592</w:t>
            </w:r>
          </w:p>
        </w:tc>
        <w:tc>
          <w:tcPr>
            <w:tcW w:w="200" w:type="dxa"/>
            <w:vAlign w:val="bottom"/>
          </w:tcPr>
          <w:p>
            <w:pPr>
              <w:spacing w:after="0"/>
              <w:rPr>
                <w:sz w:val="11"/>
                <w:szCs w:val="11"/>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2,478</w:t>
            </w: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0.59 %</w:t>
            </w:r>
          </w:p>
        </w:tc>
        <w:tc>
          <w:tcPr>
            <w:tcW w:w="18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1,162,692</w:t>
            </w:r>
          </w:p>
        </w:tc>
        <w:tc>
          <w:tcPr>
            <w:tcW w:w="100" w:type="dxa"/>
            <w:vAlign w:val="bottom"/>
          </w:tcPr>
          <w:p>
            <w:pPr>
              <w:spacing w:after="0"/>
              <w:rPr>
                <w:sz w:val="11"/>
                <w:szCs w:val="11"/>
                <w:color w:val="auto"/>
              </w:rPr>
            </w:pPr>
          </w:p>
        </w:tc>
        <w:tc>
          <w:tcPr>
            <w:tcW w:w="22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670</w:t>
            </w:r>
          </w:p>
        </w:tc>
        <w:tc>
          <w:tcPr>
            <w:tcW w:w="200" w:type="dxa"/>
            <w:vAlign w:val="bottom"/>
          </w:tcPr>
          <w:p>
            <w:pPr>
              <w:spacing w:after="0"/>
              <w:rPr>
                <w:sz w:val="11"/>
                <w:szCs w:val="11"/>
                <w:color w:val="auto"/>
              </w:rPr>
            </w:pPr>
          </w:p>
        </w:tc>
        <w:tc>
          <w:tcPr>
            <w:tcW w:w="9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0.23 %</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Savings and money market deposits</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2,204,884</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2,704</w:t>
            </w:r>
          </w:p>
        </w:tc>
        <w:tc>
          <w:tcPr>
            <w:tcW w:w="10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0.50 %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2,026,948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1,519</w:t>
            </w: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0.30 %</w:t>
            </w: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color w:val="auto"/>
              </w:rPr>
              <w:t>Time deposits</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1,689,019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7,318</w:t>
            </w: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1.76 %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1,378,520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3,798</w:t>
            </w:r>
          </w:p>
        </w:tc>
        <w:tc>
          <w:tcPr>
            <w:tcW w:w="200" w:type="dxa"/>
            <w:vAlign w:val="bottom"/>
          </w:tcPr>
          <w:p>
            <w:pPr>
              <w:spacing w:after="0"/>
              <w:rPr>
                <w:sz w:val="11"/>
                <w:szCs w:val="11"/>
                <w:color w:val="auto"/>
              </w:rPr>
            </w:pPr>
          </w:p>
        </w:tc>
        <w:tc>
          <w:tcPr>
            <w:tcW w:w="9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1.12 %</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Federal funds purchased and repurchase agreements</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204,529</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583</w:t>
            </w:r>
          </w:p>
        </w:tc>
        <w:tc>
          <w:tcPr>
            <w:tcW w:w="10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1.16 %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258,049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341</w:t>
            </w: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0.54 %</w:t>
            </w: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Borrowings </w:t>
            </w:r>
            <w:r>
              <w:rPr>
                <w:rFonts w:ascii="Arial" w:cs="Arial" w:eastAsia="Arial" w:hAnsi="Arial"/>
                <w:sz w:val="14"/>
                <w:szCs w:val="14"/>
                <w:color w:val="auto"/>
                <w:vertAlign w:val="superscript"/>
              </w:rPr>
              <w:t>(4)</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195,911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1,901</w:t>
            </w: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3.93 %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278,009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1,833</w:t>
            </w:r>
          </w:p>
        </w:tc>
        <w:tc>
          <w:tcPr>
            <w:tcW w:w="200" w:type="dxa"/>
            <w:vAlign w:val="bottom"/>
          </w:tcPr>
          <w:p>
            <w:pPr>
              <w:spacing w:after="0"/>
              <w:rPr>
                <w:sz w:val="11"/>
                <w:szCs w:val="11"/>
                <w:color w:val="auto"/>
              </w:rPr>
            </w:pPr>
          </w:p>
        </w:tc>
        <w:tc>
          <w:tcPr>
            <w:tcW w:w="9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2.67 %</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5"/>
              </w:rPr>
              <w:t>Junior subordinated debt issued to unconsolidated trusts</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71,156</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914</w:t>
            </w:r>
          </w:p>
        </w:tc>
        <w:tc>
          <w:tcPr>
            <w:tcW w:w="10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5.21 %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71,010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715</w:t>
            </w: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4.08 %</w:t>
            </w:r>
          </w:p>
        </w:tc>
      </w:tr>
      <w:tr>
        <w:trPr>
          <w:trHeight w:val="136"/>
        </w:trPr>
        <w:tc>
          <w:tcPr>
            <w:tcW w:w="314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rPr>
              <w:t>Total interest-bearing liabilities</w:t>
            </w:r>
          </w:p>
        </w:tc>
        <w:tc>
          <w:tcPr>
            <w:tcW w:w="14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6,064,091</w:t>
            </w:r>
          </w:p>
        </w:tc>
        <w:tc>
          <w:tcPr>
            <w:tcW w:w="2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15,898</w:t>
            </w:r>
          </w:p>
        </w:tc>
        <w:tc>
          <w:tcPr>
            <w:tcW w:w="20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1.06</w:t>
            </w:r>
          </w:p>
        </w:tc>
        <w:tc>
          <w:tcPr>
            <w:tcW w:w="14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2"/>
                <w:szCs w:val="12"/>
                <w:color w:val="auto"/>
                <w:w w:val="74"/>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5,175,228</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8,876</w:t>
            </w:r>
          </w:p>
        </w:tc>
        <w:tc>
          <w:tcPr>
            <w:tcW w:w="20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0.70</w:t>
            </w:r>
          </w:p>
        </w:tc>
        <w:tc>
          <w:tcPr>
            <w:tcW w:w="200" w:type="dxa"/>
            <w:vAlign w:val="bottom"/>
            <w:tcBorders>
              <w:bottom w:val="single" w:sz="8" w:color="CCEEFF"/>
            </w:tcBorders>
          </w:tcPr>
          <w:p>
            <w:pPr>
              <w:jc w:val="right"/>
              <w:ind w:right="42"/>
              <w:spacing w:after="0" w:line="129" w:lineRule="exact"/>
              <w:rPr>
                <w:sz w:val="20"/>
                <w:szCs w:val="20"/>
                <w:color w:val="auto"/>
              </w:rPr>
            </w:pPr>
            <w:r>
              <w:rPr>
                <w:rFonts w:ascii="Arial" w:cs="Arial" w:eastAsia="Arial" w:hAnsi="Arial"/>
                <w:sz w:val="12"/>
                <w:szCs w:val="12"/>
                <w:color w:val="auto"/>
                <w:w w:val="74"/>
              </w:rPr>
              <w:t>%</w:t>
            </w:r>
          </w:p>
        </w:tc>
      </w:tr>
      <w:tr>
        <w:trPr>
          <w:trHeight w:val="135"/>
        </w:trPr>
        <w:tc>
          <w:tcPr>
            <w:tcW w:w="2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2"/>
        </w:trPr>
        <w:tc>
          <w:tcPr>
            <w:tcW w:w="3140" w:type="dxa"/>
            <w:vAlign w:val="bottom"/>
            <w:gridSpan w:val="2"/>
          </w:tcPr>
          <w:p>
            <w:pPr>
              <w:spacing w:after="0" w:line="135" w:lineRule="exact"/>
              <w:rPr>
                <w:sz w:val="20"/>
                <w:szCs w:val="20"/>
                <w:color w:val="auto"/>
              </w:rPr>
            </w:pPr>
            <w:r>
              <w:rPr>
                <w:rFonts w:ascii="Arial" w:cs="Arial" w:eastAsia="Arial" w:hAnsi="Arial"/>
                <w:sz w:val="13"/>
                <w:szCs w:val="13"/>
                <w:color w:val="auto"/>
              </w:rPr>
              <w:t>Net interest spread</w:t>
            </w:r>
            <w:r>
              <w:rPr>
                <w:rFonts w:ascii="Arial" w:cs="Arial" w:eastAsia="Arial" w:hAnsi="Arial"/>
                <w:sz w:val="14"/>
                <w:szCs w:val="14"/>
                <w:color w:val="auto"/>
                <w:vertAlign w:val="superscript"/>
              </w:rPr>
              <w:t>(1)</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3.20 %</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3.33 %</w:t>
            </w:r>
          </w:p>
        </w:tc>
      </w:tr>
      <w:tr>
        <w:trPr>
          <w:trHeight w:val="135"/>
        </w:trPr>
        <w:tc>
          <w:tcPr>
            <w:tcW w:w="22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color w:val="auto"/>
              </w:rPr>
              <w:t>Noninterest-bearing deposits</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1,616,913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1,497,136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74,766</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57,773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5"/>
        </w:trPr>
        <w:tc>
          <w:tcPr>
            <w:tcW w:w="314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Stockholders’ equity</w:t>
            </w: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1,109,872</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933,762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r>
      <w:tr>
        <w:trPr>
          <w:trHeight w:val="136"/>
        </w:trPr>
        <w:tc>
          <w:tcPr>
            <w:tcW w:w="314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liabilities and stockholders’ equity</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8,865,642</w:t>
            </w: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7,663,899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r>
      <w:tr>
        <w:trPr>
          <w:trHeight w:val="135"/>
        </w:trPr>
        <w:tc>
          <w:tcPr>
            <w:tcW w:w="2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5"/>
        </w:trPr>
        <w:tc>
          <w:tcPr>
            <w:tcW w:w="2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color w:val="auto"/>
              </w:rPr>
              <w:t>Interest income / earning assets</w:t>
            </w:r>
            <w:r>
              <w:rPr>
                <w:rFonts w:ascii="Arial" w:cs="Arial" w:eastAsia="Arial" w:hAnsi="Arial"/>
                <w:sz w:val="14"/>
                <w:szCs w:val="14"/>
                <w:color w:val="auto"/>
                <w:vertAlign w:val="superscript"/>
              </w:rPr>
              <w:t>(1), (3)</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8,088,396</w:t>
            </w:r>
          </w:p>
        </w:tc>
        <w:tc>
          <w:tcPr>
            <w:tcW w:w="200" w:type="dxa"/>
            <w:vAlign w:val="bottom"/>
          </w:tcPr>
          <w:p>
            <w:pPr>
              <w:spacing w:after="0"/>
              <w:rPr>
                <w:sz w:val="11"/>
                <w:szCs w:val="11"/>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84,958</w:t>
            </w: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4.26 %</w:t>
            </w:r>
          </w:p>
        </w:tc>
        <w:tc>
          <w:tcPr>
            <w:tcW w:w="18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6,976,383</w:t>
            </w:r>
          </w:p>
        </w:tc>
        <w:tc>
          <w:tcPr>
            <w:tcW w:w="100" w:type="dxa"/>
            <w:vAlign w:val="bottom"/>
          </w:tcPr>
          <w:p>
            <w:pPr>
              <w:spacing w:after="0"/>
              <w:rPr>
                <w:sz w:val="11"/>
                <w:szCs w:val="11"/>
                <w:color w:val="auto"/>
              </w:rPr>
            </w:pPr>
          </w:p>
        </w:tc>
        <w:tc>
          <w:tcPr>
            <w:tcW w:w="22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69,211</w:t>
            </w:r>
          </w:p>
        </w:tc>
        <w:tc>
          <w:tcPr>
            <w:tcW w:w="200" w:type="dxa"/>
            <w:vAlign w:val="bottom"/>
          </w:tcPr>
          <w:p>
            <w:pPr>
              <w:spacing w:after="0"/>
              <w:rPr>
                <w:sz w:val="11"/>
                <w:szCs w:val="11"/>
                <w:color w:val="auto"/>
              </w:rPr>
            </w:pPr>
          </w:p>
        </w:tc>
        <w:tc>
          <w:tcPr>
            <w:tcW w:w="9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4.02 %</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Interest expense / earning assets</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8,088,396</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15,898</w:t>
            </w:r>
          </w:p>
        </w:tc>
        <w:tc>
          <w:tcPr>
            <w:tcW w:w="10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0.80 %</w:t>
            </w:r>
          </w:p>
        </w:tc>
        <w:tc>
          <w:tcPr>
            <w:tcW w:w="18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6,976,383</w:t>
            </w:r>
          </w:p>
        </w:tc>
        <w:tc>
          <w:tcPr>
            <w:tcW w:w="10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8,876</w:t>
            </w: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0.51 %</w:t>
            </w:r>
          </w:p>
        </w:tc>
      </w:tr>
      <w:tr>
        <w:trPr>
          <w:trHeight w:val="136"/>
        </w:trPr>
        <w:tc>
          <w:tcPr>
            <w:tcW w:w="3140" w:type="dxa"/>
            <w:vAlign w:val="bottom"/>
            <w:gridSpan w:val="2"/>
          </w:tcPr>
          <w:p>
            <w:pPr>
              <w:spacing w:after="0" w:line="129" w:lineRule="exact"/>
              <w:rPr>
                <w:sz w:val="20"/>
                <w:szCs w:val="20"/>
                <w:color w:val="auto"/>
              </w:rPr>
            </w:pPr>
            <w:r>
              <w:rPr>
                <w:rFonts w:ascii="Arial" w:cs="Arial" w:eastAsia="Arial" w:hAnsi="Arial"/>
                <w:sz w:val="13"/>
                <w:szCs w:val="13"/>
                <w:color w:val="auto"/>
              </w:rPr>
              <w:t>Net interest margin</w:t>
            </w:r>
            <w:r>
              <w:rPr>
                <w:rFonts w:ascii="Arial" w:cs="Arial" w:eastAsia="Arial" w:hAnsi="Arial"/>
                <w:sz w:val="14"/>
                <w:szCs w:val="14"/>
                <w:color w:val="auto"/>
                <w:vertAlign w:val="superscript"/>
              </w:rPr>
              <w:t>(1)</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69,060</w:t>
            </w:r>
          </w:p>
        </w:tc>
        <w:tc>
          <w:tcPr>
            <w:tcW w:w="2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3.46</w:t>
            </w:r>
          </w:p>
        </w:tc>
        <w:tc>
          <w:tcPr>
            <w:tcW w:w="140" w:type="dxa"/>
            <w:vAlign w:val="bottom"/>
          </w:tcPr>
          <w:p>
            <w:pPr>
              <w:jc w:val="right"/>
              <w:spacing w:after="0" w:line="129" w:lineRule="exact"/>
              <w:rPr>
                <w:sz w:val="20"/>
                <w:szCs w:val="20"/>
                <w:color w:val="auto"/>
              </w:rPr>
            </w:pPr>
            <w:r>
              <w:rPr>
                <w:rFonts w:ascii="Arial" w:cs="Arial" w:eastAsia="Arial" w:hAnsi="Arial"/>
                <w:sz w:val="12"/>
                <w:szCs w:val="12"/>
                <w:color w:val="auto"/>
                <w:w w:val="74"/>
              </w:rPr>
              <w:t>%</w:t>
            </w: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60,335</w:t>
            </w:r>
          </w:p>
        </w:tc>
        <w:tc>
          <w:tcPr>
            <w:tcW w:w="2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3.51</w:t>
            </w:r>
          </w:p>
        </w:tc>
        <w:tc>
          <w:tcPr>
            <w:tcW w:w="200" w:type="dxa"/>
            <w:vAlign w:val="bottom"/>
          </w:tcPr>
          <w:p>
            <w:pPr>
              <w:jc w:val="right"/>
              <w:ind w:right="42"/>
              <w:spacing w:after="0" w:line="129" w:lineRule="exact"/>
              <w:rPr>
                <w:sz w:val="20"/>
                <w:szCs w:val="20"/>
                <w:color w:val="auto"/>
              </w:rPr>
            </w:pPr>
            <w:r>
              <w:rPr>
                <w:rFonts w:ascii="Arial" w:cs="Arial" w:eastAsia="Arial" w:hAnsi="Arial"/>
                <w:sz w:val="12"/>
                <w:szCs w:val="12"/>
                <w:color w:val="auto"/>
                <w:w w:val="74"/>
              </w:rPr>
              <w:t>%</w:t>
            </w:r>
          </w:p>
        </w:tc>
      </w:tr>
      <w:tr>
        <w:trPr>
          <w:trHeight w:val="108"/>
        </w:trPr>
        <w:tc>
          <w:tcPr>
            <w:tcW w:w="22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80" w:lineRule="exact"/>
        <w:rPr>
          <w:sz w:val="20"/>
          <w:szCs w:val="20"/>
          <w:color w:val="auto"/>
        </w:rPr>
      </w:pPr>
    </w:p>
    <w:p>
      <w:pPr>
        <w:ind w:left="320" w:hanging="317"/>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 tax-equivalent basis and assuming an income tax rate of 21%.</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Non-accrual loans have been included in average portfolio loans.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320" w:right="460" w:hanging="317"/>
        <w:spacing w:after="0" w:line="212"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income includes a tax-equivalent adjustment of $0.7 million and $0.6 million at March 31, 2019 and 2018, respectively.</w:t>
      </w:r>
    </w:p>
    <w:p>
      <w:pPr>
        <w:spacing w:after="0" w:line="1" w:lineRule="exact"/>
        <w:rPr>
          <w:rFonts w:ascii="Arial" w:cs="Arial" w:eastAsia="Arial" w:hAnsi="Arial"/>
          <w:sz w:val="18"/>
          <w:szCs w:val="18"/>
          <w:color w:val="auto"/>
        </w:rPr>
      </w:pPr>
    </w:p>
    <w:p>
      <w:pPr>
        <w:ind w:left="320" w:hanging="317"/>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short-term and long-term borrowings. Interest expense includes a non-usage fee on revolving loan.</w:t>
      </w:r>
    </w:p>
    <w:p>
      <w:pPr>
        <w:spacing w:after="0" w:line="7" w:lineRule="exact"/>
        <w:rPr>
          <w:rFonts w:ascii="Arial" w:cs="Arial" w:eastAsia="Arial" w:hAnsi="Arial"/>
          <w:sz w:val="18"/>
          <w:szCs w:val="18"/>
          <w:color w:val="auto"/>
        </w:rPr>
      </w:pPr>
    </w:p>
    <w:p>
      <w:pPr>
        <w:ind w:left="320" w:hanging="317"/>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Annualized.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 Assets, Sources of Funds and Net Interest Margin</w:t>
      </w:r>
    </w:p>
    <w:p>
      <w:pPr>
        <w:spacing w:after="0" w:line="185"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Total average interest-earning assets increased $0.9 million, or 12.7%, to $8.1 billion in the first quarter of 2019, as compared to $7.2 billion in the fourth quarter of 2018. Average loans have increased due to the acquisition and organic growth. Loans generally have notably higher yields compared to interest-bearing bank deposits and investment securities and our loan growth contributed to a positive effect on net interest margin.</w:t>
      </w:r>
    </w:p>
    <w:p>
      <w:pPr>
        <w:spacing w:after="0" w:line="122"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Total average interest-bearing liabilities increased $734.2 million, or 13.8%, to $6.1 billion in the first quarter of 2019 as compared to $5.3 billion in the fourth quarter of 2018. Average noninterest-bearing deposits increased $129.9 million, or 8.7%, to $1.6 billion in the first quarter of 2019, as compared to $1.5 billion in the fourth quarter of 2018.</w:t>
      </w:r>
    </w:p>
    <w:p>
      <w:pPr>
        <w:spacing w:after="0" w:line="121"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Interest income, on a tax-equivalent basis, increased $15.7 million, or 22.8%, to $85.0 million for the three month period ended March 31, 2019, compared to $69.2 million in same period of 2018. The interest income increase related primarily to the increase in loan volumes. Interest expense increased during the three month period ended March 31, 2019 by $7.0 million to $15.9 million, compared to $8.9 million in the same period of 2018. Funding costs have increased primarily due to resetting of time deposit rates to reflect market increase and additional borrowings in conjunction with the Banc Ed acquisition.</w:t>
      </w:r>
    </w:p>
    <w:p>
      <w:pPr>
        <w:spacing w:after="0" w:line="122"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Net interest income, on a tax-equivalent basis, increased $8.7 million, or 14.5%, for the three month period ended March 31, 2019 as compared to the same period of 2018. The Federal Open Market Committee announced that the federal funds rate increased from 1.50% to 1.75% on March 21, 2018, from 1.75% to 2.00% on June 13, 2018, from 2.00% to 2.25% on September 26, 2018 and from 2.25% to 2.50% on December 19, 2018, for a combined increase of 100 basis points in</w:t>
      </w:r>
    </w:p>
    <w:p>
      <w:pPr>
        <w:spacing w:after="0" w:line="1" w:lineRule="exact"/>
        <w:rPr>
          <w:sz w:val="20"/>
          <w:szCs w:val="20"/>
          <w:color w:val="auto"/>
        </w:rPr>
      </w:pPr>
    </w:p>
    <w:p>
      <w:pPr>
        <w:jc w:val="both"/>
        <w:ind w:right="120"/>
        <w:spacing w:after="0" w:line="218" w:lineRule="auto"/>
        <w:rPr>
          <w:sz w:val="20"/>
          <w:szCs w:val="20"/>
          <w:color w:val="auto"/>
        </w:rPr>
      </w:pPr>
      <w:r>
        <w:rPr>
          <w:rFonts w:ascii="Arial" w:cs="Arial" w:eastAsia="Arial" w:hAnsi="Arial"/>
          <w:sz w:val="18"/>
          <w:szCs w:val="18"/>
          <w:color w:val="auto"/>
        </w:rPr>
        <w:t>2018. The Company expects the increases in interest rates to be modestly favorable to net interest income for the remainder of 2019; however, rising interest rates could result in decreased demand for first mortgages as well as mortgage refinancing, both activities which contribute to a portion of the Company’s mortgage revenue.</w:t>
      </w:r>
    </w:p>
    <w:p>
      <w:pPr>
        <w:spacing w:after="0" w:line="149" w:lineRule="exact"/>
        <w:rPr>
          <w:sz w:val="20"/>
          <w:szCs w:val="20"/>
          <w:color w:val="auto"/>
        </w:rPr>
      </w:pPr>
    </w:p>
    <w:p>
      <w:pPr>
        <w:ind w:right="280"/>
        <w:spacing w:after="0" w:line="219" w:lineRule="auto"/>
        <w:rPr>
          <w:sz w:val="20"/>
          <w:szCs w:val="20"/>
          <w:color w:val="auto"/>
        </w:rPr>
      </w:pPr>
      <w:r>
        <w:rPr>
          <w:rFonts w:ascii="Arial" w:cs="Arial" w:eastAsia="Arial" w:hAnsi="Arial"/>
          <w:sz w:val="18"/>
          <w:szCs w:val="18"/>
          <w:color w:val="auto"/>
        </w:rPr>
        <w:t>Net interest margin, our net interest income expressed as a percentage of average earning assets stated on a tax-equivalent basis, decreased to 3.46% for the three month period ended March 31, 2019, compared to 3.51% for the same period of 2018. Net of purchase accounting accretion and amortization,</w:t>
      </w:r>
      <w:r>
        <w:rPr>
          <w:rFonts w:ascii="Arial" w:cs="Arial" w:eastAsia="Arial" w:hAnsi="Arial"/>
          <w:sz w:val="8"/>
          <w:szCs w:val="8"/>
          <w:color w:val="auto"/>
        </w:rPr>
        <w:t>(1)</w:t>
      </w:r>
      <w:r>
        <w:rPr>
          <w:rFonts w:ascii="Arial" w:cs="Arial" w:eastAsia="Arial" w:hAnsi="Arial"/>
          <w:sz w:val="18"/>
          <w:szCs w:val="18"/>
          <w:color w:val="auto"/>
        </w:rPr>
        <w:t xml:space="preserve"> the net interest margin for the three month period ended March 31, 2019 was 3.31%, consistent with the same period in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quarterly net interest margins were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80" w:type="dxa"/>
            <w:vAlign w:val="bottom"/>
            <w:gridSpan w:val="2"/>
          </w:tcPr>
          <w:p>
            <w:pPr>
              <w:ind w:left="4780"/>
              <w:spacing w:after="0"/>
              <w:rPr>
                <w:sz w:val="20"/>
                <w:szCs w:val="20"/>
                <w:color w:val="auto"/>
              </w:rPr>
            </w:pPr>
            <w:r>
              <w:rPr>
                <w:rFonts w:ascii="Arial" w:cs="Arial" w:eastAsia="Arial" w:hAnsi="Arial"/>
                <w:sz w:val="14"/>
                <w:szCs w:val="14"/>
                <w:b w:val="1"/>
                <w:bCs w:val="1"/>
                <w:color w:val="auto"/>
                <w:w w:val="89"/>
              </w:rPr>
              <w:t>2019</w:t>
            </w:r>
          </w:p>
        </w:tc>
        <w:tc>
          <w:tcPr>
            <w:tcW w:w="820" w:type="dxa"/>
            <w:vAlign w:val="bottom"/>
          </w:tcPr>
          <w:p>
            <w:pPr>
              <w:spacing w:after="0"/>
              <w:rPr>
                <w:sz w:val="14"/>
                <w:szCs w:val="14"/>
                <w:color w:val="auto"/>
              </w:rPr>
            </w:pPr>
          </w:p>
        </w:tc>
        <w:tc>
          <w:tcPr>
            <w:tcW w:w="1340" w:type="dxa"/>
            <w:vAlign w:val="bottom"/>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183"/>
        </w:trPr>
        <w:tc>
          <w:tcPr>
            <w:tcW w:w="4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First Quarter</w:t>
            </w:r>
          </w:p>
        </w:tc>
        <w:tc>
          <w:tcPr>
            <w:tcW w:w="7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190"/>
              <w:spacing w:after="0" w:line="182" w:lineRule="exact"/>
              <w:rPr>
                <w:sz w:val="20"/>
                <w:szCs w:val="20"/>
                <w:color w:val="auto"/>
              </w:rPr>
            </w:pPr>
            <w:r>
              <w:rPr>
                <w:rFonts w:ascii="Arial" w:cs="Arial" w:eastAsia="Arial" w:hAnsi="Arial"/>
                <w:sz w:val="18"/>
                <w:szCs w:val="18"/>
                <w:color w:val="auto"/>
                <w:w w:val="92"/>
              </w:rPr>
              <w:t>3.46 %</w:t>
            </w:r>
          </w:p>
        </w:tc>
        <w:tc>
          <w:tcPr>
            <w:tcW w:w="1340" w:type="dxa"/>
            <w:vAlign w:val="bottom"/>
            <w:tcBorders>
              <w:top w:val="single" w:sz="8" w:color="auto"/>
            </w:tcBorders>
            <w:shd w:val="clear" w:color="auto" w:fill="CCEEFF"/>
          </w:tcPr>
          <w:p>
            <w:pPr>
              <w:jc w:val="right"/>
              <w:ind w:right="114"/>
              <w:spacing w:after="0" w:line="182" w:lineRule="exact"/>
              <w:rPr>
                <w:sz w:val="20"/>
                <w:szCs w:val="20"/>
                <w:color w:val="auto"/>
              </w:rPr>
            </w:pPr>
            <w:r>
              <w:rPr>
                <w:rFonts w:ascii="Arial" w:cs="Arial" w:eastAsia="Arial" w:hAnsi="Arial"/>
                <w:sz w:val="18"/>
                <w:szCs w:val="18"/>
                <w:color w:val="auto"/>
              </w:rPr>
              <w:t>3.51 %</w:t>
            </w:r>
          </w:p>
        </w:tc>
      </w:tr>
      <w:tr>
        <w:trPr>
          <w:trHeight w:val="189"/>
        </w:trPr>
        <w:tc>
          <w:tcPr>
            <w:tcW w:w="5080" w:type="dxa"/>
            <w:vAlign w:val="bottom"/>
            <w:gridSpan w:val="2"/>
          </w:tcPr>
          <w:p>
            <w:pPr>
              <w:spacing w:after="0" w:line="189" w:lineRule="exact"/>
              <w:rPr>
                <w:sz w:val="20"/>
                <w:szCs w:val="20"/>
                <w:color w:val="auto"/>
              </w:rPr>
            </w:pPr>
            <w:r>
              <w:rPr>
                <w:rFonts w:ascii="Arial" w:cs="Arial" w:eastAsia="Arial" w:hAnsi="Arial"/>
                <w:sz w:val="18"/>
                <w:szCs w:val="18"/>
                <w:color w:val="auto"/>
              </w:rPr>
              <w:t>Second Quarter</w:t>
            </w:r>
          </w:p>
        </w:tc>
        <w:tc>
          <w:tcPr>
            <w:tcW w:w="82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 %</w:t>
            </w:r>
          </w:p>
        </w:tc>
        <w:tc>
          <w:tcPr>
            <w:tcW w:w="1340" w:type="dxa"/>
            <w:vAlign w:val="bottom"/>
          </w:tcPr>
          <w:p>
            <w:pPr>
              <w:jc w:val="right"/>
              <w:ind w:right="114"/>
              <w:spacing w:after="0" w:line="189" w:lineRule="exact"/>
              <w:rPr>
                <w:sz w:val="20"/>
                <w:szCs w:val="20"/>
                <w:color w:val="auto"/>
              </w:rPr>
            </w:pPr>
            <w:r>
              <w:rPr>
                <w:rFonts w:ascii="Arial" w:cs="Arial" w:eastAsia="Arial" w:hAnsi="Arial"/>
                <w:sz w:val="18"/>
                <w:szCs w:val="18"/>
                <w:color w:val="auto"/>
              </w:rPr>
              <w:t>3.51 %</w:t>
            </w:r>
          </w:p>
        </w:tc>
      </w:tr>
      <w:tr>
        <w:trPr>
          <w:trHeight w:val="189"/>
        </w:trPr>
        <w:tc>
          <w:tcPr>
            <w:tcW w:w="50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Third Quarter</w:t>
            </w:r>
          </w:p>
        </w:tc>
        <w:tc>
          <w:tcPr>
            <w:tcW w:w="820" w:type="dxa"/>
            <w:vAlign w:val="bottom"/>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ind w:right="114"/>
              <w:spacing w:after="0" w:line="189" w:lineRule="exact"/>
              <w:rPr>
                <w:sz w:val="20"/>
                <w:szCs w:val="20"/>
                <w:color w:val="auto"/>
              </w:rPr>
            </w:pPr>
            <w:r>
              <w:rPr>
                <w:rFonts w:ascii="Arial" w:cs="Arial" w:eastAsia="Arial" w:hAnsi="Arial"/>
                <w:sz w:val="18"/>
                <w:szCs w:val="18"/>
                <w:color w:val="auto"/>
              </w:rPr>
              <w:t>3.41 %</w:t>
            </w: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3.38 %</w:t>
            </w:r>
          </w:p>
        </w:tc>
      </w:tr>
    </w:tbl>
    <w:p>
      <w:pPr>
        <w:spacing w:after="0" w:line="10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net interest spread, which represents the difference between the average rate earned on earning assets and the average rate paid on interest-bearing liabilities, was 3.20% in the first quarter of 2019 compared to 3.33% in the same period of 2018, each on a tax-equivalent basis.</w:t>
      </w:r>
    </w:p>
    <w:p>
      <w:pPr>
        <w:spacing w:after="0" w:line="123"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Management attempts to mitigate the effects of the interest-rate environment through effective portfolio management, prudent loan underwriting and operational efficiencies. Please refer to the Notes to Consolidated Financial Statements in the Company’s Annual Report on Form 10-K for the year ended December 31, 2018 for accounting policies underlying the recognition of interest income and expense.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14408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right="80" w:hanging="317"/>
        <w:spacing w:after="0" w:line="258"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a reconciliation of net interest margin net of purchase accounting accretion and amortization, a non-GAAP financial measure, see “Non-GAAP Financial Information” included in this Quarterly Report on Form 10-Q.</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income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 March 31,</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ind w:right="474"/>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700" w:type="dxa"/>
            <w:vAlign w:val="bottom"/>
          </w:tcPr>
          <w:p>
            <w:pPr>
              <w:jc w:val="right"/>
              <w:ind w:right="214"/>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9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Trust fees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8,115</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7,514</w:t>
            </w: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center"/>
              <w:ind w:right="3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601</w:t>
            </w:r>
          </w:p>
        </w:tc>
        <w:tc>
          <w:tcPr>
            <w:tcW w:w="2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8.0</w:t>
            </w:r>
          </w:p>
        </w:tc>
        <w:tc>
          <w:tcPr>
            <w:tcW w:w="260" w:type="dxa"/>
            <w:vAlign w:val="bottom"/>
            <w:tcBorders>
              <w:top w:val="single" w:sz="8" w:color="CCEEFF"/>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89"/>
        </w:trPr>
        <w:tc>
          <w:tcPr>
            <w:tcW w:w="4380" w:type="dxa"/>
            <w:vAlign w:val="bottom"/>
          </w:tcPr>
          <w:p>
            <w:pPr>
              <w:spacing w:after="0" w:line="189" w:lineRule="exact"/>
              <w:rPr>
                <w:sz w:val="20"/>
                <w:szCs w:val="20"/>
                <w:color w:val="auto"/>
              </w:rPr>
            </w:pPr>
            <w:r>
              <w:rPr>
                <w:rFonts w:ascii="Arial" w:cs="Arial" w:eastAsia="Arial" w:hAnsi="Arial"/>
                <w:sz w:val="18"/>
                <w:szCs w:val="18"/>
                <w:color w:val="auto"/>
              </w:rPr>
              <w:t>Commissions and brokers’ fees, net</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914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1,096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280"/>
              <w:spacing w:after="0" w:line="189" w:lineRule="exact"/>
              <w:rPr>
                <w:sz w:val="20"/>
                <w:szCs w:val="20"/>
                <w:color w:val="auto"/>
              </w:rPr>
            </w:pPr>
            <w:r>
              <w:rPr>
                <w:rFonts w:ascii="Arial" w:cs="Arial" w:eastAsia="Arial" w:hAnsi="Arial"/>
                <w:sz w:val="18"/>
                <w:szCs w:val="18"/>
                <w:color w:val="auto"/>
              </w:rPr>
              <w:t>(182)</w:t>
            </w:r>
          </w:p>
        </w:tc>
        <w:tc>
          <w:tcPr>
            <w:tcW w:w="9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89"/>
        </w:trPr>
        <w:tc>
          <w:tcPr>
            <w:tcW w:w="4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Remittance processing</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3,780</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3,392</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388</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189"/>
        </w:trPr>
        <w:tc>
          <w:tcPr>
            <w:tcW w:w="4380" w:type="dxa"/>
            <w:vAlign w:val="bottom"/>
          </w:tcPr>
          <w:p>
            <w:pPr>
              <w:spacing w:after="0" w:line="189" w:lineRule="exact"/>
              <w:rPr>
                <w:sz w:val="20"/>
                <w:szCs w:val="20"/>
                <w:color w:val="auto"/>
              </w:rPr>
            </w:pPr>
            <w:r>
              <w:rPr>
                <w:rFonts w:ascii="Arial" w:cs="Arial" w:eastAsia="Arial" w:hAnsi="Arial"/>
                <w:sz w:val="18"/>
                <w:szCs w:val="18"/>
                <w:color w:val="auto"/>
              </w:rPr>
              <w:t>Fees for customer services</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8,097</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6,946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1,151</w:t>
            </w:r>
          </w:p>
        </w:tc>
        <w:tc>
          <w:tcPr>
            <w:tcW w:w="280" w:type="dxa"/>
            <w:vAlign w:val="bottom"/>
          </w:tcPr>
          <w:p>
            <w:pPr>
              <w:spacing w:after="0"/>
              <w:rPr>
                <w:sz w:val="16"/>
                <w:szCs w:val="16"/>
                <w:color w:val="auto"/>
              </w:rPr>
            </w:pPr>
          </w:p>
        </w:tc>
        <w:tc>
          <w:tcPr>
            <w:tcW w:w="9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189"/>
        </w:trPr>
        <w:tc>
          <w:tcPr>
            <w:tcW w:w="4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Mortgage revenue</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1,945</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1,643</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302</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189"/>
        </w:trPr>
        <w:tc>
          <w:tcPr>
            <w:tcW w:w="4380" w:type="dxa"/>
            <w:vAlign w:val="bottom"/>
          </w:tcPr>
          <w:p>
            <w:pPr>
              <w:spacing w:after="0" w:line="189" w:lineRule="exact"/>
              <w:rPr>
                <w:sz w:val="20"/>
                <w:szCs w:val="20"/>
                <w:color w:val="auto"/>
              </w:rPr>
            </w:pPr>
            <w:r>
              <w:rPr>
                <w:rFonts w:ascii="Arial" w:cs="Arial" w:eastAsia="Arial" w:hAnsi="Arial"/>
                <w:sz w:val="18"/>
                <w:szCs w:val="18"/>
                <w:color w:val="auto"/>
              </w:rPr>
              <w:t>Security gains, net</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42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42</w:t>
            </w:r>
          </w:p>
        </w:tc>
        <w:tc>
          <w:tcPr>
            <w:tcW w:w="280" w:type="dxa"/>
            <w:vAlign w:val="bottom"/>
          </w:tcPr>
          <w:p>
            <w:pPr>
              <w:spacing w:after="0"/>
              <w:rPr>
                <w:sz w:val="16"/>
                <w:szCs w:val="16"/>
                <w:color w:val="auto"/>
              </w:rPr>
            </w:pPr>
          </w:p>
        </w:tc>
        <w:tc>
          <w:tcPr>
            <w:tcW w:w="9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89"/>
        </w:trPr>
        <w:tc>
          <w:tcPr>
            <w:tcW w:w="4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3,052</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1,895</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1,157</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61.1 %</w:t>
            </w:r>
          </w:p>
        </w:tc>
        <w:tc>
          <w:tcPr>
            <w:tcW w:w="0" w:type="dxa"/>
            <w:vAlign w:val="bottom"/>
          </w:tcPr>
          <w:p>
            <w:pPr>
              <w:spacing w:after="0"/>
              <w:rPr>
                <w:sz w:val="1"/>
                <w:szCs w:val="1"/>
                <w:color w:val="auto"/>
              </w:rPr>
            </w:pPr>
          </w:p>
        </w:tc>
      </w:tr>
      <w:tr>
        <w:trPr>
          <w:trHeight w:val="190"/>
        </w:trPr>
        <w:tc>
          <w:tcPr>
            <w:tcW w:w="4380" w:type="dxa"/>
            <w:vAlign w:val="bottom"/>
          </w:tcPr>
          <w:p>
            <w:pPr>
              <w:ind w:left="220"/>
              <w:spacing w:after="0" w:line="182" w:lineRule="exact"/>
              <w:rPr>
                <w:sz w:val="20"/>
                <w:szCs w:val="20"/>
                <w:color w:val="auto"/>
              </w:rPr>
            </w:pPr>
            <w:r>
              <w:rPr>
                <w:rFonts w:ascii="Arial" w:cs="Arial" w:eastAsia="Arial" w:hAnsi="Arial"/>
                <w:sz w:val="18"/>
                <w:szCs w:val="18"/>
                <w:color w:val="auto"/>
              </w:rPr>
              <w:t>Total non-interest income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25,945</w:t>
            </w:r>
          </w:p>
        </w:tc>
        <w:tc>
          <w:tcPr>
            <w:tcW w:w="2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22,486</w:t>
            </w:r>
          </w:p>
        </w:tc>
        <w:tc>
          <w:tcPr>
            <w:tcW w:w="2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center"/>
              <w:ind w:right="3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3,459</w:t>
            </w:r>
          </w:p>
        </w:tc>
        <w:tc>
          <w:tcPr>
            <w:tcW w:w="2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15.4</w:t>
            </w:r>
          </w:p>
        </w:tc>
        <w:tc>
          <w:tcPr>
            <w:tcW w:w="26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auto"/>
        </w:rPr>
        <w:t>Total non-interest income of $25.9 million for the three month period ended March 31, 2019 increased by 10.2% as compared to $22.5 million for the same period in 2018.</w:t>
      </w:r>
    </w:p>
    <w:p>
      <w:pPr>
        <w:spacing w:after="0" w:line="121"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Combined Wealth Management revenue, consisting of trust fees and commissions and brokers’ fees were positively impacted as we built upon recent acquisitions and expanded market share, partially offset by a decline in farm management brokerage income due to timing of land sales. Trust fees and commissions and brokers’ fees were $9.0 million for the first quarter of 2019 compared to $8.6 million for the first quarter of 2018. The Company’s wealth management division ended the first quarter of 2019 with $8.9 billion in assets under care.</w:t>
      </w:r>
    </w:p>
    <w:p>
      <w:pPr>
        <w:spacing w:after="0" w:line="122"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Remittance processing revenue from the Company’s subsidiary, FirsTech, of $3.8 million for the first quarter of 2019 increased from $3.4 million for the first quarter of 2018. FirsTech experienced growth from both new clients and expansion of existing clients.</w:t>
      </w:r>
    </w:p>
    <w:p>
      <w:pPr>
        <w:spacing w:after="0" w:line="123" w:lineRule="exact"/>
        <w:rPr>
          <w:sz w:val="20"/>
          <w:szCs w:val="20"/>
          <w:color w:val="auto"/>
        </w:rPr>
      </w:pPr>
    </w:p>
    <w:p>
      <w:pPr>
        <w:jc w:val="both"/>
        <w:ind w:right="240"/>
        <w:spacing w:after="0" w:line="289" w:lineRule="auto"/>
        <w:rPr>
          <w:sz w:val="20"/>
          <w:szCs w:val="20"/>
          <w:color w:val="auto"/>
        </w:rPr>
      </w:pPr>
      <w:r>
        <w:rPr>
          <w:rFonts w:ascii="Arial" w:cs="Arial" w:eastAsia="Arial" w:hAnsi="Arial"/>
          <w:sz w:val="16"/>
          <w:szCs w:val="16"/>
          <w:color w:val="auto"/>
        </w:rPr>
        <w:t>The mortgage line of business generated $1.9 million of revenue in the first quarter of 2019, an increase compared to $1.6 million of revenue in the first quarter of 2018, following a period of restructuring and additional revenue from TheBANK.</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expense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ind w:right="354"/>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700" w:type="dxa"/>
            <w:vAlign w:val="bottom"/>
          </w:tcPr>
          <w:p>
            <w:pPr>
              <w:jc w:val="right"/>
              <w:ind w:right="194"/>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0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Salaries, wages and employee benefits</w:t>
            </w:r>
          </w:p>
        </w:tc>
        <w:tc>
          <w:tcPr>
            <w:tcW w:w="4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32,341</w:t>
            </w: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6"/>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28,819</w:t>
            </w: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3,522</w:t>
            </w:r>
          </w:p>
        </w:tc>
        <w:tc>
          <w:tcPr>
            <w:tcW w:w="2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12.2</w:t>
            </w:r>
          </w:p>
        </w:tc>
        <w:tc>
          <w:tcPr>
            <w:tcW w:w="340" w:type="dxa"/>
            <w:vAlign w:val="bottom"/>
            <w:tcBorders>
              <w:top w:val="single" w:sz="8" w:color="CCEEFF"/>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8"/>
                <w:szCs w:val="18"/>
                <w:color w:val="auto"/>
              </w:rPr>
              <w:t>Net occupancy expense of premises</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4,202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3,821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381</w:t>
            </w:r>
          </w:p>
        </w:tc>
        <w:tc>
          <w:tcPr>
            <w:tcW w:w="260" w:type="dxa"/>
            <w:vAlign w:val="bottom"/>
          </w:tcPr>
          <w:p>
            <w:pPr>
              <w:spacing w:after="0"/>
              <w:rPr>
                <w:sz w:val="16"/>
                <w:szCs w:val="16"/>
                <w:color w:val="auto"/>
              </w:rPr>
            </w:pPr>
          </w:p>
        </w:tc>
        <w:tc>
          <w:tcPr>
            <w:tcW w:w="104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Furniture and equipment expenses</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2,095</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1,913</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8"/>
                <w:szCs w:val="18"/>
                <w:color w:val="auto"/>
              </w:rPr>
              <w:t>Data processing</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4,401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4,345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56</w:t>
            </w:r>
          </w:p>
        </w:tc>
        <w:tc>
          <w:tcPr>
            <w:tcW w:w="260" w:type="dxa"/>
            <w:vAlign w:val="bottom"/>
          </w:tcPr>
          <w:p>
            <w:pPr>
              <w:spacing w:after="0"/>
              <w:rPr>
                <w:sz w:val="16"/>
                <w:szCs w:val="16"/>
                <w:color w:val="auto"/>
              </w:rPr>
            </w:pPr>
          </w:p>
        </w:tc>
        <w:tc>
          <w:tcPr>
            <w:tcW w:w="104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Amortization of intangible assets</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2,094</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1,515</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579</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38.2 %</w:t>
            </w:r>
          </w:p>
        </w:tc>
        <w:tc>
          <w:tcPr>
            <w:tcW w:w="0" w:type="dxa"/>
            <w:vAlign w:val="bottom"/>
          </w:tcPr>
          <w:p>
            <w:pPr>
              <w:spacing w:after="0"/>
              <w:rPr>
                <w:sz w:val="1"/>
                <w:szCs w:val="1"/>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8"/>
                <w:szCs w:val="18"/>
                <w:color w:val="auto"/>
              </w:rPr>
              <w:t>Other expense</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12,030</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10,627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1,403</w:t>
            </w:r>
          </w:p>
        </w:tc>
        <w:tc>
          <w:tcPr>
            <w:tcW w:w="260" w:type="dxa"/>
            <w:vAlign w:val="bottom"/>
          </w:tcPr>
          <w:p>
            <w:pPr>
              <w:spacing w:after="0"/>
              <w:rPr>
                <w:sz w:val="16"/>
                <w:szCs w:val="16"/>
                <w:color w:val="auto"/>
              </w:rPr>
            </w:pPr>
          </w:p>
        </w:tc>
        <w:tc>
          <w:tcPr>
            <w:tcW w:w="104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190"/>
        </w:trPr>
        <w:tc>
          <w:tcPr>
            <w:tcW w:w="3940" w:type="dxa"/>
            <w:vAlign w:val="bottom"/>
            <w:tcBorders>
              <w:top w:val="single" w:sz="8" w:color="CCEEFF"/>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non-interest expense</w:t>
            </w: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57,163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36"/>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51,040</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6,123</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12.0</w:t>
            </w:r>
          </w:p>
        </w:tc>
        <w:tc>
          <w:tcPr>
            <w:tcW w:w="340" w:type="dxa"/>
            <w:vAlign w:val="bottom"/>
            <w:tcBorders>
              <w:top w:val="single" w:sz="8" w:color="CCEEFF"/>
              <w:bottom w:val="single" w:sz="8" w:color="CCEEFF"/>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taxes</w:t>
            </w:r>
          </w:p>
        </w:tc>
        <w:tc>
          <w:tcPr>
            <w:tcW w:w="620" w:type="dxa"/>
            <w:vAlign w:val="bottom"/>
            <w:gridSpan w:val="2"/>
            <w:shd w:val="clear" w:color="auto" w:fill="CCEEFF"/>
          </w:tcPr>
          <w:p>
            <w:pPr>
              <w:jc w:val="right"/>
              <w:ind w:right="25"/>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9,585</w:t>
            </w:r>
          </w:p>
        </w:tc>
        <w:tc>
          <w:tcPr>
            <w:tcW w:w="2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36"/>
              <w:spacing w:after="0" w:line="189"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8,278</w:t>
            </w:r>
          </w:p>
        </w:tc>
        <w:tc>
          <w:tcPr>
            <w:tcW w:w="2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1,307</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8"/>
                <w:szCs w:val="18"/>
                <w:color w:val="auto"/>
              </w:rPr>
              <w:t>Effective rate on income taxes</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27.3 %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27.4 %</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8"/>
                <w:szCs w:val="18"/>
                <w:color w:val="auto"/>
              </w:rPr>
              <w:t>Efficiency ratio</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58.0 %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59.8 %</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Full-time equivalent employees as of period-end</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1,589</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1,278</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40"/>
        <w:spacing w:after="0" w:line="289" w:lineRule="auto"/>
        <w:rPr>
          <w:sz w:val="20"/>
          <w:szCs w:val="20"/>
          <w:color w:val="auto"/>
        </w:rPr>
      </w:pPr>
      <w:r>
        <w:rPr>
          <w:rFonts w:ascii="Arial" w:cs="Arial" w:eastAsia="Arial" w:hAnsi="Arial"/>
          <w:sz w:val="16"/>
          <w:szCs w:val="16"/>
          <w:color w:val="auto"/>
        </w:rPr>
        <w:t>Total non-interest expense of $57.2 million for the three month period ended March 31, 2019 increased as compared to $51.0 million for the same period in 2018. The three months ended March 31, 2019 reflect increases from the Banc Ed acquisition.</w:t>
      </w:r>
    </w:p>
    <w:p>
      <w:pPr>
        <w:spacing w:after="0" w:line="84" w:lineRule="exact"/>
        <w:rPr>
          <w:sz w:val="20"/>
          <w:szCs w:val="20"/>
          <w:color w:val="auto"/>
        </w:rPr>
      </w:pPr>
    </w:p>
    <w:p>
      <w:pPr>
        <w:ind w:right="380"/>
        <w:spacing w:after="0" w:line="224" w:lineRule="auto"/>
        <w:rPr>
          <w:sz w:val="20"/>
          <w:szCs w:val="20"/>
          <w:color w:val="auto"/>
        </w:rPr>
      </w:pPr>
      <w:r>
        <w:rPr>
          <w:rFonts w:ascii="Arial" w:cs="Arial" w:eastAsia="Arial" w:hAnsi="Arial"/>
          <w:sz w:val="18"/>
          <w:szCs w:val="18"/>
          <w:color w:val="auto"/>
        </w:rPr>
        <w:t>Salaries, wages and employee benefits increased to $32.3 million in 2019 as compared to $28.8 million in 2018. The increases in salaries, wages and employee benefits primarily relates to fluctuations in the number of employees resulting from the acquisition.</w:t>
      </w:r>
    </w:p>
    <w:p>
      <w:pPr>
        <w:spacing w:after="0" w:line="12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Combined net occupancy expense of premises and furniture and equipment expenses were $6.3 million for the three months ended March 31, 2019 and $5.7 million for the three months ended March 31, 2018.</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Amortization of intangible assets increased to $2.1 million for the three months ended March 31, 2019 compared to $1.5 million for the three months ended March 31, 2018 as a result of the Banc Ed acquisition. Other expense of $12.0 million for the three month period ended March 31, 2019 was an increase compared to $10.6 million for the same period in 2018.</w:t>
      </w:r>
    </w:p>
    <w:p>
      <w:pPr>
        <w:spacing w:after="0" w:line="107"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The effective income tax rate of 27.3% for the three months ended March 31, 2019, was lower than the combined federal and state statutory rate of approximately 28% due to fairly stable amounts of tax preferred interest income, such as municipal bond interest and bank owned life insurance income. The Company continues to monitor evolving federal and state tax legislation and its potential impact on operations on an ongoing basis. At March 31, 2019, the Company was not under examination by any tax authority.</w:t>
      </w:r>
    </w:p>
    <w:p>
      <w:pPr>
        <w:spacing w:after="0" w:line="122" w:lineRule="exact"/>
        <w:rPr>
          <w:sz w:val="20"/>
          <w:szCs w:val="20"/>
          <w:color w:val="auto"/>
        </w:rPr>
      </w:pPr>
    </w:p>
    <w:p>
      <w:pPr>
        <w:ind w:right="80"/>
        <w:spacing w:after="0" w:line="223" w:lineRule="auto"/>
        <w:rPr>
          <w:sz w:val="20"/>
          <w:szCs w:val="20"/>
          <w:color w:val="auto"/>
        </w:rPr>
      </w:pPr>
      <w:r>
        <w:rPr>
          <w:rFonts w:ascii="Arial" w:cs="Arial" w:eastAsia="Arial" w:hAnsi="Arial"/>
          <w:sz w:val="17"/>
          <w:szCs w:val="17"/>
          <w:color w:val="auto"/>
        </w:rPr>
        <w:t>The efficiency ratio</w:t>
      </w:r>
      <w:r>
        <w:rPr>
          <w:rFonts w:ascii="Arial" w:cs="Arial" w:eastAsia="Arial" w:hAnsi="Arial"/>
          <w:sz w:val="8"/>
          <w:szCs w:val="8"/>
          <w:color w:val="auto"/>
        </w:rPr>
        <w:t>(1)</w:t>
      </w:r>
      <w:r>
        <w:rPr>
          <w:rFonts w:ascii="Arial" w:cs="Arial" w:eastAsia="Arial" w:hAnsi="Arial"/>
          <w:sz w:val="17"/>
          <w:szCs w:val="17"/>
          <w:color w:val="auto"/>
        </w:rPr>
        <w:t xml:space="preserve"> is calculated as total non-interest expense, less amortization charges, as a percentage of tax-equivalent net interest income plus non-interest income, less security gains and losses. The efficiency ratio, which is a measure commonly used by management and the banking industry, measures the amount of expense incurred to generate a dollar of revenue. The efficiency ratio improved in the first quarter of 2019 to 58.0% as compared to 59.8% in the same period of 2018. Operating costs have been influenced by acquisitions and the adjusted efficiency ratio</w:t>
      </w:r>
      <w:r>
        <w:rPr>
          <w:rFonts w:ascii="Arial" w:cs="Arial" w:eastAsia="Arial" w:hAnsi="Arial"/>
          <w:sz w:val="8"/>
          <w:szCs w:val="8"/>
          <w:color w:val="auto"/>
        </w:rPr>
        <w:t>(1),</w:t>
      </w:r>
      <w:r>
        <w:rPr>
          <w:rFonts w:ascii="Arial" w:cs="Arial" w:eastAsia="Arial" w:hAnsi="Arial"/>
          <w:sz w:val="17"/>
          <w:szCs w:val="17"/>
          <w:color w:val="auto"/>
        </w:rPr>
        <w:t xml:space="preserve"> excluding the impact of such acquisition costs among other items, was 56.4% for the quarter ended March 31, 2019 and increase from 55.5% for the same period of 2018. While acquisition expenses may have a negative impact on the efficiency ratios, the Company expects to realize operating efficiencies creating a positive impact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14408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1" w:lineRule="exact"/>
        <w:rPr>
          <w:sz w:val="20"/>
          <w:szCs w:val="20"/>
          <w:color w:val="auto"/>
        </w:rPr>
      </w:pPr>
    </w:p>
    <w:p>
      <w:pPr>
        <w:ind w:left="320" w:right="300" w:hanging="317"/>
        <w:spacing w:after="0" w:line="235"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 reconciliation of efficiency ratio and adjusted efficiency ratio, non-GAAP financial measures, see “Non-GAAP Financial Information”.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Significant Consolidated Balance Sheet items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March 31,</w:t>
            </w:r>
          </w:p>
        </w:tc>
        <w:tc>
          <w:tcPr>
            <w:tcW w:w="114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0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Securities available for sale</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52"/>
              <w:spacing w:after="0" w:line="189" w:lineRule="exact"/>
              <w:rPr>
                <w:sz w:val="20"/>
                <w:szCs w:val="20"/>
                <w:color w:val="auto"/>
              </w:rPr>
            </w:pPr>
            <w:r>
              <w:rPr>
                <w:rFonts w:ascii="Arial" w:cs="Arial" w:eastAsia="Arial" w:hAnsi="Arial"/>
                <w:sz w:val="18"/>
                <w:szCs w:val="18"/>
                <w:color w:val="auto"/>
                <w:w w:val="89"/>
              </w:rPr>
              <w:t>1,918,295</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line="189" w:lineRule="exact"/>
              <w:rPr>
                <w:sz w:val="20"/>
                <w:szCs w:val="20"/>
                <w:color w:val="auto"/>
              </w:rPr>
            </w:pPr>
            <w:r>
              <w:rPr>
                <w:rFonts w:ascii="Arial" w:cs="Arial" w:eastAsia="Arial" w:hAnsi="Arial"/>
                <w:sz w:val="18"/>
                <w:szCs w:val="18"/>
                <w:color w:val="auto"/>
              </w:rPr>
              <w:t>697,685</w:t>
            </w:r>
          </w:p>
        </w:tc>
        <w:tc>
          <w:tcPr>
            <w:tcW w:w="10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$ 1,220,610</w:t>
            </w:r>
          </w:p>
        </w:tc>
        <w:tc>
          <w:tcPr>
            <w:tcW w:w="1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175.0 %</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Securities held to maturity</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15,846</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1"/>
              <w:spacing w:after="0" w:line="189" w:lineRule="exact"/>
              <w:rPr>
                <w:sz w:val="20"/>
                <w:szCs w:val="20"/>
                <w:color w:val="auto"/>
              </w:rPr>
            </w:pPr>
            <w:r>
              <w:rPr>
                <w:rFonts w:ascii="Arial" w:cs="Arial" w:eastAsia="Arial" w:hAnsi="Arial"/>
                <w:sz w:val="18"/>
                <w:szCs w:val="18"/>
                <w:color w:val="auto"/>
              </w:rPr>
              <w:t>608,660</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(592,814)</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Portfolio loans, net</w:t>
            </w:r>
          </w:p>
        </w:tc>
        <w:tc>
          <w:tcPr>
            <w:tcW w:w="120" w:type="dxa"/>
            <w:vAlign w:val="bottom"/>
          </w:tcPr>
          <w:p>
            <w:pPr>
              <w:spacing w:after="0"/>
              <w:rPr>
                <w:sz w:val="16"/>
                <w:szCs w:val="16"/>
                <w:color w:val="auto"/>
              </w:rPr>
            </w:pPr>
          </w:p>
        </w:tc>
        <w:tc>
          <w:tcPr>
            <w:tcW w:w="880" w:type="dxa"/>
            <w:vAlign w:val="bottom"/>
          </w:tcPr>
          <w:p>
            <w:pPr>
              <w:jc w:val="right"/>
              <w:ind w:right="52"/>
              <w:spacing w:after="0" w:line="189" w:lineRule="exact"/>
              <w:rPr>
                <w:sz w:val="20"/>
                <w:szCs w:val="20"/>
                <w:color w:val="auto"/>
              </w:rPr>
            </w:pPr>
            <w:r>
              <w:rPr>
                <w:rFonts w:ascii="Arial" w:cs="Arial" w:eastAsia="Arial" w:hAnsi="Arial"/>
                <w:sz w:val="18"/>
                <w:szCs w:val="18"/>
                <w:color w:val="auto"/>
                <w:w w:val="89"/>
              </w:rPr>
              <w:t>6,464,166</w:t>
            </w:r>
          </w:p>
        </w:tc>
        <w:tc>
          <w:tcPr>
            <w:tcW w:w="260" w:type="dxa"/>
            <w:vAlign w:val="bottom"/>
          </w:tcPr>
          <w:p>
            <w:pPr>
              <w:spacing w:after="0"/>
              <w:rPr>
                <w:sz w:val="16"/>
                <w:szCs w:val="16"/>
                <w:color w:val="auto"/>
              </w:rPr>
            </w:pPr>
          </w:p>
        </w:tc>
        <w:tc>
          <w:tcPr>
            <w:tcW w:w="880" w:type="dxa"/>
            <w:vAlign w:val="bottom"/>
          </w:tcPr>
          <w:p>
            <w:pPr>
              <w:jc w:val="right"/>
              <w:ind w:right="51"/>
              <w:spacing w:after="0" w:line="189" w:lineRule="exact"/>
              <w:rPr>
                <w:sz w:val="20"/>
                <w:szCs w:val="20"/>
                <w:color w:val="auto"/>
              </w:rPr>
            </w:pPr>
            <w:r>
              <w:rPr>
                <w:rFonts w:ascii="Arial" w:cs="Arial" w:eastAsia="Arial" w:hAnsi="Arial"/>
                <w:sz w:val="18"/>
                <w:szCs w:val="18"/>
                <w:color w:val="auto"/>
                <w:w w:val="89"/>
              </w:rPr>
              <w:t>5,517,780</w:t>
            </w:r>
          </w:p>
        </w:tc>
        <w:tc>
          <w:tcPr>
            <w:tcW w:w="2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946,386</w:t>
            </w:r>
          </w:p>
        </w:tc>
        <w:tc>
          <w:tcPr>
            <w:tcW w:w="1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52"/>
              <w:spacing w:after="0" w:line="189" w:lineRule="exact"/>
              <w:rPr>
                <w:sz w:val="20"/>
                <w:szCs w:val="20"/>
                <w:color w:val="auto"/>
              </w:rPr>
            </w:pPr>
            <w:r>
              <w:rPr>
                <w:rFonts w:ascii="Arial" w:cs="Arial" w:eastAsia="Arial" w:hAnsi="Arial"/>
                <w:sz w:val="18"/>
                <w:szCs w:val="18"/>
                <w:color w:val="auto"/>
                <w:w w:val="89"/>
              </w:rPr>
              <w:t>9,537,334</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line="189" w:lineRule="exact"/>
              <w:rPr>
                <w:sz w:val="20"/>
                <w:szCs w:val="20"/>
                <w:color w:val="auto"/>
              </w:rPr>
            </w:pPr>
            <w:r>
              <w:rPr>
                <w:rFonts w:ascii="Arial" w:cs="Arial" w:eastAsia="Arial" w:hAnsi="Arial"/>
                <w:sz w:val="18"/>
                <w:szCs w:val="18"/>
                <w:color w:val="auto"/>
                <w:w w:val="89"/>
              </w:rPr>
              <w:t>7,702,357</w:t>
            </w:r>
          </w:p>
        </w:tc>
        <w:tc>
          <w:tcPr>
            <w:tcW w:w="10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$ 1,834,977</w:t>
            </w:r>
          </w:p>
        </w:tc>
        <w:tc>
          <w:tcPr>
            <w:tcW w:w="1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line="189" w:lineRule="exact"/>
              <w:rPr>
                <w:sz w:val="20"/>
                <w:szCs w:val="20"/>
                <w:color w:val="auto"/>
              </w:rPr>
            </w:pPr>
            <w:r>
              <w:rPr>
                <w:rFonts w:ascii="Arial" w:cs="Arial" w:eastAsia="Arial" w:hAnsi="Arial"/>
                <w:sz w:val="18"/>
                <w:szCs w:val="18"/>
                <w:color w:val="auto"/>
              </w:rPr>
              <w:t>Noninterest-bearing</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52"/>
              <w:spacing w:after="0" w:line="189" w:lineRule="exact"/>
              <w:rPr>
                <w:sz w:val="20"/>
                <w:szCs w:val="20"/>
                <w:color w:val="auto"/>
              </w:rPr>
            </w:pPr>
            <w:r>
              <w:rPr>
                <w:rFonts w:ascii="Arial" w:cs="Arial" w:eastAsia="Arial" w:hAnsi="Arial"/>
                <w:sz w:val="18"/>
                <w:szCs w:val="18"/>
                <w:color w:val="auto"/>
                <w:w w:val="89"/>
              </w:rPr>
              <w:t>1,791,339</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line="189" w:lineRule="exact"/>
              <w:rPr>
                <w:sz w:val="20"/>
                <w:szCs w:val="20"/>
                <w:color w:val="auto"/>
              </w:rPr>
            </w:pPr>
            <w:r>
              <w:rPr>
                <w:rFonts w:ascii="Arial" w:cs="Arial" w:eastAsia="Arial" w:hAnsi="Arial"/>
                <w:sz w:val="18"/>
                <w:szCs w:val="18"/>
                <w:color w:val="auto"/>
                <w:w w:val="89"/>
              </w:rPr>
              <w:t>1,464,700</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326,639</w:t>
            </w:r>
          </w:p>
        </w:tc>
        <w:tc>
          <w:tcPr>
            <w:tcW w:w="1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Interest-bearing</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w w:val="89"/>
              </w:rPr>
              <w:t>5,971,887</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51"/>
              <w:spacing w:after="0" w:line="189" w:lineRule="exact"/>
              <w:rPr>
                <w:sz w:val="20"/>
                <w:szCs w:val="20"/>
                <w:color w:val="auto"/>
              </w:rPr>
            </w:pPr>
            <w:r>
              <w:rPr>
                <w:rFonts w:ascii="Arial" w:cs="Arial" w:eastAsia="Arial" w:hAnsi="Arial"/>
                <w:sz w:val="18"/>
                <w:szCs w:val="18"/>
                <w:color w:val="auto"/>
                <w:w w:val="89"/>
              </w:rPr>
              <w:t>4,784,621</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1,187,266</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24.8 %</w:t>
            </w:r>
          </w:p>
        </w:tc>
        <w:tc>
          <w:tcPr>
            <w:tcW w:w="0" w:type="dxa"/>
            <w:vAlign w:val="bottom"/>
          </w:tcPr>
          <w:p>
            <w:pPr>
              <w:spacing w:after="0"/>
              <w:rPr>
                <w:sz w:val="1"/>
                <w:szCs w:val="1"/>
                <w:color w:val="auto"/>
              </w:rPr>
            </w:pPr>
          </w:p>
        </w:tc>
      </w:tr>
      <w:tr>
        <w:trPr>
          <w:trHeight w:val="183"/>
        </w:trPr>
        <w:tc>
          <w:tcPr>
            <w:tcW w:w="4620" w:type="dxa"/>
            <w:vAlign w:val="bottom"/>
          </w:tcPr>
          <w:p>
            <w:pPr>
              <w:spacing w:after="0" w:line="182" w:lineRule="exact"/>
              <w:rPr>
                <w:sz w:val="20"/>
                <w:szCs w:val="20"/>
                <w:color w:val="auto"/>
              </w:rPr>
            </w:pPr>
            <w:r>
              <w:rPr>
                <w:rFonts w:ascii="Arial" w:cs="Arial" w:eastAsia="Arial" w:hAnsi="Arial"/>
                <w:sz w:val="18"/>
                <w:szCs w:val="18"/>
                <w:color w:val="auto"/>
              </w:rPr>
              <w:t>Total deposits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52"/>
              <w:spacing w:after="0" w:line="182" w:lineRule="exact"/>
              <w:rPr>
                <w:sz w:val="20"/>
                <w:szCs w:val="20"/>
                <w:color w:val="auto"/>
              </w:rPr>
            </w:pPr>
            <w:r>
              <w:rPr>
                <w:rFonts w:ascii="Arial" w:cs="Arial" w:eastAsia="Arial" w:hAnsi="Arial"/>
                <w:sz w:val="18"/>
                <w:szCs w:val="18"/>
                <w:color w:val="auto"/>
                <w:w w:val="89"/>
              </w:rPr>
              <w:t>7,763,226</w:t>
            </w: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line="182" w:lineRule="exact"/>
              <w:rPr>
                <w:sz w:val="20"/>
                <w:szCs w:val="20"/>
                <w:color w:val="auto"/>
              </w:rPr>
            </w:pPr>
            <w:r>
              <w:rPr>
                <w:rFonts w:ascii="Arial" w:cs="Arial" w:eastAsia="Arial" w:hAnsi="Arial"/>
                <w:sz w:val="18"/>
                <w:szCs w:val="18"/>
                <w:color w:val="auto"/>
                <w:w w:val="89"/>
              </w:rPr>
              <w:t>6,249,321</w:t>
            </w:r>
          </w:p>
        </w:tc>
        <w:tc>
          <w:tcPr>
            <w:tcW w:w="10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$ 1,513,905</w:t>
            </w:r>
          </w:p>
        </w:tc>
        <w:tc>
          <w:tcPr>
            <w:tcW w:w="140" w:type="dxa"/>
            <w:vAlign w:val="bottom"/>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Securities sold under agreements to repurchase</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52"/>
              <w:spacing w:after="0" w:line="189" w:lineRule="exact"/>
              <w:rPr>
                <w:sz w:val="20"/>
                <w:szCs w:val="20"/>
                <w:color w:val="auto"/>
              </w:rPr>
            </w:pPr>
            <w:r>
              <w:rPr>
                <w:rFonts w:ascii="Arial" w:cs="Arial" w:eastAsia="Arial" w:hAnsi="Arial"/>
                <w:sz w:val="18"/>
                <w:szCs w:val="18"/>
                <w:color w:val="auto"/>
              </w:rPr>
              <w:t>217,077</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line="189" w:lineRule="exact"/>
              <w:rPr>
                <w:sz w:val="20"/>
                <w:szCs w:val="20"/>
                <w:color w:val="auto"/>
              </w:rPr>
            </w:pPr>
            <w:r>
              <w:rPr>
                <w:rFonts w:ascii="Arial" w:cs="Arial" w:eastAsia="Arial" w:hAnsi="Arial"/>
                <w:sz w:val="18"/>
                <w:szCs w:val="18"/>
                <w:color w:val="auto"/>
              </w:rPr>
              <w:t>185,796</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31,281</w:t>
            </w:r>
          </w:p>
        </w:tc>
        <w:tc>
          <w:tcPr>
            <w:tcW w:w="1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30,739</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1"/>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30,739</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6"/>
                <w:szCs w:val="16"/>
                <w:color w:val="auto"/>
              </w:rPr>
            </w:pPr>
          </w:p>
        </w:tc>
        <w:tc>
          <w:tcPr>
            <w:tcW w:w="880" w:type="dxa"/>
            <w:vAlign w:val="bottom"/>
          </w:tcPr>
          <w:p>
            <w:pPr>
              <w:jc w:val="right"/>
              <w:ind w:right="52"/>
              <w:spacing w:after="0" w:line="189" w:lineRule="exact"/>
              <w:rPr>
                <w:sz w:val="20"/>
                <w:szCs w:val="20"/>
                <w:color w:val="auto"/>
              </w:rPr>
            </w:pPr>
            <w:r>
              <w:rPr>
                <w:rFonts w:ascii="Arial" w:cs="Arial" w:eastAsia="Arial" w:hAnsi="Arial"/>
                <w:sz w:val="18"/>
                <w:szCs w:val="18"/>
                <w:color w:val="auto"/>
              </w:rPr>
              <w:t>89,476</w:t>
            </w:r>
          </w:p>
        </w:tc>
        <w:tc>
          <w:tcPr>
            <w:tcW w:w="260" w:type="dxa"/>
            <w:vAlign w:val="bottom"/>
          </w:tcPr>
          <w:p>
            <w:pPr>
              <w:spacing w:after="0"/>
              <w:rPr>
                <w:sz w:val="16"/>
                <w:szCs w:val="16"/>
                <w:color w:val="auto"/>
              </w:rPr>
            </w:pPr>
          </w:p>
        </w:tc>
        <w:tc>
          <w:tcPr>
            <w:tcW w:w="880" w:type="dxa"/>
            <w:vAlign w:val="bottom"/>
          </w:tcPr>
          <w:p>
            <w:pPr>
              <w:jc w:val="right"/>
              <w:ind w:right="51"/>
              <w:spacing w:after="0" w:line="189" w:lineRule="exact"/>
              <w:rPr>
                <w:sz w:val="20"/>
                <w:szCs w:val="20"/>
                <w:color w:val="auto"/>
              </w:rPr>
            </w:pPr>
            <w:r>
              <w:rPr>
                <w:rFonts w:ascii="Arial" w:cs="Arial" w:eastAsia="Arial" w:hAnsi="Arial"/>
                <w:sz w:val="18"/>
                <w:szCs w:val="18"/>
                <w:color w:val="auto"/>
              </w:rPr>
              <w:t>50,000</w:t>
            </w:r>
          </w:p>
        </w:tc>
        <w:tc>
          <w:tcPr>
            <w:tcW w:w="2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39,476</w:t>
            </w:r>
          </w:p>
        </w:tc>
        <w:tc>
          <w:tcPr>
            <w:tcW w:w="1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79.0 %</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Senior notes, net of unamortized issuance costs</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39,573</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1"/>
              <w:spacing w:after="0" w:line="189" w:lineRule="exact"/>
              <w:rPr>
                <w:sz w:val="20"/>
                <w:szCs w:val="20"/>
                <w:color w:val="auto"/>
              </w:rPr>
            </w:pPr>
            <w:r>
              <w:rPr>
                <w:rFonts w:ascii="Arial" w:cs="Arial" w:eastAsia="Arial" w:hAnsi="Arial"/>
                <w:sz w:val="18"/>
                <w:szCs w:val="18"/>
                <w:color w:val="auto"/>
              </w:rPr>
              <w:t>39,539</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Subordinated notes, net of unamortized issuance costs</w:t>
            </w:r>
          </w:p>
        </w:tc>
        <w:tc>
          <w:tcPr>
            <w:tcW w:w="120" w:type="dxa"/>
            <w:vAlign w:val="bottom"/>
          </w:tcPr>
          <w:p>
            <w:pPr>
              <w:spacing w:after="0"/>
              <w:rPr>
                <w:sz w:val="16"/>
                <w:szCs w:val="16"/>
                <w:color w:val="auto"/>
              </w:rPr>
            </w:pPr>
          </w:p>
        </w:tc>
        <w:tc>
          <w:tcPr>
            <w:tcW w:w="880" w:type="dxa"/>
            <w:vAlign w:val="bottom"/>
          </w:tcPr>
          <w:p>
            <w:pPr>
              <w:jc w:val="right"/>
              <w:ind w:right="52"/>
              <w:spacing w:after="0" w:line="189" w:lineRule="exact"/>
              <w:rPr>
                <w:sz w:val="20"/>
                <w:szCs w:val="20"/>
                <w:color w:val="auto"/>
              </w:rPr>
            </w:pPr>
            <w:r>
              <w:rPr>
                <w:rFonts w:ascii="Arial" w:cs="Arial" w:eastAsia="Arial" w:hAnsi="Arial"/>
                <w:sz w:val="18"/>
                <w:szCs w:val="18"/>
                <w:color w:val="auto"/>
              </w:rPr>
              <w:t>59,172</w:t>
            </w:r>
          </w:p>
        </w:tc>
        <w:tc>
          <w:tcPr>
            <w:tcW w:w="260" w:type="dxa"/>
            <w:vAlign w:val="bottom"/>
          </w:tcPr>
          <w:p>
            <w:pPr>
              <w:spacing w:after="0"/>
              <w:rPr>
                <w:sz w:val="16"/>
                <w:szCs w:val="16"/>
                <w:color w:val="auto"/>
              </w:rPr>
            </w:pPr>
          </w:p>
        </w:tc>
        <w:tc>
          <w:tcPr>
            <w:tcW w:w="880" w:type="dxa"/>
            <w:vAlign w:val="bottom"/>
          </w:tcPr>
          <w:p>
            <w:pPr>
              <w:jc w:val="right"/>
              <w:ind w:right="51"/>
              <w:spacing w:after="0" w:line="189" w:lineRule="exact"/>
              <w:rPr>
                <w:sz w:val="20"/>
                <w:szCs w:val="20"/>
                <w:color w:val="auto"/>
              </w:rPr>
            </w:pPr>
            <w:r>
              <w:rPr>
                <w:rFonts w:ascii="Arial" w:cs="Arial" w:eastAsia="Arial" w:hAnsi="Arial"/>
                <w:sz w:val="18"/>
                <w:szCs w:val="18"/>
                <w:color w:val="auto"/>
              </w:rPr>
              <w:t>59,147</w:t>
            </w:r>
          </w:p>
        </w:tc>
        <w:tc>
          <w:tcPr>
            <w:tcW w:w="2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25</w:t>
            </w:r>
          </w:p>
        </w:tc>
        <w:tc>
          <w:tcPr>
            <w:tcW w:w="1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Junior subordinated debt owed to unconsolidated trusts</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71,192</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1"/>
              <w:spacing w:after="0" w:line="189" w:lineRule="exact"/>
              <w:rPr>
                <w:sz w:val="20"/>
                <w:szCs w:val="20"/>
                <w:color w:val="auto"/>
              </w:rPr>
            </w:pPr>
            <w:r>
              <w:rPr>
                <w:rFonts w:ascii="Arial" w:cs="Arial" w:eastAsia="Arial" w:hAnsi="Arial"/>
                <w:sz w:val="18"/>
                <w:szCs w:val="18"/>
                <w:color w:val="auto"/>
              </w:rPr>
              <w:t>71,155</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w w:val="89"/>
              </w:rPr>
              <w:t>8,351,193</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1"/>
              <w:spacing w:after="0" w:line="189" w:lineRule="exact"/>
              <w:rPr>
                <w:sz w:val="20"/>
                <w:szCs w:val="20"/>
                <w:color w:val="auto"/>
              </w:rPr>
            </w:pPr>
            <w:r>
              <w:rPr>
                <w:rFonts w:ascii="Arial" w:cs="Arial" w:eastAsia="Arial" w:hAnsi="Arial"/>
                <w:sz w:val="18"/>
                <w:szCs w:val="18"/>
                <w:color w:val="auto"/>
                <w:w w:val="89"/>
              </w:rPr>
              <w:t>6,707,393</w:t>
            </w:r>
          </w:p>
        </w:tc>
        <w:tc>
          <w:tcPr>
            <w:tcW w:w="10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$ 1,643,800</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w w:val="89"/>
              </w:rPr>
              <w:t>1,186,141</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1"/>
              <w:spacing w:after="0" w:line="189" w:lineRule="exact"/>
              <w:rPr>
                <w:sz w:val="20"/>
                <w:szCs w:val="20"/>
                <w:color w:val="auto"/>
              </w:rPr>
            </w:pPr>
            <w:r>
              <w:rPr>
                <w:rFonts w:ascii="Arial" w:cs="Arial" w:eastAsia="Arial" w:hAnsi="Arial"/>
                <w:sz w:val="18"/>
                <w:szCs w:val="18"/>
                <w:color w:val="auto"/>
              </w:rPr>
              <w:t>994,964</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191,177</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Loans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Company believes that making sound loans is a necessary and desirable means of employing funds available for</w:t>
      </w:r>
    </w:p>
    <w:p>
      <w:pPr>
        <w:spacing w:after="0" w:line="229" w:lineRule="auto"/>
        <w:rPr>
          <w:sz w:val="20"/>
          <w:szCs w:val="20"/>
          <w:color w:val="auto"/>
        </w:rPr>
      </w:pPr>
      <w:r>
        <w:rPr>
          <w:rFonts w:ascii="Arial" w:cs="Arial" w:eastAsia="Arial" w:hAnsi="Arial"/>
          <w:sz w:val="16"/>
          <w:szCs w:val="16"/>
          <w:color w:val="auto"/>
        </w:rPr>
        <w:t>investment. Authorized personnel are expected to make sound, profitable loans that resources permit and that opportunity</w:t>
      </w:r>
    </w:p>
    <w:p>
      <w:pPr>
        <w:spacing w:after="0" w:line="229" w:lineRule="auto"/>
        <w:rPr>
          <w:sz w:val="20"/>
          <w:szCs w:val="20"/>
          <w:color w:val="auto"/>
        </w:rPr>
      </w:pPr>
      <w:r>
        <w:rPr>
          <w:rFonts w:ascii="Arial" w:cs="Arial" w:eastAsia="Arial" w:hAnsi="Arial"/>
          <w:sz w:val="16"/>
          <w:szCs w:val="16"/>
          <w:color w:val="auto"/>
        </w:rPr>
        <w:t>affords. The Company maintains lending policies and procedures designed to focus lending efforts on the types, locations and</w:t>
      </w:r>
    </w:p>
    <w:p>
      <w:pPr>
        <w:spacing w:after="0" w:line="229" w:lineRule="auto"/>
        <w:rPr>
          <w:sz w:val="20"/>
          <w:szCs w:val="20"/>
          <w:color w:val="auto"/>
        </w:rPr>
      </w:pPr>
      <w:r>
        <w:rPr>
          <w:rFonts w:ascii="Arial" w:cs="Arial" w:eastAsia="Arial" w:hAnsi="Arial"/>
          <w:sz w:val="16"/>
          <w:szCs w:val="16"/>
          <w:color w:val="auto"/>
        </w:rPr>
        <w:t>duration of loans most appropriate for its business model and markets. While not specifically limited, the Company attempts</w:t>
      </w:r>
    </w:p>
    <w:p>
      <w:pPr>
        <w:spacing w:after="0" w:line="215" w:lineRule="auto"/>
        <w:rPr>
          <w:sz w:val="20"/>
          <w:szCs w:val="20"/>
          <w:color w:val="auto"/>
        </w:rPr>
      </w:pPr>
      <w:r>
        <w:rPr>
          <w:rFonts w:ascii="Arial" w:cs="Arial" w:eastAsia="Arial" w:hAnsi="Arial"/>
          <w:sz w:val="17"/>
          <w:szCs w:val="17"/>
          <w:color w:val="auto"/>
        </w:rPr>
        <w:t>to focus its lending on short to intermediate-term (0-7 years) loans in geographic areas within 125 miles of its lending</w:t>
      </w:r>
    </w:p>
    <w:p>
      <w:pPr>
        <w:spacing w:after="0" w:line="229" w:lineRule="auto"/>
        <w:rPr>
          <w:sz w:val="20"/>
          <w:szCs w:val="20"/>
          <w:color w:val="auto"/>
        </w:rPr>
      </w:pPr>
      <w:r>
        <w:rPr>
          <w:rFonts w:ascii="Arial" w:cs="Arial" w:eastAsia="Arial" w:hAnsi="Arial"/>
          <w:sz w:val="16"/>
          <w:szCs w:val="16"/>
          <w:color w:val="auto"/>
        </w:rPr>
        <w:t>offices. Loans originated outside of these areas are generally residential mortgage loans originated for sale in the secondary</w:t>
      </w:r>
    </w:p>
    <w:p>
      <w:pPr>
        <w:spacing w:after="0" w:line="216" w:lineRule="auto"/>
        <w:rPr>
          <w:sz w:val="20"/>
          <w:szCs w:val="20"/>
          <w:color w:val="auto"/>
        </w:rPr>
      </w:pPr>
      <w:r>
        <w:rPr>
          <w:rFonts w:ascii="Arial" w:cs="Arial" w:eastAsia="Arial" w:hAnsi="Arial"/>
          <w:sz w:val="17"/>
          <w:szCs w:val="17"/>
          <w:color w:val="auto"/>
        </w:rPr>
        <w:t>market or are loans to existing customers of the banks. The Company attempts to utilize government-assisted lending</w:t>
      </w:r>
    </w:p>
    <w:p>
      <w:pPr>
        <w:spacing w:after="0" w:line="229" w:lineRule="auto"/>
        <w:rPr>
          <w:sz w:val="20"/>
          <w:szCs w:val="20"/>
          <w:color w:val="auto"/>
        </w:rPr>
      </w:pPr>
      <w:r>
        <w:rPr>
          <w:rFonts w:ascii="Arial" w:cs="Arial" w:eastAsia="Arial" w:hAnsi="Arial"/>
          <w:sz w:val="16"/>
          <w:szCs w:val="16"/>
          <w:color w:val="auto"/>
        </w:rPr>
        <w:t>programs, such as the Small Business Administration and United States Department of Agriculture lending programs, when</w:t>
      </w:r>
    </w:p>
    <w:p>
      <w:pPr>
        <w:spacing w:after="0" w:line="203" w:lineRule="auto"/>
        <w:rPr>
          <w:sz w:val="20"/>
          <w:szCs w:val="20"/>
          <w:color w:val="auto"/>
        </w:rPr>
      </w:pPr>
      <w:r>
        <w:rPr>
          <w:rFonts w:ascii="Arial" w:cs="Arial" w:eastAsia="Arial" w:hAnsi="Arial"/>
          <w:sz w:val="18"/>
          <w:szCs w:val="18"/>
          <w:color w:val="auto"/>
        </w:rPr>
        <w:t>prudent. Generally, loans are collateralized by assets, primarily real estate, of the borrowers and guaranteed by</w:t>
      </w:r>
    </w:p>
    <w:p>
      <w:pPr>
        <w:spacing w:after="0" w:line="229" w:lineRule="auto"/>
        <w:rPr>
          <w:sz w:val="20"/>
          <w:szCs w:val="20"/>
          <w:color w:val="auto"/>
        </w:rPr>
      </w:pPr>
      <w:r>
        <w:rPr>
          <w:rFonts w:ascii="Arial" w:cs="Arial" w:eastAsia="Arial" w:hAnsi="Arial"/>
          <w:sz w:val="16"/>
          <w:szCs w:val="16"/>
          <w:color w:val="auto"/>
        </w:rPr>
        <w:t>individuals. The loans are expected to be repaid primarily from cash flows of the borrowers or from proceeds from the sale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selected assets of the borrowers.</w:t>
      </w:r>
    </w:p>
    <w:p>
      <w:pPr>
        <w:spacing w:after="0" w:line="128"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Management reviews and approves the Company’s lending policies and procedures on a routine basis. Management routinely (at least quarterly) reviews the Company’s allowance for loan losses in conjunction with reports related to loan production, loan quality, concentrations of credit, loan delinquencies and non-performing and potential problem loans. The Company’s underwriting standards are designed to encourage relationship banking rather than transactional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banking. Relationship banking implies a primary banking relationship with the borrower that includes, at a minimum, 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active deposit banking relationship in addition to the lending relationship. Additional significant underwriting factors beyond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07"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At no time is a borrower’s total borrowing relationship permitted to exceed the Company’s regulatory lending limit and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122"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122"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The Company’s lending activities can be summarized into five primary areas: commercial loans, commercial real estate loans, real estate construction loans, retail real estate loans, and retail other loans. A description of each of the lending areas can be found in the Company’s Annual Report on Form 10-K for the year ended December 31, 2018. The significant majority of the Company’s portfolio lending activity occurs in its Illinois and Missouri markets, with the remainder in the Indiana and Florida markets.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Geographic distributions of portfolio loans by category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2019</w:t>
            </w: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Illinois</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Missouri</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Florida</w:t>
            </w: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w w:val="97"/>
              </w:rPr>
              <w:t>Indiana</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53"/>
              <w:spacing w:after="0" w:line="182" w:lineRule="exact"/>
              <w:rPr>
                <w:sz w:val="20"/>
                <w:szCs w:val="20"/>
                <w:color w:val="auto"/>
              </w:rPr>
            </w:pPr>
            <w:r>
              <w:rPr>
                <w:rFonts w:ascii="Arial" w:cs="Arial" w:eastAsia="Arial" w:hAnsi="Arial"/>
                <w:sz w:val="18"/>
                <w:szCs w:val="18"/>
                <w:color w:val="auto"/>
                <w:w w:val="92"/>
              </w:rPr>
              <w:t>1,190,108</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line="182" w:lineRule="exact"/>
              <w:rPr>
                <w:sz w:val="20"/>
                <w:szCs w:val="20"/>
                <w:color w:val="auto"/>
              </w:rPr>
            </w:pPr>
            <w:r>
              <w:rPr>
                <w:rFonts w:ascii="Arial" w:cs="Arial" w:eastAsia="Arial" w:hAnsi="Arial"/>
                <w:sz w:val="18"/>
                <w:szCs w:val="18"/>
                <w:color w:val="auto"/>
              </w:rPr>
              <w:t>421,772</w:t>
            </w:r>
          </w:p>
        </w:tc>
        <w:tc>
          <w:tcPr>
            <w:tcW w:w="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4"/>
              <w:spacing w:after="0" w:line="182" w:lineRule="exact"/>
              <w:rPr>
                <w:sz w:val="20"/>
                <w:szCs w:val="20"/>
                <w:color w:val="auto"/>
              </w:rPr>
            </w:pPr>
            <w:r>
              <w:rPr>
                <w:rFonts w:ascii="Arial" w:cs="Arial" w:eastAsia="Arial" w:hAnsi="Arial"/>
                <w:sz w:val="18"/>
                <w:szCs w:val="18"/>
                <w:color w:val="auto"/>
              </w:rPr>
              <w:t>20,501</w:t>
            </w:r>
          </w:p>
        </w:tc>
        <w:tc>
          <w:tcPr>
            <w:tcW w:w="3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3"/>
              <w:spacing w:after="0" w:line="182" w:lineRule="exact"/>
              <w:rPr>
                <w:sz w:val="20"/>
                <w:szCs w:val="20"/>
                <w:color w:val="auto"/>
              </w:rPr>
            </w:pPr>
            <w:r>
              <w:rPr>
                <w:rFonts w:ascii="Arial" w:cs="Arial" w:eastAsia="Arial" w:hAnsi="Arial"/>
                <w:sz w:val="18"/>
                <w:szCs w:val="18"/>
                <w:color w:val="auto"/>
              </w:rPr>
              <w:t>24,641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1,657,022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6"/>
                <w:szCs w:val="16"/>
                <w:color w:val="auto"/>
              </w:rPr>
            </w:pPr>
          </w:p>
        </w:tc>
        <w:tc>
          <w:tcPr>
            <w:tcW w:w="900" w:type="dxa"/>
            <w:vAlign w:val="bottom"/>
          </w:tcPr>
          <w:p>
            <w:pPr>
              <w:jc w:val="right"/>
              <w:ind w:right="53"/>
              <w:spacing w:after="0" w:line="189" w:lineRule="exact"/>
              <w:rPr>
                <w:sz w:val="20"/>
                <w:szCs w:val="20"/>
                <w:color w:val="auto"/>
              </w:rPr>
            </w:pPr>
            <w:r>
              <w:rPr>
                <w:rFonts w:ascii="Arial" w:cs="Arial" w:eastAsia="Arial" w:hAnsi="Arial"/>
                <w:sz w:val="18"/>
                <w:szCs w:val="18"/>
                <w:color w:val="auto"/>
                <w:w w:val="92"/>
              </w:rPr>
              <w:t>1,764,548</w:t>
            </w:r>
          </w:p>
        </w:tc>
        <w:tc>
          <w:tcPr>
            <w:tcW w:w="260" w:type="dxa"/>
            <w:vAlign w:val="bottom"/>
          </w:tcPr>
          <w:p>
            <w:pPr>
              <w:spacing w:after="0"/>
              <w:rPr>
                <w:sz w:val="16"/>
                <w:szCs w:val="16"/>
                <w:color w:val="auto"/>
              </w:rPr>
            </w:pPr>
          </w:p>
        </w:tc>
        <w:tc>
          <w:tcPr>
            <w:tcW w:w="880" w:type="dxa"/>
            <w:vAlign w:val="bottom"/>
          </w:tcPr>
          <w:p>
            <w:pPr>
              <w:jc w:val="right"/>
              <w:ind w:right="53"/>
              <w:spacing w:after="0" w:line="189" w:lineRule="exact"/>
              <w:rPr>
                <w:sz w:val="20"/>
                <w:szCs w:val="20"/>
                <w:color w:val="auto"/>
              </w:rPr>
            </w:pPr>
            <w:r>
              <w:rPr>
                <w:rFonts w:ascii="Arial" w:cs="Arial" w:eastAsia="Arial" w:hAnsi="Arial"/>
                <w:sz w:val="18"/>
                <w:szCs w:val="18"/>
                <w:color w:val="auto"/>
              </w:rPr>
              <w:t>586,088</w:t>
            </w:r>
          </w:p>
        </w:tc>
        <w:tc>
          <w:tcPr>
            <w:tcW w:w="240" w:type="dxa"/>
            <w:vAlign w:val="bottom"/>
          </w:tcPr>
          <w:p>
            <w:pPr>
              <w:spacing w:after="0"/>
              <w:rPr>
                <w:sz w:val="16"/>
                <w:szCs w:val="16"/>
                <w:color w:val="auto"/>
              </w:rPr>
            </w:pPr>
          </w:p>
        </w:tc>
        <w:tc>
          <w:tcPr>
            <w:tcW w:w="880" w:type="dxa"/>
            <w:vAlign w:val="bottom"/>
          </w:tcPr>
          <w:p>
            <w:pPr>
              <w:jc w:val="right"/>
              <w:ind w:right="54"/>
              <w:spacing w:after="0" w:line="189" w:lineRule="exact"/>
              <w:rPr>
                <w:sz w:val="20"/>
                <w:szCs w:val="20"/>
                <w:color w:val="auto"/>
              </w:rPr>
            </w:pPr>
            <w:r>
              <w:rPr>
                <w:rFonts w:ascii="Arial" w:cs="Arial" w:eastAsia="Arial" w:hAnsi="Arial"/>
                <w:sz w:val="18"/>
                <w:szCs w:val="18"/>
                <w:color w:val="auto"/>
              </w:rPr>
              <w:t>156,018</w:t>
            </w:r>
          </w:p>
        </w:tc>
        <w:tc>
          <w:tcPr>
            <w:tcW w:w="320" w:type="dxa"/>
            <w:vAlign w:val="bottom"/>
          </w:tcPr>
          <w:p>
            <w:pPr>
              <w:spacing w:after="0"/>
              <w:rPr>
                <w:sz w:val="16"/>
                <w:szCs w:val="16"/>
                <w:color w:val="auto"/>
              </w:rPr>
            </w:pPr>
          </w:p>
        </w:tc>
        <w:tc>
          <w:tcPr>
            <w:tcW w:w="920" w:type="dxa"/>
            <w:vAlign w:val="bottom"/>
          </w:tcPr>
          <w:p>
            <w:pPr>
              <w:jc w:val="right"/>
              <w:ind w:right="173"/>
              <w:spacing w:after="0" w:line="189" w:lineRule="exact"/>
              <w:rPr>
                <w:sz w:val="20"/>
                <w:szCs w:val="20"/>
                <w:color w:val="auto"/>
              </w:rPr>
            </w:pPr>
            <w:r>
              <w:rPr>
                <w:rFonts w:ascii="Arial" w:cs="Arial" w:eastAsia="Arial" w:hAnsi="Arial"/>
                <w:sz w:val="18"/>
                <w:szCs w:val="18"/>
                <w:color w:val="auto"/>
                <w:w w:val="98"/>
              </w:rPr>
              <w:t>192,837</w:t>
            </w: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2,699,491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173,924</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132,833</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4"/>
              <w:spacing w:after="0" w:line="189" w:lineRule="exact"/>
              <w:rPr>
                <w:sz w:val="20"/>
                <w:szCs w:val="20"/>
                <w:color w:val="auto"/>
              </w:rPr>
            </w:pPr>
            <w:r>
              <w:rPr>
                <w:rFonts w:ascii="Arial" w:cs="Arial" w:eastAsia="Arial" w:hAnsi="Arial"/>
                <w:sz w:val="18"/>
                <w:szCs w:val="18"/>
                <w:color w:val="auto"/>
              </w:rPr>
              <w:t>19,759</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3"/>
              <w:spacing w:after="0" w:line="189" w:lineRule="exact"/>
              <w:rPr>
                <w:sz w:val="20"/>
                <w:szCs w:val="20"/>
                <w:color w:val="auto"/>
              </w:rPr>
            </w:pPr>
            <w:r>
              <w:rPr>
                <w:rFonts w:ascii="Arial" w:cs="Arial" w:eastAsia="Arial" w:hAnsi="Arial"/>
                <w:sz w:val="18"/>
                <w:szCs w:val="18"/>
                <w:color w:val="auto"/>
              </w:rPr>
              <w:t>61,107</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387,623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120" w:type="dxa"/>
            <w:vAlign w:val="bottom"/>
          </w:tcPr>
          <w:p>
            <w:pPr>
              <w:spacing w:after="0"/>
              <w:rPr>
                <w:sz w:val="16"/>
                <w:szCs w:val="16"/>
                <w:color w:val="auto"/>
              </w:rPr>
            </w:pPr>
          </w:p>
        </w:tc>
        <w:tc>
          <w:tcPr>
            <w:tcW w:w="900" w:type="dxa"/>
            <w:vAlign w:val="bottom"/>
          </w:tcPr>
          <w:p>
            <w:pPr>
              <w:jc w:val="right"/>
              <w:ind w:right="53"/>
              <w:spacing w:after="0" w:line="189" w:lineRule="exact"/>
              <w:rPr>
                <w:sz w:val="20"/>
                <w:szCs w:val="20"/>
                <w:color w:val="auto"/>
              </w:rPr>
            </w:pPr>
            <w:r>
              <w:rPr>
                <w:rFonts w:ascii="Arial" w:cs="Arial" w:eastAsia="Arial" w:hAnsi="Arial"/>
                <w:sz w:val="18"/>
                <w:szCs w:val="18"/>
                <w:color w:val="auto"/>
                <w:w w:val="92"/>
              </w:rPr>
              <w:t>1,115,551</w:t>
            </w:r>
          </w:p>
        </w:tc>
        <w:tc>
          <w:tcPr>
            <w:tcW w:w="260" w:type="dxa"/>
            <w:vAlign w:val="bottom"/>
          </w:tcPr>
          <w:p>
            <w:pPr>
              <w:spacing w:after="0"/>
              <w:rPr>
                <w:sz w:val="16"/>
                <w:szCs w:val="16"/>
                <w:color w:val="auto"/>
              </w:rPr>
            </w:pPr>
          </w:p>
        </w:tc>
        <w:tc>
          <w:tcPr>
            <w:tcW w:w="880" w:type="dxa"/>
            <w:vAlign w:val="bottom"/>
          </w:tcPr>
          <w:p>
            <w:pPr>
              <w:jc w:val="right"/>
              <w:ind w:right="53"/>
              <w:spacing w:after="0" w:line="189" w:lineRule="exact"/>
              <w:rPr>
                <w:sz w:val="20"/>
                <w:szCs w:val="20"/>
                <w:color w:val="auto"/>
              </w:rPr>
            </w:pPr>
            <w:r>
              <w:rPr>
                <w:rFonts w:ascii="Arial" w:cs="Arial" w:eastAsia="Arial" w:hAnsi="Arial"/>
                <w:sz w:val="18"/>
                <w:szCs w:val="18"/>
                <w:color w:val="auto"/>
              </w:rPr>
              <w:t>470,455</w:t>
            </w:r>
          </w:p>
        </w:tc>
        <w:tc>
          <w:tcPr>
            <w:tcW w:w="240" w:type="dxa"/>
            <w:vAlign w:val="bottom"/>
          </w:tcPr>
          <w:p>
            <w:pPr>
              <w:spacing w:after="0"/>
              <w:rPr>
                <w:sz w:val="16"/>
                <w:szCs w:val="16"/>
                <w:color w:val="auto"/>
              </w:rPr>
            </w:pPr>
          </w:p>
        </w:tc>
        <w:tc>
          <w:tcPr>
            <w:tcW w:w="880" w:type="dxa"/>
            <w:vAlign w:val="bottom"/>
          </w:tcPr>
          <w:p>
            <w:pPr>
              <w:jc w:val="right"/>
              <w:ind w:right="54"/>
              <w:spacing w:after="0" w:line="189" w:lineRule="exact"/>
              <w:rPr>
                <w:sz w:val="20"/>
                <w:szCs w:val="20"/>
                <w:color w:val="auto"/>
              </w:rPr>
            </w:pPr>
            <w:r>
              <w:rPr>
                <w:rFonts w:ascii="Arial" w:cs="Arial" w:eastAsia="Arial" w:hAnsi="Arial"/>
                <w:sz w:val="18"/>
                <w:szCs w:val="18"/>
                <w:color w:val="auto"/>
              </w:rPr>
              <w:t>103,298</w:t>
            </w:r>
          </w:p>
        </w:tc>
        <w:tc>
          <w:tcPr>
            <w:tcW w:w="320" w:type="dxa"/>
            <w:vAlign w:val="bottom"/>
          </w:tcPr>
          <w:p>
            <w:pPr>
              <w:spacing w:after="0"/>
              <w:rPr>
                <w:sz w:val="16"/>
                <w:szCs w:val="16"/>
                <w:color w:val="auto"/>
              </w:rPr>
            </w:pPr>
          </w:p>
        </w:tc>
        <w:tc>
          <w:tcPr>
            <w:tcW w:w="920" w:type="dxa"/>
            <w:vAlign w:val="bottom"/>
          </w:tcPr>
          <w:p>
            <w:pPr>
              <w:jc w:val="right"/>
              <w:ind w:right="173"/>
              <w:spacing w:after="0" w:line="189" w:lineRule="exact"/>
              <w:rPr>
                <w:sz w:val="20"/>
                <w:szCs w:val="20"/>
                <w:color w:val="auto"/>
              </w:rPr>
            </w:pPr>
            <w:r>
              <w:rPr>
                <w:rFonts w:ascii="Arial" w:cs="Arial" w:eastAsia="Arial" w:hAnsi="Arial"/>
                <w:sz w:val="18"/>
                <w:szCs w:val="18"/>
                <w:color w:val="auto"/>
              </w:rPr>
              <w:t>29,111</w:t>
            </w: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1,718,415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48,934</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1,527</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54"/>
              <w:spacing w:after="0" w:line="189" w:lineRule="exact"/>
              <w:rPr>
                <w:sz w:val="20"/>
                <w:szCs w:val="20"/>
                <w:color w:val="auto"/>
              </w:rPr>
            </w:pPr>
            <w:r>
              <w:rPr>
                <w:rFonts w:ascii="Arial" w:cs="Arial" w:eastAsia="Arial" w:hAnsi="Arial"/>
                <w:sz w:val="18"/>
                <w:szCs w:val="18"/>
                <w:color w:val="auto"/>
              </w:rPr>
              <w:t>1,447</w:t>
            </w:r>
          </w:p>
        </w:tc>
        <w:tc>
          <w:tcPr>
            <w:tcW w:w="3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73"/>
              <w:spacing w:after="0" w:line="189" w:lineRule="exact"/>
              <w:rPr>
                <w:sz w:val="20"/>
                <w:szCs w:val="20"/>
                <w:color w:val="auto"/>
              </w:rPr>
            </w:pPr>
            <w:r>
              <w:rPr>
                <w:rFonts w:ascii="Arial" w:cs="Arial" w:eastAsia="Arial" w:hAnsi="Arial"/>
                <w:sz w:val="18"/>
                <w:szCs w:val="18"/>
                <w:color w:val="auto"/>
              </w:rPr>
              <w:t>622</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52,530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line="182" w:lineRule="exact"/>
              <w:rPr>
                <w:sz w:val="20"/>
                <w:szCs w:val="20"/>
                <w:color w:val="auto"/>
              </w:rPr>
            </w:pPr>
            <w:r>
              <w:rPr>
                <w:rFonts w:ascii="Arial" w:cs="Arial" w:eastAsia="Arial" w:hAnsi="Arial"/>
                <w:sz w:val="18"/>
                <w:szCs w:val="18"/>
                <w:color w:val="auto"/>
              </w:rPr>
              <w:t>Portfolio loans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53"/>
              <w:spacing w:after="0" w:line="182" w:lineRule="exact"/>
              <w:rPr>
                <w:sz w:val="20"/>
                <w:szCs w:val="20"/>
                <w:color w:val="auto"/>
              </w:rPr>
            </w:pPr>
            <w:r>
              <w:rPr>
                <w:rFonts w:ascii="Arial" w:cs="Arial" w:eastAsia="Arial" w:hAnsi="Arial"/>
                <w:sz w:val="18"/>
                <w:szCs w:val="18"/>
                <w:color w:val="auto"/>
                <w:w w:val="92"/>
              </w:rPr>
              <w:t>4,293,065</w:t>
            </w: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line="182" w:lineRule="exact"/>
              <w:rPr>
                <w:sz w:val="20"/>
                <w:szCs w:val="20"/>
                <w:color w:val="auto"/>
              </w:rPr>
            </w:pPr>
            <w:r>
              <w:rPr>
                <w:rFonts w:ascii="Arial" w:cs="Arial" w:eastAsia="Arial" w:hAnsi="Arial"/>
                <w:sz w:val="18"/>
                <w:szCs w:val="18"/>
                <w:color w:val="auto"/>
                <w:w w:val="89"/>
              </w:rPr>
              <w:t>1,612,675</w:t>
            </w: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line="182" w:lineRule="exact"/>
              <w:rPr>
                <w:sz w:val="20"/>
                <w:szCs w:val="20"/>
                <w:color w:val="auto"/>
              </w:rPr>
            </w:pPr>
            <w:r>
              <w:rPr>
                <w:rFonts w:ascii="Arial" w:cs="Arial" w:eastAsia="Arial" w:hAnsi="Arial"/>
                <w:sz w:val="18"/>
                <w:szCs w:val="18"/>
                <w:color w:val="auto"/>
              </w:rPr>
              <w:t>301,023</w:t>
            </w:r>
          </w:p>
        </w:tc>
        <w:tc>
          <w:tcPr>
            <w:tcW w:w="320" w:type="dxa"/>
            <w:vAlign w:val="bottom"/>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3"/>
              <w:spacing w:after="0" w:line="182" w:lineRule="exact"/>
              <w:rPr>
                <w:sz w:val="20"/>
                <w:szCs w:val="20"/>
                <w:color w:val="auto"/>
              </w:rPr>
            </w:pPr>
            <w:r>
              <w:rPr>
                <w:rFonts w:ascii="Arial" w:cs="Arial" w:eastAsia="Arial" w:hAnsi="Arial"/>
                <w:sz w:val="18"/>
                <w:szCs w:val="18"/>
                <w:color w:val="auto"/>
                <w:w w:val="98"/>
              </w:rPr>
              <w:t>308,318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6,515,081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Allowance for loan losses</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(50,915)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Portfolio loans, net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6,464,166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0"/>
        </w:trPr>
        <w:tc>
          <w:tcPr>
            <w:tcW w:w="3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2018</w:t>
            </w: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Illinois</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Missouri</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Florida</w:t>
            </w: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w w:val="97"/>
              </w:rPr>
              <w:t>Indiana</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53"/>
              <w:spacing w:after="0" w:line="182" w:lineRule="exact"/>
              <w:rPr>
                <w:sz w:val="20"/>
                <w:szCs w:val="20"/>
                <w:color w:val="auto"/>
              </w:rPr>
            </w:pPr>
            <w:r>
              <w:rPr>
                <w:rFonts w:ascii="Arial" w:cs="Arial" w:eastAsia="Arial" w:hAnsi="Arial"/>
                <w:sz w:val="18"/>
                <w:szCs w:val="18"/>
                <w:color w:val="auto"/>
              </w:rPr>
              <w:t>972,072</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line="182" w:lineRule="exact"/>
              <w:rPr>
                <w:sz w:val="20"/>
                <w:szCs w:val="20"/>
                <w:color w:val="auto"/>
              </w:rPr>
            </w:pPr>
            <w:r>
              <w:rPr>
                <w:rFonts w:ascii="Arial" w:cs="Arial" w:eastAsia="Arial" w:hAnsi="Arial"/>
                <w:sz w:val="18"/>
                <w:szCs w:val="18"/>
                <w:color w:val="auto"/>
              </w:rPr>
              <w:t>394,043</w:t>
            </w:r>
          </w:p>
        </w:tc>
        <w:tc>
          <w:tcPr>
            <w:tcW w:w="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4"/>
              <w:spacing w:after="0" w:line="182" w:lineRule="exact"/>
              <w:rPr>
                <w:sz w:val="20"/>
                <w:szCs w:val="20"/>
                <w:color w:val="auto"/>
              </w:rPr>
            </w:pPr>
            <w:r>
              <w:rPr>
                <w:rFonts w:ascii="Arial" w:cs="Arial" w:eastAsia="Arial" w:hAnsi="Arial"/>
                <w:sz w:val="18"/>
                <w:szCs w:val="18"/>
                <w:color w:val="auto"/>
              </w:rPr>
              <w:t>17,954</w:t>
            </w:r>
          </w:p>
        </w:tc>
        <w:tc>
          <w:tcPr>
            <w:tcW w:w="3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3"/>
              <w:spacing w:after="0" w:line="182" w:lineRule="exact"/>
              <w:rPr>
                <w:sz w:val="20"/>
                <w:szCs w:val="20"/>
                <w:color w:val="auto"/>
              </w:rPr>
            </w:pPr>
            <w:r>
              <w:rPr>
                <w:rFonts w:ascii="Arial" w:cs="Arial" w:eastAsia="Arial" w:hAnsi="Arial"/>
                <w:sz w:val="18"/>
                <w:szCs w:val="18"/>
                <w:color w:val="auto"/>
              </w:rPr>
              <w:t>21,037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1,405,106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6"/>
                <w:szCs w:val="16"/>
                <w:color w:val="auto"/>
              </w:rPr>
            </w:pPr>
          </w:p>
        </w:tc>
        <w:tc>
          <w:tcPr>
            <w:tcW w:w="900" w:type="dxa"/>
            <w:vAlign w:val="bottom"/>
          </w:tcPr>
          <w:p>
            <w:pPr>
              <w:jc w:val="right"/>
              <w:ind w:right="53"/>
              <w:spacing w:after="0" w:line="189" w:lineRule="exact"/>
              <w:rPr>
                <w:sz w:val="20"/>
                <w:szCs w:val="20"/>
                <w:color w:val="auto"/>
              </w:rPr>
            </w:pPr>
            <w:r>
              <w:rPr>
                <w:rFonts w:ascii="Arial" w:cs="Arial" w:eastAsia="Arial" w:hAnsi="Arial"/>
                <w:sz w:val="18"/>
                <w:szCs w:val="18"/>
                <w:color w:val="auto"/>
                <w:w w:val="92"/>
              </w:rPr>
              <w:t>1,448,937</w:t>
            </w:r>
          </w:p>
        </w:tc>
        <w:tc>
          <w:tcPr>
            <w:tcW w:w="260" w:type="dxa"/>
            <w:vAlign w:val="bottom"/>
          </w:tcPr>
          <w:p>
            <w:pPr>
              <w:spacing w:after="0"/>
              <w:rPr>
                <w:sz w:val="16"/>
                <w:szCs w:val="16"/>
                <w:color w:val="auto"/>
              </w:rPr>
            </w:pPr>
          </w:p>
        </w:tc>
        <w:tc>
          <w:tcPr>
            <w:tcW w:w="880" w:type="dxa"/>
            <w:vAlign w:val="bottom"/>
          </w:tcPr>
          <w:p>
            <w:pPr>
              <w:jc w:val="right"/>
              <w:ind w:right="53"/>
              <w:spacing w:after="0" w:line="189" w:lineRule="exact"/>
              <w:rPr>
                <w:sz w:val="20"/>
                <w:szCs w:val="20"/>
                <w:color w:val="auto"/>
              </w:rPr>
            </w:pPr>
            <w:r>
              <w:rPr>
                <w:rFonts w:ascii="Arial" w:cs="Arial" w:eastAsia="Arial" w:hAnsi="Arial"/>
                <w:sz w:val="18"/>
                <w:szCs w:val="18"/>
                <w:color w:val="auto"/>
              </w:rPr>
              <w:t>579,536</w:t>
            </w:r>
          </w:p>
        </w:tc>
        <w:tc>
          <w:tcPr>
            <w:tcW w:w="240" w:type="dxa"/>
            <w:vAlign w:val="bottom"/>
          </w:tcPr>
          <w:p>
            <w:pPr>
              <w:spacing w:after="0"/>
              <w:rPr>
                <w:sz w:val="16"/>
                <w:szCs w:val="16"/>
                <w:color w:val="auto"/>
              </w:rPr>
            </w:pPr>
          </w:p>
        </w:tc>
        <w:tc>
          <w:tcPr>
            <w:tcW w:w="880" w:type="dxa"/>
            <w:vAlign w:val="bottom"/>
          </w:tcPr>
          <w:p>
            <w:pPr>
              <w:jc w:val="right"/>
              <w:ind w:right="54"/>
              <w:spacing w:after="0" w:line="189" w:lineRule="exact"/>
              <w:rPr>
                <w:sz w:val="20"/>
                <w:szCs w:val="20"/>
                <w:color w:val="auto"/>
              </w:rPr>
            </w:pPr>
            <w:r>
              <w:rPr>
                <w:rFonts w:ascii="Arial" w:cs="Arial" w:eastAsia="Arial" w:hAnsi="Arial"/>
                <w:sz w:val="18"/>
                <w:szCs w:val="18"/>
                <w:color w:val="auto"/>
              </w:rPr>
              <w:t>158,337</w:t>
            </w:r>
          </w:p>
        </w:tc>
        <w:tc>
          <w:tcPr>
            <w:tcW w:w="320" w:type="dxa"/>
            <w:vAlign w:val="bottom"/>
          </w:tcPr>
          <w:p>
            <w:pPr>
              <w:spacing w:after="0"/>
              <w:rPr>
                <w:sz w:val="16"/>
                <w:szCs w:val="16"/>
                <w:color w:val="auto"/>
              </w:rPr>
            </w:pPr>
          </w:p>
        </w:tc>
        <w:tc>
          <w:tcPr>
            <w:tcW w:w="920" w:type="dxa"/>
            <w:vAlign w:val="bottom"/>
          </w:tcPr>
          <w:p>
            <w:pPr>
              <w:jc w:val="right"/>
              <w:ind w:right="173"/>
              <w:spacing w:after="0" w:line="189" w:lineRule="exact"/>
              <w:rPr>
                <w:sz w:val="20"/>
                <w:szCs w:val="20"/>
                <w:color w:val="auto"/>
              </w:rPr>
            </w:pPr>
            <w:r>
              <w:rPr>
                <w:rFonts w:ascii="Arial" w:cs="Arial" w:eastAsia="Arial" w:hAnsi="Arial"/>
                <w:sz w:val="18"/>
                <w:szCs w:val="18"/>
                <w:color w:val="auto"/>
                <w:w w:val="98"/>
              </w:rPr>
              <w:t>180,013</w:t>
            </w: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2,366,823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78,489</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122,385</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4"/>
              <w:spacing w:after="0" w:line="189" w:lineRule="exact"/>
              <w:rPr>
                <w:sz w:val="20"/>
                <w:szCs w:val="20"/>
                <w:color w:val="auto"/>
              </w:rPr>
            </w:pPr>
            <w:r>
              <w:rPr>
                <w:rFonts w:ascii="Arial" w:cs="Arial" w:eastAsia="Arial" w:hAnsi="Arial"/>
                <w:sz w:val="18"/>
                <w:szCs w:val="18"/>
                <w:color w:val="auto"/>
              </w:rPr>
              <w:t>17,859</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3"/>
              <w:spacing w:after="0" w:line="189" w:lineRule="exact"/>
              <w:rPr>
                <w:sz w:val="20"/>
                <w:szCs w:val="20"/>
                <w:color w:val="auto"/>
              </w:rPr>
            </w:pPr>
            <w:r>
              <w:rPr>
                <w:rFonts w:ascii="Arial" w:cs="Arial" w:eastAsia="Arial" w:hAnsi="Arial"/>
                <w:sz w:val="18"/>
                <w:szCs w:val="18"/>
                <w:color w:val="auto"/>
              </w:rPr>
              <w:t>69,464</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288,197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120" w:type="dxa"/>
            <w:vAlign w:val="bottom"/>
          </w:tcPr>
          <w:p>
            <w:pPr>
              <w:spacing w:after="0"/>
              <w:rPr>
                <w:sz w:val="16"/>
                <w:szCs w:val="16"/>
                <w:color w:val="auto"/>
              </w:rPr>
            </w:pPr>
          </w:p>
        </w:tc>
        <w:tc>
          <w:tcPr>
            <w:tcW w:w="900" w:type="dxa"/>
            <w:vAlign w:val="bottom"/>
          </w:tcPr>
          <w:p>
            <w:pPr>
              <w:jc w:val="right"/>
              <w:ind w:right="53"/>
              <w:spacing w:after="0" w:line="189" w:lineRule="exact"/>
              <w:rPr>
                <w:sz w:val="20"/>
                <w:szCs w:val="20"/>
                <w:color w:val="auto"/>
              </w:rPr>
            </w:pPr>
            <w:r>
              <w:rPr>
                <w:rFonts w:ascii="Arial" w:cs="Arial" w:eastAsia="Arial" w:hAnsi="Arial"/>
                <w:sz w:val="18"/>
                <w:szCs w:val="18"/>
                <w:color w:val="auto"/>
              </w:rPr>
              <w:t>874,910</w:t>
            </w:r>
          </w:p>
        </w:tc>
        <w:tc>
          <w:tcPr>
            <w:tcW w:w="260" w:type="dxa"/>
            <w:vAlign w:val="bottom"/>
          </w:tcPr>
          <w:p>
            <w:pPr>
              <w:spacing w:after="0"/>
              <w:rPr>
                <w:sz w:val="16"/>
                <w:szCs w:val="16"/>
                <w:color w:val="auto"/>
              </w:rPr>
            </w:pPr>
          </w:p>
        </w:tc>
        <w:tc>
          <w:tcPr>
            <w:tcW w:w="880" w:type="dxa"/>
            <w:vAlign w:val="bottom"/>
          </w:tcPr>
          <w:p>
            <w:pPr>
              <w:jc w:val="right"/>
              <w:ind w:right="53"/>
              <w:spacing w:after="0" w:line="189" w:lineRule="exact"/>
              <w:rPr>
                <w:sz w:val="20"/>
                <w:szCs w:val="20"/>
                <w:color w:val="auto"/>
              </w:rPr>
            </w:pPr>
            <w:r>
              <w:rPr>
                <w:rFonts w:ascii="Arial" w:cs="Arial" w:eastAsia="Arial" w:hAnsi="Arial"/>
                <w:sz w:val="18"/>
                <w:szCs w:val="18"/>
                <w:color w:val="auto"/>
              </w:rPr>
              <w:t>475,739</w:t>
            </w:r>
          </w:p>
        </w:tc>
        <w:tc>
          <w:tcPr>
            <w:tcW w:w="240" w:type="dxa"/>
            <w:vAlign w:val="bottom"/>
          </w:tcPr>
          <w:p>
            <w:pPr>
              <w:spacing w:after="0"/>
              <w:rPr>
                <w:sz w:val="16"/>
                <w:szCs w:val="16"/>
                <w:color w:val="auto"/>
              </w:rPr>
            </w:pPr>
          </w:p>
        </w:tc>
        <w:tc>
          <w:tcPr>
            <w:tcW w:w="880" w:type="dxa"/>
            <w:vAlign w:val="bottom"/>
          </w:tcPr>
          <w:p>
            <w:pPr>
              <w:jc w:val="right"/>
              <w:ind w:right="54"/>
              <w:spacing w:after="0" w:line="189" w:lineRule="exact"/>
              <w:rPr>
                <w:sz w:val="20"/>
                <w:szCs w:val="20"/>
                <w:color w:val="auto"/>
              </w:rPr>
            </w:pPr>
            <w:r>
              <w:rPr>
                <w:rFonts w:ascii="Arial" w:cs="Arial" w:eastAsia="Arial" w:hAnsi="Arial"/>
                <w:sz w:val="18"/>
                <w:szCs w:val="18"/>
                <w:color w:val="auto"/>
              </w:rPr>
              <w:t>102,117</w:t>
            </w:r>
          </w:p>
        </w:tc>
        <w:tc>
          <w:tcPr>
            <w:tcW w:w="320" w:type="dxa"/>
            <w:vAlign w:val="bottom"/>
          </w:tcPr>
          <w:p>
            <w:pPr>
              <w:spacing w:after="0"/>
              <w:rPr>
                <w:sz w:val="16"/>
                <w:szCs w:val="16"/>
                <w:color w:val="auto"/>
              </w:rPr>
            </w:pPr>
          </w:p>
        </w:tc>
        <w:tc>
          <w:tcPr>
            <w:tcW w:w="920" w:type="dxa"/>
            <w:vAlign w:val="bottom"/>
          </w:tcPr>
          <w:p>
            <w:pPr>
              <w:jc w:val="right"/>
              <w:ind w:right="173"/>
              <w:spacing w:after="0" w:line="189" w:lineRule="exact"/>
              <w:rPr>
                <w:sz w:val="20"/>
                <w:szCs w:val="20"/>
                <w:color w:val="auto"/>
              </w:rPr>
            </w:pPr>
            <w:r>
              <w:rPr>
                <w:rFonts w:ascii="Arial" w:cs="Arial" w:eastAsia="Arial" w:hAnsi="Arial"/>
                <w:sz w:val="18"/>
                <w:szCs w:val="18"/>
                <w:color w:val="auto"/>
              </w:rPr>
              <w:t>27,367</w:t>
            </w: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1,480,133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24,849</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53"/>
              <w:spacing w:after="0" w:line="189" w:lineRule="exact"/>
              <w:rPr>
                <w:sz w:val="20"/>
                <w:szCs w:val="20"/>
                <w:color w:val="auto"/>
              </w:rPr>
            </w:pPr>
            <w:r>
              <w:rPr>
                <w:rFonts w:ascii="Arial" w:cs="Arial" w:eastAsia="Arial" w:hAnsi="Arial"/>
                <w:sz w:val="18"/>
                <w:szCs w:val="18"/>
                <w:color w:val="auto"/>
              </w:rPr>
              <w:t>1,294</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54"/>
              <w:spacing w:after="0" w:line="189" w:lineRule="exact"/>
              <w:rPr>
                <w:sz w:val="20"/>
                <w:szCs w:val="20"/>
                <w:color w:val="auto"/>
              </w:rPr>
            </w:pPr>
            <w:r>
              <w:rPr>
                <w:rFonts w:ascii="Arial" w:cs="Arial" w:eastAsia="Arial" w:hAnsi="Arial"/>
                <w:sz w:val="18"/>
                <w:szCs w:val="18"/>
                <w:color w:val="auto"/>
              </w:rPr>
              <w:t>1,455</w:t>
            </w:r>
          </w:p>
        </w:tc>
        <w:tc>
          <w:tcPr>
            <w:tcW w:w="3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73"/>
              <w:spacing w:after="0" w:line="189" w:lineRule="exact"/>
              <w:rPr>
                <w:sz w:val="20"/>
                <w:szCs w:val="20"/>
                <w:color w:val="auto"/>
              </w:rPr>
            </w:pPr>
            <w:r>
              <w:rPr>
                <w:rFonts w:ascii="Arial" w:cs="Arial" w:eastAsia="Arial" w:hAnsi="Arial"/>
                <w:sz w:val="18"/>
                <w:szCs w:val="18"/>
                <w:color w:val="auto"/>
              </w:rPr>
              <w:t>571</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28,169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line="182" w:lineRule="exact"/>
              <w:rPr>
                <w:sz w:val="20"/>
                <w:szCs w:val="20"/>
                <w:color w:val="auto"/>
              </w:rPr>
            </w:pPr>
            <w:r>
              <w:rPr>
                <w:rFonts w:ascii="Arial" w:cs="Arial" w:eastAsia="Arial" w:hAnsi="Arial"/>
                <w:sz w:val="18"/>
                <w:szCs w:val="18"/>
                <w:color w:val="auto"/>
              </w:rPr>
              <w:t>Portfolio loans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53"/>
              <w:spacing w:after="0" w:line="182" w:lineRule="exact"/>
              <w:rPr>
                <w:sz w:val="20"/>
                <w:szCs w:val="20"/>
                <w:color w:val="auto"/>
              </w:rPr>
            </w:pPr>
            <w:r>
              <w:rPr>
                <w:rFonts w:ascii="Arial" w:cs="Arial" w:eastAsia="Arial" w:hAnsi="Arial"/>
                <w:sz w:val="18"/>
                <w:szCs w:val="18"/>
                <w:color w:val="auto"/>
                <w:w w:val="92"/>
              </w:rPr>
              <w:t>3,399,257</w:t>
            </w: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line="182" w:lineRule="exact"/>
              <w:rPr>
                <w:sz w:val="20"/>
                <w:szCs w:val="20"/>
                <w:color w:val="auto"/>
              </w:rPr>
            </w:pPr>
            <w:r>
              <w:rPr>
                <w:rFonts w:ascii="Arial" w:cs="Arial" w:eastAsia="Arial" w:hAnsi="Arial"/>
                <w:sz w:val="18"/>
                <w:szCs w:val="18"/>
                <w:color w:val="auto"/>
                <w:w w:val="89"/>
              </w:rPr>
              <w:t>1,572,997</w:t>
            </w: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line="182" w:lineRule="exact"/>
              <w:rPr>
                <w:sz w:val="20"/>
                <w:szCs w:val="20"/>
                <w:color w:val="auto"/>
              </w:rPr>
            </w:pPr>
            <w:r>
              <w:rPr>
                <w:rFonts w:ascii="Arial" w:cs="Arial" w:eastAsia="Arial" w:hAnsi="Arial"/>
                <w:sz w:val="18"/>
                <w:szCs w:val="18"/>
                <w:color w:val="auto"/>
              </w:rPr>
              <w:t>297,722</w:t>
            </w:r>
          </w:p>
        </w:tc>
        <w:tc>
          <w:tcPr>
            <w:tcW w:w="320" w:type="dxa"/>
            <w:vAlign w:val="bottom"/>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3"/>
              <w:spacing w:after="0" w:line="182" w:lineRule="exact"/>
              <w:rPr>
                <w:sz w:val="20"/>
                <w:szCs w:val="20"/>
                <w:color w:val="auto"/>
              </w:rPr>
            </w:pPr>
            <w:r>
              <w:rPr>
                <w:rFonts w:ascii="Arial" w:cs="Arial" w:eastAsia="Arial" w:hAnsi="Arial"/>
                <w:sz w:val="18"/>
                <w:szCs w:val="18"/>
                <w:color w:val="auto"/>
                <w:w w:val="98"/>
              </w:rPr>
              <w:t>298,452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5,568,428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Allowance for loan losses</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(50,648)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Portfolio loans, net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5,517,780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Portfolio loans increased $946.7 million, or 17.0%, as of March 31, 2019 compared to December 31, 2018, primarily due to the Banc Ed acquisition. Commercial balances (consisting of commercial, commercial real estate and real estate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construction loans) increased $684.0 million from December 31, 2018. Retail real estate and retail other loans increased $262.6 million from December 31,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The Company recorded net charge-offs of $1.8 million for the first quarter of 2019. The allowance for loan loss as a percentage of portfolio loans was 0.78% at March 31, 2019 as compared to 0.91% at December 31, 2018 and 0.95% at March 31, 2018. The decline in the allowance coverage ratio in the first quarter of 2019 is primarily attributed to the Banc Ed acquisition. Acquired loans are initially recorded at their acquisition date fair value so a separate allowance is not initially recognized. An allowance is recorded subsequent to acquisition to the extent the reserve requirement exceeds the recorded fair value adjustment. The Company recorded provision for loan losses of $2.1 million in the first quarter of 2019, compared to $0.4 million in the fourth quarter of 2018 and $1.0 million in the first quarter of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144"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a write-off is charged against the allowance for loan losses. We continue to attempt to identify problem loan situations on a proactive basis. Once problem loans are identified, adjustments to the provision for loan losses are made based upon all information available at that time.</w:t>
      </w:r>
    </w:p>
    <w:p>
      <w:pPr>
        <w:spacing w:after="0" w:line="122"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The provision for loan losses was $2.1 million and $1.0 million for the three months ended March 31, 2019 and 2018, respectively. As a result of acquisitions, the Company is holding acquired loans that are carried net of a fair value adjustment for credit and interest rate marks and are only included in the allowance calculation to the extent that the reserve requirement exceeds the fair value adjustment. However, as the acquired loans renew and as the Company originates new loan production, it is necessary to establish an allowance for loan losses, which represents an amount that, in management’s opinion, will be adequate to absorb probable credit losses.</w:t>
      </w:r>
    </w:p>
    <w:p>
      <w:pPr>
        <w:spacing w:after="0" w:line="122"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w:t>
      </w:r>
    </w:p>
    <w:p>
      <w:pPr>
        <w:spacing w:after="0" w:line="144"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18" w:lineRule="exact"/>
        <w:rPr>
          <w:sz w:val="20"/>
          <w:szCs w:val="20"/>
          <w:color w:val="auto"/>
        </w:rPr>
      </w:pPr>
    </w:p>
    <w:p>
      <w:pPr>
        <w:ind w:right="320"/>
        <w:spacing w:after="0" w:line="224" w:lineRule="auto"/>
        <w:rPr>
          <w:sz w:val="20"/>
          <w:szCs w:val="20"/>
          <w:color w:val="auto"/>
        </w:rPr>
      </w:pPr>
      <w:r>
        <w:rPr>
          <w:rFonts w:ascii="Arial" w:cs="Arial" w:eastAsia="Arial" w:hAnsi="Arial"/>
          <w:sz w:val="18"/>
          <w:szCs w:val="18"/>
          <w:color w:val="auto"/>
        </w:rPr>
        <w:t>Typically, loans are collateral dependent. When a collateral dependent loan is classified as non-accrual it is charged down through the allowance for loan losses to the fair value of our interest in the underlying collateral less estimated costs to sell. Our loan portfolio is collateralized primarily by real estate.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40"/>
        <w:spacing w:after="0" w:line="220" w:lineRule="auto"/>
        <w:rPr>
          <w:sz w:val="20"/>
          <w:szCs w:val="20"/>
          <w:color w:val="auto"/>
        </w:rPr>
      </w:pPr>
      <w:r>
        <w:rPr>
          <w:rFonts w:ascii="Arial" w:cs="Arial" w:eastAsia="Arial" w:hAnsi="Arial"/>
          <w:sz w:val="18"/>
          <w:szCs w:val="18"/>
          <w:color w:val="auto"/>
        </w:rPr>
        <w:t xml:space="preserve">The following table sets forth information concerning non-performing loans as of each of the dates indicated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120" w:type="dxa"/>
            <w:vAlign w:val="bottom"/>
            <w:gridSpan w:val="2"/>
          </w:tcPr>
          <w:p>
            <w:pPr>
              <w:jc w:val="right"/>
              <w:ind w:right="190"/>
              <w:spacing w:after="0" w:line="170" w:lineRule="exact"/>
              <w:rPr>
                <w:sz w:val="20"/>
                <w:szCs w:val="20"/>
                <w:color w:val="auto"/>
              </w:rPr>
            </w:pPr>
            <w:r>
              <w:rPr>
                <w:rFonts w:ascii="Arial" w:cs="Arial" w:eastAsia="Arial" w:hAnsi="Arial"/>
                <w:sz w:val="18"/>
                <w:szCs w:val="18"/>
                <w:b w:val="1"/>
                <w:bCs w:val="1"/>
                <w:color w:val="auto"/>
                <w:w w:val="98"/>
              </w:rPr>
              <w:t>March 31,</w:t>
            </w:r>
          </w:p>
        </w:tc>
        <w:tc>
          <w:tcPr>
            <w:tcW w:w="1300" w:type="dxa"/>
            <w:vAlign w:val="bottom"/>
            <w:gridSpan w:val="2"/>
          </w:tcPr>
          <w:p>
            <w:pPr>
              <w:ind w:left="20"/>
              <w:spacing w:after="0" w:line="170" w:lineRule="exact"/>
              <w:rPr>
                <w:sz w:val="20"/>
                <w:szCs w:val="20"/>
                <w:color w:val="auto"/>
              </w:rPr>
            </w:pPr>
            <w:r>
              <w:rPr>
                <w:rFonts w:ascii="Arial" w:cs="Arial" w:eastAsia="Arial" w:hAnsi="Arial"/>
                <w:sz w:val="18"/>
                <w:szCs w:val="18"/>
                <w:b w:val="1"/>
                <w:bCs w:val="1"/>
                <w:color w:val="auto"/>
              </w:rPr>
              <w:t>December 31,</w:t>
            </w:r>
          </w:p>
        </w:tc>
        <w:tc>
          <w:tcPr>
            <w:tcW w:w="1340" w:type="dxa"/>
            <w:vAlign w:val="bottom"/>
            <w:gridSpan w:val="2"/>
          </w:tcPr>
          <w:p>
            <w:pPr>
              <w:ind w:left="20"/>
              <w:spacing w:after="0" w:line="170"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4"/>
                <w:szCs w:val="14"/>
                <w:color w:val="auto"/>
              </w:rPr>
            </w:pPr>
          </w:p>
        </w:tc>
        <w:tc>
          <w:tcPr>
            <w:tcW w:w="106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w w:val="88"/>
              </w:rPr>
              <w:t>June 30,</w:t>
            </w:r>
          </w:p>
        </w:tc>
      </w:tr>
      <w:tr>
        <w:trPr>
          <w:trHeight w:val="221"/>
        </w:trPr>
        <w:tc>
          <w:tcPr>
            <w:tcW w:w="4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183"/>
        </w:trPr>
        <w:tc>
          <w:tcPr>
            <w:tcW w:w="4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Non-accrual loans</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36,230</w:t>
            </w:r>
          </w:p>
        </w:tc>
        <w:tc>
          <w:tcPr>
            <w:tcW w:w="2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34,997</w:t>
            </w:r>
          </w:p>
        </w:tc>
        <w:tc>
          <w:tcPr>
            <w:tcW w:w="2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40,395</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25,215</w:t>
            </w:r>
          </w:p>
        </w:tc>
      </w:tr>
      <w:tr>
        <w:trPr>
          <w:trHeight w:val="189"/>
        </w:trPr>
        <w:tc>
          <w:tcPr>
            <w:tcW w:w="40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Loans 90+ days past due and still accruing</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0"/>
              <w:spacing w:after="0" w:line="189" w:lineRule="exact"/>
              <w:rPr>
                <w:sz w:val="20"/>
                <w:szCs w:val="20"/>
                <w:color w:val="auto"/>
              </w:rPr>
            </w:pPr>
            <w:r>
              <w:rPr>
                <w:rFonts w:ascii="Arial" w:cs="Arial" w:eastAsia="Arial" w:hAnsi="Arial"/>
                <w:sz w:val="18"/>
                <w:szCs w:val="18"/>
                <w:color w:val="auto"/>
              </w:rPr>
              <w:t>356</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0"/>
              <w:spacing w:after="0" w:line="189" w:lineRule="exact"/>
              <w:rPr>
                <w:sz w:val="20"/>
                <w:szCs w:val="20"/>
                <w:color w:val="auto"/>
              </w:rPr>
            </w:pPr>
            <w:r>
              <w:rPr>
                <w:rFonts w:ascii="Arial" w:cs="Arial" w:eastAsia="Arial" w:hAnsi="Arial"/>
                <w:sz w:val="18"/>
                <w:szCs w:val="18"/>
                <w:color w:val="auto"/>
              </w:rPr>
              <w:t>1,601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0"/>
              <w:spacing w:after="0" w:line="189" w:lineRule="exact"/>
              <w:rPr>
                <w:sz w:val="20"/>
                <w:szCs w:val="20"/>
                <w:color w:val="auto"/>
              </w:rPr>
            </w:pPr>
            <w:r>
              <w:rPr>
                <w:rFonts w:ascii="Arial" w:cs="Arial" w:eastAsia="Arial" w:hAnsi="Arial"/>
                <w:sz w:val="18"/>
                <w:szCs w:val="18"/>
                <w:color w:val="auto"/>
              </w:rPr>
              <w:t>364</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rPr>
              <w:t>1,142</w:t>
            </w:r>
          </w:p>
        </w:tc>
      </w:tr>
      <w:tr>
        <w:trPr>
          <w:trHeight w:val="183"/>
        </w:trPr>
        <w:tc>
          <w:tcPr>
            <w:tcW w:w="4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non-performing loans</w:t>
            </w: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36,586</w:t>
            </w:r>
          </w:p>
        </w:tc>
        <w:tc>
          <w:tcPr>
            <w:tcW w:w="260" w:type="dxa"/>
            <w:vAlign w:val="bottom"/>
            <w:tcBorders>
              <w:bottom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36,598</w:t>
            </w:r>
          </w:p>
        </w:tc>
        <w:tc>
          <w:tcPr>
            <w:tcW w:w="260" w:type="dxa"/>
            <w:vAlign w:val="bottom"/>
            <w:tcBorders>
              <w:bottom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40,759</w:t>
            </w: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26,357</w:t>
            </w:r>
          </w:p>
        </w:tc>
      </w:tr>
      <w:tr>
        <w:trPr>
          <w:trHeight w:val="183"/>
        </w:trPr>
        <w:tc>
          <w:tcPr>
            <w:tcW w:w="40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83"/>
        </w:trPr>
        <w:tc>
          <w:tcPr>
            <w:tcW w:w="4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OREO</w:t>
            </w: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921</w:t>
            </w:r>
          </w:p>
        </w:tc>
        <w:tc>
          <w:tcPr>
            <w:tcW w:w="260" w:type="dxa"/>
            <w:vAlign w:val="bottom"/>
            <w:tcBorders>
              <w:bottom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376</w:t>
            </w:r>
          </w:p>
        </w:tc>
        <w:tc>
          <w:tcPr>
            <w:tcW w:w="260" w:type="dxa"/>
            <w:vAlign w:val="bottom"/>
            <w:tcBorders>
              <w:bottom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1,093</w:t>
            </w: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3,694</w:t>
            </w:r>
          </w:p>
        </w:tc>
      </w:tr>
      <w:tr>
        <w:trPr>
          <w:trHeight w:val="183"/>
        </w:trPr>
        <w:tc>
          <w:tcPr>
            <w:tcW w:w="40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90"/>
        </w:trPr>
        <w:tc>
          <w:tcPr>
            <w:tcW w:w="40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non-performing assets</w:t>
            </w: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37,507</w:t>
            </w:r>
          </w:p>
        </w:tc>
        <w:tc>
          <w:tcPr>
            <w:tcW w:w="260" w:type="dxa"/>
            <w:vAlign w:val="bottom"/>
            <w:tcBorders>
              <w:bottom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36,974</w:t>
            </w:r>
          </w:p>
        </w:tc>
        <w:tc>
          <w:tcPr>
            <w:tcW w:w="260" w:type="dxa"/>
            <w:vAlign w:val="bottom"/>
            <w:tcBorders>
              <w:bottom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41,852</w:t>
            </w: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30,051</w:t>
            </w:r>
          </w:p>
        </w:tc>
      </w:tr>
      <w:tr>
        <w:trPr>
          <w:trHeight w:val="189"/>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4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Allowance for loan losses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50,915</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50,648</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52,743</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53,305</w:t>
            </w:r>
          </w:p>
        </w:tc>
      </w:tr>
      <w:tr>
        <w:trPr>
          <w:trHeight w:val="189"/>
        </w:trPr>
        <w:tc>
          <w:tcPr>
            <w:tcW w:w="4080" w:type="dxa"/>
            <w:vAlign w:val="bottom"/>
          </w:tcPr>
          <w:p>
            <w:pPr>
              <w:spacing w:after="0" w:line="189" w:lineRule="exact"/>
              <w:rPr>
                <w:sz w:val="20"/>
                <w:szCs w:val="20"/>
                <w:color w:val="auto"/>
              </w:rPr>
            </w:pPr>
            <w:r>
              <w:rPr>
                <w:rFonts w:ascii="Arial" w:cs="Arial" w:eastAsia="Arial" w:hAnsi="Arial"/>
                <w:sz w:val="18"/>
                <w:szCs w:val="18"/>
                <w:color w:val="auto"/>
              </w:rPr>
              <w:t>Allowance for loan losses to portfolio loans</w:t>
            </w: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0.78 %</w:t>
            </w: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0.91 %</w:t>
            </w: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0.94 %</w:t>
            </w:r>
          </w:p>
        </w:tc>
        <w:tc>
          <w:tcPr>
            <w:tcW w:w="1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0.96 %</w:t>
            </w:r>
          </w:p>
        </w:tc>
      </w:tr>
      <w:tr>
        <w:trPr>
          <w:trHeight w:val="189"/>
        </w:trPr>
        <w:tc>
          <w:tcPr>
            <w:tcW w:w="4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Allowance for loan losses to non-performing loans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139.2 %</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138.4 %</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129.4 %</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202.2 %</w:t>
            </w:r>
          </w:p>
        </w:tc>
      </w:tr>
      <w:tr>
        <w:trPr>
          <w:trHeight w:val="161"/>
        </w:trPr>
        <w:tc>
          <w:tcPr>
            <w:tcW w:w="4080" w:type="dxa"/>
            <w:vAlign w:val="bottom"/>
          </w:tcPr>
          <w:p>
            <w:pPr>
              <w:spacing w:after="0" w:line="161" w:lineRule="exact"/>
              <w:rPr>
                <w:sz w:val="20"/>
                <w:szCs w:val="20"/>
                <w:color w:val="auto"/>
              </w:rPr>
            </w:pPr>
            <w:r>
              <w:rPr>
                <w:rFonts w:ascii="Arial" w:cs="Arial" w:eastAsia="Arial" w:hAnsi="Arial"/>
                <w:sz w:val="18"/>
                <w:szCs w:val="18"/>
                <w:color w:val="auto"/>
              </w:rPr>
              <w:t>Non-performing loans to portfolio loans, before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7"/>
        </w:trPr>
        <w:tc>
          <w:tcPr>
            <w:tcW w:w="408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0.6 %</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0.7 %</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0.7 %</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161"/>
        </w:trPr>
        <w:tc>
          <w:tcPr>
            <w:tcW w:w="40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w w:val="99"/>
              </w:rPr>
              <w:t>Non-performing loans and OREO to portfolio loans,</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before allowance for loan losses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bl>
    <w:p>
      <w:pPr>
        <w:spacing w:after="0" w:line="148"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Total non-performing assets were $37.5 million at March 31, 2019, compared to $37.0 million at December 31, 2018. Non-performing assets as a percentage of total loans and non-performing assets continued to be favorably low at 0.6% on March 31, 2019. Asset quality metrics can be generally influenced by market-specific economic conditions beyond the control of the Company, and specific measures may fluctuate from quarter to quarter.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144"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Potential problem loans are those loans which are not categorized as impaired, restructured, non-accrual or 90+ days past due, but where current information indicates that the borrower may not be able to comply with loan repayment</w:t>
      </w:r>
    </w:p>
    <w:p>
      <w:pPr>
        <w:spacing w:after="0" w:line="1" w:lineRule="exact"/>
        <w:rPr>
          <w:sz w:val="20"/>
          <w:szCs w:val="20"/>
          <w:color w:val="auto"/>
        </w:rPr>
      </w:pPr>
    </w:p>
    <w:p>
      <w:pPr>
        <w:ind w:right="60"/>
        <w:spacing w:after="0" w:line="223" w:lineRule="auto"/>
        <w:rPr>
          <w:sz w:val="20"/>
          <w:szCs w:val="20"/>
          <w:color w:val="auto"/>
        </w:rPr>
      </w:pPr>
      <w:r>
        <w:rPr>
          <w:rFonts w:ascii="Arial" w:cs="Arial" w:eastAsia="Arial" w:hAnsi="Arial"/>
          <w:sz w:val="17"/>
          <w:szCs w:val="17"/>
          <w:color w:val="auto"/>
        </w:rPr>
        <w:t>terms. Management assesses the potential for loss on such loans and considers the effect of any potential loss in determining its provision for probable loan losses. Potential problem loans totaled $69.2 million at March 31, 2019, compared to $70.9 million at December 31, 2018. Management continues to monitor these credits and anticipates that restructurings, guarantees, additional collateral or other planned actions will result in full repayment of the debts. As of March 31, 2019, management identified no other loans that represent or result from trends or uncertainties which would be expected to materially impact future operating results, liquidity or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48"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The balances of these assets are dependent on the Company’s operating, investing, lending, and financing activities during any given period.</w:t>
      </w:r>
    </w:p>
    <w:p>
      <w:pPr>
        <w:spacing w:after="0" w:line="125"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color w:val="auto"/>
        </w:rPr>
        <w:t>First Busey’s primary sources of funds consist of deposits, investment maturities and sales, loan principal repayments, and capital funds. Additional liquidity is provided by the ability to borrow from the FHLB, the Federal Reserve, First Busey’s revolving loan facility, or to utilize brokered deposits.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As of March 31, 2019,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148"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The banks routinely enter into commitments to extend credit and standby letters of credit in the normal course of business to meet the financing needs of its customers. As of March 31, 2019 and December 31, 2018, we had outstanding loan commitments and standby letters of credit of $1.6 billion and $1.4 billion, respectively. The balance of commitments to extend credit represents future cash requirements and some of these commitments may expire without being drawn upon. We anticipate we will have sufficient funds available to meet current loan commitments, including loan applications received and in process prior to the issuance of firm commitments.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48" w:lineRule="exact"/>
        <w:rPr>
          <w:sz w:val="20"/>
          <w:szCs w:val="20"/>
          <w:color w:val="auto"/>
        </w:rPr>
      </w:pPr>
    </w:p>
    <w:p>
      <w:pPr>
        <w:ind w:right="60"/>
        <w:spacing w:after="0" w:line="222" w:lineRule="auto"/>
        <w:rPr>
          <w:sz w:val="20"/>
          <w:szCs w:val="20"/>
          <w:color w:val="auto"/>
        </w:rPr>
      </w:pPr>
      <w:r>
        <w:rPr>
          <w:rFonts w:ascii="Arial" w:cs="Arial" w:eastAsia="Arial" w:hAnsi="Arial"/>
          <w:sz w:val="17"/>
          <w:szCs w:val="17"/>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 holding companies and their subsidiary banks are required to maintain, including the capital conservation buffer, a total capital to total risk-weighted asset ratio of not less than 10.50%, Tier 1 capital to total risk-weighted asset ratio of not less than 8.50%, Common Equity Tier 1 capital to total risk-weighted asset ratio of not less than 7.0% and a Tier 1 leverage ratio of not less than 4.00%. The Basel III Rule was fully phased-in on January 1, 2019. See “Note 11: Regulatory Capital” for ratios and further discussion.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48"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This Quarterly Report on Form 10-Q contains certain financial information determined by methods other than in accordance with GAAP. These measures include adjusted net income, adjusted return on average assets, adjusted net interest margin, adjusted efficiency ratio, tangible common equity, and tangible common equity to tangible assets. Management uses these non-GAAP measures, together with the related GAAP measures, to analyze the Company’s performance and to make business decisions. Management also uses these measures for peer comparisons.</w:t>
      </w:r>
    </w:p>
    <w:p>
      <w:pPr>
        <w:spacing w:after="0" w:line="121"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A reconciliation to what management believes to be the most direct compared GAAP financial measures, specifically net income in the case of adjusted net income and adjusted return on average assets, total net interest income, total non-interest income and total non-interest expense in the case of adjusted efficiency ratio and total stockholders’ equity in the case of the tangible book value per share, appears below. The Company believes each of the adjusted measures is useful for investors and management to understand the effects of certain non-recurring non-interest items and provides additional perspective on the Company’s performance over time as well as comparison to the Company’s peers.</w:t>
      </w:r>
    </w:p>
    <w:p>
      <w:pPr>
        <w:spacing w:after="0" w:line="120"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line="235" w:lineRule="auto"/>
        <w:rPr>
          <w:sz w:val="20"/>
          <w:szCs w:val="20"/>
          <w:color w:val="auto"/>
        </w:rPr>
      </w:pPr>
      <w:r>
        <w:rPr>
          <w:rFonts w:ascii="Arial" w:cs="Arial" w:eastAsia="Arial" w:hAnsi="Arial"/>
          <w:sz w:val="18"/>
          <w:szCs w:val="18"/>
          <w:u w:val="single" w:color="auto"/>
          <w:color w:val="auto"/>
        </w:rPr>
        <w:t xml:space="preserve">Reconciliation of Non-GAAP Financial Measures — Adjusted Net Income and Return on Average Assets </w:t>
      </w:r>
      <w:r>
        <w:rPr>
          <w:rFonts w:ascii="Arial" w:cs="Arial" w:eastAsia="Arial" w:hAnsi="Arial"/>
          <w:sz w:val="18"/>
          <w:szCs w:val="18"/>
          <w:i w:val="1"/>
          <w:iCs w:val="1"/>
          <w:color w:val="auto"/>
        </w:rPr>
        <w:t>(dollars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98"/>
        </w:trPr>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13"/>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7"/>
                <w:szCs w:val="17"/>
                <w:color w:val="auto"/>
              </w:rPr>
            </w:pPr>
          </w:p>
        </w:tc>
        <w:tc>
          <w:tcPr>
            <w:tcW w:w="1300" w:type="dxa"/>
            <w:vAlign w:val="bottom"/>
          </w:tcPr>
          <w:p>
            <w:pPr>
              <w:jc w:val="right"/>
              <w:ind w:right="313"/>
              <w:spacing w:after="0"/>
              <w:rPr>
                <w:sz w:val="20"/>
                <w:szCs w:val="20"/>
                <w:color w:val="auto"/>
              </w:rPr>
            </w:pPr>
            <w:r>
              <w:rPr>
                <w:rFonts w:ascii="Arial" w:cs="Arial" w:eastAsia="Arial" w:hAnsi="Arial"/>
                <w:sz w:val="14"/>
                <w:szCs w:val="14"/>
                <w:b w:val="1"/>
                <w:bCs w:val="1"/>
                <w:color w:val="auto"/>
                <w:w w:val="96"/>
              </w:rPr>
              <w:t>December 31,</w:t>
            </w:r>
          </w:p>
        </w:tc>
        <w:tc>
          <w:tcPr>
            <w:tcW w:w="200" w:type="dxa"/>
            <w:vAlign w:val="bottom"/>
          </w:tcPr>
          <w:p>
            <w:pPr>
              <w:spacing w:after="0"/>
              <w:rPr>
                <w:sz w:val="17"/>
                <w:szCs w:val="17"/>
                <w:color w:val="auto"/>
              </w:rPr>
            </w:pPr>
          </w:p>
        </w:tc>
        <w:tc>
          <w:tcPr>
            <w:tcW w:w="1100" w:type="dxa"/>
            <w:vAlign w:val="bottom"/>
          </w:tcPr>
          <w:p>
            <w:pPr>
              <w:jc w:val="right"/>
              <w:ind w:right="333"/>
              <w:spacing w:after="0"/>
              <w:rPr>
                <w:sz w:val="20"/>
                <w:szCs w:val="20"/>
                <w:color w:val="auto"/>
              </w:rPr>
            </w:pPr>
            <w:r>
              <w:rPr>
                <w:rFonts w:ascii="Arial" w:cs="Arial" w:eastAsia="Arial" w:hAnsi="Arial"/>
                <w:sz w:val="14"/>
                <w:szCs w:val="14"/>
                <w:b w:val="1"/>
                <w:bCs w:val="1"/>
                <w:color w:val="auto"/>
              </w:rPr>
              <w:t>March 31,</w:t>
            </w:r>
          </w:p>
        </w:tc>
      </w:tr>
      <w:tr>
        <w:trPr>
          <w:trHeight w:val="174"/>
        </w:trPr>
        <w:tc>
          <w:tcPr>
            <w:tcW w:w="50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183"/>
        </w:trPr>
        <w:tc>
          <w:tcPr>
            <w:tcW w:w="5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53"/>
              <w:spacing w:after="0" w:line="182" w:lineRule="exact"/>
              <w:rPr>
                <w:sz w:val="20"/>
                <w:szCs w:val="20"/>
                <w:color w:val="auto"/>
              </w:rPr>
            </w:pPr>
            <w:r>
              <w:rPr>
                <w:rFonts w:ascii="Arial" w:cs="Arial" w:eastAsia="Arial" w:hAnsi="Arial"/>
                <w:sz w:val="18"/>
                <w:szCs w:val="18"/>
                <w:color w:val="auto"/>
              </w:rPr>
              <w:t>25,469</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3"/>
              <w:spacing w:after="0" w:line="182" w:lineRule="exact"/>
              <w:rPr>
                <w:sz w:val="20"/>
                <w:szCs w:val="20"/>
                <w:color w:val="auto"/>
              </w:rPr>
            </w:pPr>
            <w:r>
              <w:rPr>
                <w:rFonts w:ascii="Arial" w:cs="Arial" w:eastAsia="Arial" w:hAnsi="Arial"/>
                <w:sz w:val="18"/>
                <w:szCs w:val="18"/>
                <w:color w:val="auto"/>
              </w:rPr>
              <w:t>25,290</w:t>
            </w:r>
          </w:p>
        </w:tc>
        <w:tc>
          <w:tcPr>
            <w:tcW w:w="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3"/>
              <w:spacing w:after="0" w:line="182" w:lineRule="exact"/>
              <w:rPr>
                <w:sz w:val="20"/>
                <w:szCs w:val="20"/>
                <w:color w:val="auto"/>
              </w:rPr>
            </w:pPr>
            <w:r>
              <w:rPr>
                <w:rFonts w:ascii="Arial" w:cs="Arial" w:eastAsia="Arial" w:hAnsi="Arial"/>
                <w:sz w:val="18"/>
                <w:szCs w:val="18"/>
                <w:color w:val="auto"/>
              </w:rPr>
              <w:t>21,917</w:t>
            </w: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8"/>
                <w:szCs w:val="18"/>
                <w:color w:val="auto"/>
              </w:rPr>
              <w:t>Acquisition expenses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Salaries, wages, and employee benefits</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3"/>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53"/>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13"/>
              <w:spacing w:after="0" w:line="189" w:lineRule="exact"/>
              <w:rPr>
                <w:sz w:val="20"/>
                <w:szCs w:val="20"/>
                <w:color w:val="auto"/>
              </w:rPr>
            </w:pPr>
            <w:r>
              <w:rPr>
                <w:rFonts w:ascii="Arial" w:cs="Arial" w:eastAsia="Arial" w:hAnsi="Arial"/>
                <w:sz w:val="18"/>
                <w:szCs w:val="18"/>
                <w:color w:val="auto"/>
              </w:rPr>
              <w:t>1,233</w:t>
            </w:r>
          </w:p>
        </w:tc>
      </w:tr>
      <w:tr>
        <w:trPr>
          <w:trHeight w:val="189"/>
        </w:trPr>
        <w:tc>
          <w:tcPr>
            <w:tcW w:w="5060" w:type="dxa"/>
            <w:vAlign w:val="bottom"/>
          </w:tcPr>
          <w:p>
            <w:pPr>
              <w:ind w:left="120"/>
              <w:spacing w:after="0" w:line="189" w:lineRule="exact"/>
              <w:rPr>
                <w:sz w:val="20"/>
                <w:szCs w:val="20"/>
                <w:color w:val="auto"/>
              </w:rPr>
            </w:pPr>
            <w:r>
              <w:rPr>
                <w:rFonts w:ascii="Arial" w:cs="Arial" w:eastAsia="Arial" w:hAnsi="Arial"/>
                <w:sz w:val="18"/>
                <w:szCs w:val="18"/>
                <w:color w:val="auto"/>
              </w:rPr>
              <w:t>Data processing</w:t>
            </w:r>
          </w:p>
        </w:tc>
        <w:tc>
          <w:tcPr>
            <w:tcW w:w="140" w:type="dxa"/>
            <w:vAlign w:val="bottom"/>
          </w:tcPr>
          <w:p>
            <w:pPr>
              <w:spacing w:after="0"/>
              <w:rPr>
                <w:sz w:val="16"/>
                <w:szCs w:val="16"/>
                <w:color w:val="auto"/>
              </w:rPr>
            </w:pPr>
          </w:p>
        </w:tc>
        <w:tc>
          <w:tcPr>
            <w:tcW w:w="1100" w:type="dxa"/>
            <w:vAlign w:val="bottom"/>
          </w:tcPr>
          <w:p>
            <w:pPr>
              <w:jc w:val="right"/>
              <w:ind w:right="153"/>
              <w:spacing w:after="0" w:line="189"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6"/>
                <w:szCs w:val="16"/>
                <w:color w:val="auto"/>
              </w:rPr>
            </w:pPr>
          </w:p>
        </w:tc>
        <w:tc>
          <w:tcPr>
            <w:tcW w:w="1300" w:type="dxa"/>
            <w:vAlign w:val="bottom"/>
          </w:tcPr>
          <w:p>
            <w:pPr>
              <w:jc w:val="right"/>
              <w:ind w:right="153"/>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100" w:type="dxa"/>
            <w:vAlign w:val="bottom"/>
          </w:tcPr>
          <w:p>
            <w:pPr>
              <w:jc w:val="right"/>
              <w:ind w:right="213"/>
              <w:spacing w:after="0" w:line="189" w:lineRule="exact"/>
              <w:rPr>
                <w:sz w:val="20"/>
                <w:szCs w:val="20"/>
                <w:color w:val="auto"/>
              </w:rPr>
            </w:pPr>
            <w:r>
              <w:rPr>
                <w:rFonts w:ascii="Arial" w:cs="Arial" w:eastAsia="Arial" w:hAnsi="Arial"/>
                <w:sz w:val="18"/>
                <w:szCs w:val="18"/>
                <w:color w:val="auto"/>
              </w:rPr>
              <w:t>372</w:t>
            </w:r>
          </w:p>
        </w:tc>
      </w:tr>
      <w:tr>
        <w:trPr>
          <w:trHeight w:val="189"/>
        </w:trPr>
        <w:tc>
          <w:tcPr>
            <w:tcW w:w="5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(includes professional and legal)</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3"/>
              <w:spacing w:after="0" w:line="189" w:lineRule="exact"/>
              <w:rPr>
                <w:sz w:val="20"/>
                <w:szCs w:val="20"/>
                <w:color w:val="auto"/>
              </w:rPr>
            </w:pPr>
            <w:r>
              <w:rPr>
                <w:rFonts w:ascii="Arial" w:cs="Arial" w:eastAsia="Arial" w:hAnsi="Arial"/>
                <w:sz w:val="18"/>
                <w:szCs w:val="18"/>
                <w:color w:val="auto"/>
              </w:rPr>
              <w:t>1,205</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53"/>
              <w:spacing w:after="0" w:line="189" w:lineRule="exact"/>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13"/>
              <w:spacing w:after="0" w:line="189" w:lineRule="exact"/>
              <w:rPr>
                <w:sz w:val="20"/>
                <w:szCs w:val="20"/>
                <w:color w:val="auto"/>
              </w:rPr>
            </w:pPr>
            <w:r>
              <w:rPr>
                <w:rFonts w:ascii="Arial" w:cs="Arial" w:eastAsia="Arial" w:hAnsi="Arial"/>
                <w:sz w:val="18"/>
                <w:szCs w:val="18"/>
                <w:color w:val="auto"/>
              </w:rPr>
              <w:t>1,950</w:t>
            </w: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8"/>
                <w:szCs w:val="18"/>
                <w:color w:val="auto"/>
              </w:rPr>
              <w:t>Other restructuring costs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Salaries, wages, and employee benefits</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3"/>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53"/>
              <w:spacing w:after="0" w:line="189" w:lineRule="exact"/>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13"/>
              <w:spacing w:after="0" w:line="189" w:lineRule="exact"/>
              <w:rPr>
                <w:sz w:val="20"/>
                <w:szCs w:val="20"/>
                <w:color w:val="auto"/>
              </w:rPr>
            </w:pPr>
            <w:r>
              <w:rPr>
                <w:rFonts w:ascii="Arial" w:cs="Arial" w:eastAsia="Arial" w:hAnsi="Arial"/>
                <w:sz w:val="18"/>
                <w:szCs w:val="18"/>
                <w:color w:val="auto"/>
              </w:rPr>
              <w:t>417</w:t>
            </w:r>
          </w:p>
        </w:tc>
      </w:tr>
      <w:tr>
        <w:trPr>
          <w:trHeight w:val="189"/>
        </w:trPr>
        <w:tc>
          <w:tcPr>
            <w:tcW w:w="5060" w:type="dxa"/>
            <w:vAlign w:val="bottom"/>
          </w:tcPr>
          <w:p>
            <w:pPr>
              <w:ind w:left="120"/>
              <w:spacing w:after="0" w:line="189" w:lineRule="exact"/>
              <w:rPr>
                <w:sz w:val="20"/>
                <w:szCs w:val="20"/>
                <w:color w:val="auto"/>
              </w:rPr>
            </w:pPr>
            <w:r>
              <w:rPr>
                <w:rFonts w:ascii="Arial" w:cs="Arial" w:eastAsia="Arial" w:hAnsi="Arial"/>
                <w:sz w:val="18"/>
                <w:szCs w:val="18"/>
                <w:color w:val="auto"/>
              </w:rPr>
              <w:t>Data processing</w:t>
            </w:r>
          </w:p>
        </w:tc>
        <w:tc>
          <w:tcPr>
            <w:tcW w:w="140" w:type="dxa"/>
            <w:vAlign w:val="bottom"/>
          </w:tcPr>
          <w:p>
            <w:pPr>
              <w:spacing w:after="0"/>
              <w:rPr>
                <w:sz w:val="16"/>
                <w:szCs w:val="16"/>
                <w:color w:val="auto"/>
              </w:rPr>
            </w:pPr>
          </w:p>
        </w:tc>
        <w:tc>
          <w:tcPr>
            <w:tcW w:w="1100" w:type="dxa"/>
            <w:vAlign w:val="bottom"/>
          </w:tcPr>
          <w:p>
            <w:pPr>
              <w:jc w:val="right"/>
              <w:ind w:right="153"/>
              <w:spacing w:after="0" w:line="189"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6"/>
                <w:szCs w:val="16"/>
                <w:color w:val="auto"/>
              </w:rPr>
            </w:pPr>
          </w:p>
        </w:tc>
        <w:tc>
          <w:tcPr>
            <w:tcW w:w="1300" w:type="dxa"/>
            <w:vAlign w:val="bottom"/>
          </w:tcPr>
          <w:p>
            <w:pPr>
              <w:jc w:val="right"/>
              <w:ind w:right="153"/>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100" w:type="dxa"/>
            <w:vAlign w:val="bottom"/>
          </w:tcPr>
          <w:p>
            <w:pPr>
              <w:jc w:val="right"/>
              <w:ind w:right="213"/>
              <w:spacing w:after="0" w:line="189" w:lineRule="exact"/>
              <w:rPr>
                <w:sz w:val="20"/>
                <w:szCs w:val="20"/>
                <w:color w:val="auto"/>
              </w:rPr>
            </w:pPr>
            <w:r>
              <w:rPr>
                <w:rFonts w:ascii="Arial" w:cs="Arial" w:eastAsia="Arial" w:hAnsi="Arial"/>
                <w:sz w:val="18"/>
                <w:szCs w:val="18"/>
                <w:color w:val="auto"/>
              </w:rPr>
              <w:t>—</w:t>
            </w:r>
          </w:p>
        </w:tc>
      </w:tr>
      <w:tr>
        <w:trPr>
          <w:trHeight w:val="189"/>
        </w:trPr>
        <w:tc>
          <w:tcPr>
            <w:tcW w:w="5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(includes professional and legal)</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3"/>
              <w:spacing w:after="0" w:line="189" w:lineRule="exact"/>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53"/>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13"/>
              <w:spacing w:after="0" w:line="189" w:lineRule="exact"/>
              <w:rPr>
                <w:sz w:val="20"/>
                <w:szCs w:val="20"/>
                <w:color w:val="auto"/>
              </w:rPr>
            </w:pPr>
            <w:r>
              <w:rPr>
                <w:rFonts w:ascii="Arial" w:cs="Arial" w:eastAsia="Arial" w:hAnsi="Arial"/>
                <w:sz w:val="18"/>
                <w:szCs w:val="18"/>
                <w:color w:val="auto"/>
              </w:rPr>
              <w:t>—</w:t>
            </w:r>
          </w:p>
        </w:tc>
      </w:tr>
      <w:tr>
        <w:trPr>
          <w:trHeight w:val="189"/>
        </w:trPr>
        <w:tc>
          <w:tcPr>
            <w:tcW w:w="50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Related tax benefit</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3"/>
              <w:spacing w:after="0" w:line="189" w:lineRule="exact"/>
              <w:rPr>
                <w:sz w:val="20"/>
                <w:szCs w:val="20"/>
                <w:color w:val="auto"/>
              </w:rPr>
            </w:pPr>
            <w:r>
              <w:rPr>
                <w:rFonts w:ascii="Arial" w:cs="Arial" w:eastAsia="Arial" w:hAnsi="Arial"/>
                <w:sz w:val="18"/>
                <w:szCs w:val="18"/>
                <w:color w:val="auto"/>
              </w:rPr>
              <w:t>(334)</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13"/>
              <w:spacing w:after="0" w:line="189" w:lineRule="exact"/>
              <w:rPr>
                <w:sz w:val="20"/>
                <w:szCs w:val="20"/>
                <w:color w:val="auto"/>
              </w:rPr>
            </w:pPr>
            <w:r>
              <w:rPr>
                <w:rFonts w:ascii="Arial" w:cs="Arial" w:eastAsia="Arial" w:hAnsi="Arial"/>
                <w:sz w:val="18"/>
                <w:szCs w:val="18"/>
                <w:color w:val="auto"/>
              </w:rPr>
              <w:t>(234)</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3"/>
              <w:spacing w:after="0" w:line="189" w:lineRule="exact"/>
              <w:rPr>
                <w:sz w:val="20"/>
                <w:szCs w:val="20"/>
                <w:color w:val="auto"/>
              </w:rPr>
            </w:pPr>
            <w:r>
              <w:rPr>
                <w:rFonts w:ascii="Arial" w:cs="Arial" w:eastAsia="Arial" w:hAnsi="Arial"/>
                <w:sz w:val="18"/>
                <w:szCs w:val="18"/>
                <w:color w:val="auto"/>
              </w:rPr>
              <w:t>(967)</w:t>
            </w:r>
          </w:p>
        </w:tc>
      </w:tr>
      <w:tr>
        <w:trPr>
          <w:trHeight w:val="190"/>
        </w:trPr>
        <w:tc>
          <w:tcPr>
            <w:tcW w:w="50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Adjusted 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153"/>
              <w:spacing w:after="0" w:line="182" w:lineRule="exact"/>
              <w:rPr>
                <w:sz w:val="20"/>
                <w:szCs w:val="20"/>
                <w:color w:val="auto"/>
              </w:rPr>
            </w:pPr>
            <w:r>
              <w:rPr>
                <w:rFonts w:ascii="Arial" w:cs="Arial" w:eastAsia="Arial" w:hAnsi="Arial"/>
                <w:sz w:val="18"/>
                <w:szCs w:val="18"/>
                <w:color w:val="auto"/>
              </w:rPr>
              <w:t>26,614</w:t>
            </w: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3"/>
              <w:spacing w:after="0" w:line="182" w:lineRule="exact"/>
              <w:rPr>
                <w:sz w:val="20"/>
                <w:szCs w:val="20"/>
                <w:color w:val="auto"/>
              </w:rPr>
            </w:pPr>
            <w:r>
              <w:rPr>
                <w:rFonts w:ascii="Arial" w:cs="Arial" w:eastAsia="Arial" w:hAnsi="Arial"/>
                <w:sz w:val="18"/>
                <w:szCs w:val="18"/>
                <w:color w:val="auto"/>
              </w:rPr>
              <w:t>25,958</w:t>
            </w:r>
          </w:p>
        </w:tc>
        <w:tc>
          <w:tcPr>
            <w:tcW w:w="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213"/>
              <w:spacing w:after="0" w:line="182" w:lineRule="exact"/>
              <w:rPr>
                <w:sz w:val="20"/>
                <w:szCs w:val="20"/>
                <w:color w:val="auto"/>
              </w:rPr>
            </w:pPr>
            <w:r>
              <w:rPr>
                <w:rFonts w:ascii="Arial" w:cs="Arial" w:eastAsia="Arial" w:hAnsi="Arial"/>
                <w:sz w:val="18"/>
                <w:szCs w:val="18"/>
                <w:color w:val="auto"/>
              </w:rPr>
              <w:t>24,922</w:t>
            </w:r>
          </w:p>
        </w:tc>
      </w:tr>
      <w:tr>
        <w:trPr>
          <w:trHeight w:val="189"/>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Average 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53"/>
              <w:spacing w:after="0" w:line="189" w:lineRule="exact"/>
              <w:rPr>
                <w:sz w:val="20"/>
                <w:szCs w:val="20"/>
                <w:color w:val="auto"/>
              </w:rPr>
            </w:pPr>
            <w:r>
              <w:rPr>
                <w:rFonts w:ascii="Arial" w:cs="Arial" w:eastAsia="Arial" w:hAnsi="Arial"/>
                <w:sz w:val="18"/>
                <w:szCs w:val="18"/>
                <w:color w:val="auto"/>
              </w:rPr>
              <w:t>8,865,642</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3"/>
              <w:spacing w:after="0" w:line="189" w:lineRule="exact"/>
              <w:rPr>
                <w:sz w:val="20"/>
                <w:szCs w:val="20"/>
                <w:color w:val="auto"/>
              </w:rPr>
            </w:pPr>
            <w:r>
              <w:rPr>
                <w:rFonts w:ascii="Arial" w:cs="Arial" w:eastAsia="Arial" w:hAnsi="Arial"/>
                <w:sz w:val="18"/>
                <w:szCs w:val="18"/>
                <w:color w:val="auto"/>
              </w:rPr>
              <w:t>7,846,154</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3"/>
              <w:spacing w:after="0" w:line="189" w:lineRule="exact"/>
              <w:rPr>
                <w:sz w:val="20"/>
                <w:szCs w:val="20"/>
                <w:color w:val="auto"/>
              </w:rPr>
            </w:pPr>
            <w:r>
              <w:rPr>
                <w:rFonts w:ascii="Arial" w:cs="Arial" w:eastAsia="Arial" w:hAnsi="Arial"/>
                <w:sz w:val="18"/>
                <w:szCs w:val="18"/>
                <w:color w:val="auto"/>
                <w:w w:val="97"/>
              </w:rPr>
              <w:t>7,663,899</w:t>
            </w:r>
          </w:p>
        </w:tc>
      </w:tr>
      <w:tr>
        <w:trPr>
          <w:trHeight w:val="189"/>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Return on average assets</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1.17 %</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1.28 %</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1.16 %</w:t>
            </w:r>
          </w:p>
        </w:tc>
      </w:t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Return on average assets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1.22 %</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1.31 %</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1.32 %</w:t>
            </w:r>
          </w:p>
        </w:tc>
      </w:tr>
    </w:tbl>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Net Interest Margin</w:t>
      </w: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34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28"/>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0"/>
                <w:szCs w:val="10"/>
                <w:color w:val="auto"/>
              </w:rPr>
            </w:pPr>
          </w:p>
        </w:tc>
        <w:tc>
          <w:tcPr>
            <w:tcW w:w="128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80" w:type="dxa"/>
            <w:vAlign w:val="bottom"/>
          </w:tcPr>
          <w:p>
            <w:pPr>
              <w:spacing w:after="0"/>
              <w:rPr>
                <w:sz w:val="10"/>
                <w:szCs w:val="10"/>
                <w:color w:val="auto"/>
              </w:rPr>
            </w:pPr>
          </w:p>
        </w:tc>
        <w:tc>
          <w:tcPr>
            <w:tcW w:w="98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0"/>
                <w:szCs w:val="10"/>
                <w:color w:val="auto"/>
              </w:rPr>
            </w:pPr>
          </w:p>
        </w:tc>
      </w:tr>
      <w:tr>
        <w:trPr>
          <w:trHeight w:val="171"/>
        </w:trPr>
        <w:tc>
          <w:tcPr>
            <w:tcW w:w="3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r>
      <w:tr>
        <w:trPr>
          <w:trHeight w:val="183"/>
        </w:trPr>
        <w:tc>
          <w:tcPr>
            <w:tcW w:w="3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9"/>
        </w:trPr>
        <w:tc>
          <w:tcPr>
            <w:tcW w:w="342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income</w:t>
            </w:r>
          </w:p>
        </w:tc>
        <w:tc>
          <w:tcPr>
            <w:tcW w:w="1640" w:type="dxa"/>
            <w:vAlign w:val="bottom"/>
            <w:gridSpan w:val="2"/>
            <w:shd w:val="clear" w:color="auto" w:fill="CCEEFF"/>
          </w:tcPr>
          <w:p>
            <w:pPr>
              <w:jc w:val="right"/>
              <w:ind w:right="5"/>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68,383</w:t>
            </w:r>
          </w:p>
        </w:tc>
        <w:tc>
          <w:tcPr>
            <w:tcW w:w="2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9"/>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60,503</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59,757</w:t>
            </w:r>
          </w:p>
        </w:tc>
        <w:tc>
          <w:tcPr>
            <w:tcW w:w="260" w:type="dxa"/>
            <w:vAlign w:val="bottom"/>
            <w:shd w:val="clear" w:color="auto" w:fill="CCEEFF"/>
          </w:tcPr>
          <w:p>
            <w:pPr>
              <w:spacing w:after="0"/>
              <w:rPr>
                <w:sz w:val="16"/>
                <w:szCs w:val="16"/>
                <w:color w:val="auto"/>
              </w:rPr>
            </w:pPr>
          </w:p>
        </w:tc>
      </w:tr>
      <w:tr>
        <w:trPr>
          <w:trHeight w:val="189"/>
        </w:trPr>
        <w:tc>
          <w:tcPr>
            <w:tcW w:w="3420" w:type="dxa"/>
            <w:vAlign w:val="bottom"/>
          </w:tcPr>
          <w:p>
            <w:pPr>
              <w:ind w:left="120"/>
              <w:spacing w:after="0" w:line="189" w:lineRule="exact"/>
              <w:rPr>
                <w:sz w:val="20"/>
                <w:szCs w:val="20"/>
                <w:color w:val="auto"/>
              </w:rPr>
            </w:pPr>
            <w:r>
              <w:rPr>
                <w:rFonts w:ascii="Arial" w:cs="Arial" w:eastAsia="Arial" w:hAnsi="Arial"/>
                <w:sz w:val="18"/>
                <w:szCs w:val="18"/>
                <w:color w:val="auto"/>
              </w:rPr>
              <w:t>Tax-equivalent adjustment</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677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545</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578</w:t>
            </w:r>
          </w:p>
        </w:tc>
        <w:tc>
          <w:tcPr>
            <w:tcW w:w="260" w:type="dxa"/>
            <w:vAlign w:val="bottom"/>
          </w:tcPr>
          <w:p>
            <w:pPr>
              <w:spacing w:after="0"/>
              <w:rPr>
                <w:sz w:val="16"/>
                <w:szCs w:val="16"/>
                <w:color w:val="auto"/>
              </w:rPr>
            </w:pPr>
          </w:p>
        </w:tc>
      </w:tr>
      <w:tr>
        <w:trPr>
          <w:trHeight w:val="189"/>
        </w:trPr>
        <w:tc>
          <w:tcPr>
            <w:tcW w:w="34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Purchase accounting accretion</w:t>
            </w: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8"/>
              <w:spacing w:after="0" w:line="189" w:lineRule="exact"/>
              <w:rPr>
                <w:sz w:val="20"/>
                <w:szCs w:val="20"/>
                <w:color w:val="auto"/>
              </w:rPr>
            </w:pPr>
            <w:r>
              <w:rPr>
                <w:rFonts w:ascii="Arial" w:cs="Arial" w:eastAsia="Arial" w:hAnsi="Arial"/>
                <w:sz w:val="18"/>
                <w:szCs w:val="18"/>
                <w:color w:val="auto"/>
              </w:rPr>
              <w:t>(2,994)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(1,852)</w:t>
            </w:r>
          </w:p>
        </w:tc>
        <w:tc>
          <w:tcPr>
            <w:tcW w:w="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(3,410)</w:t>
            </w:r>
          </w:p>
        </w:tc>
      </w:tr>
      <w:tr>
        <w:trPr>
          <w:trHeight w:val="190"/>
        </w:trPr>
        <w:tc>
          <w:tcPr>
            <w:tcW w:w="342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Net interest income</w:t>
            </w:r>
          </w:p>
        </w:tc>
        <w:tc>
          <w:tcPr>
            <w:tcW w:w="14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66,066</w:t>
            </w: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59,196</w:t>
            </w:r>
          </w:p>
        </w:tc>
        <w:tc>
          <w:tcPr>
            <w:tcW w:w="2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56,925</w:t>
            </w:r>
          </w:p>
        </w:tc>
        <w:tc>
          <w:tcPr>
            <w:tcW w:w="260" w:type="dxa"/>
            <w:vAlign w:val="bottom"/>
            <w:tcBorders>
              <w:bottom w:val="single" w:sz="8" w:color="CCEEFF"/>
            </w:tcBorders>
          </w:tcPr>
          <w:p>
            <w:pPr>
              <w:spacing w:after="0"/>
              <w:rPr>
                <w:sz w:val="16"/>
                <w:szCs w:val="16"/>
                <w:color w:val="auto"/>
              </w:rPr>
            </w:pPr>
          </w:p>
        </w:tc>
      </w:tr>
      <w:tr>
        <w:trPr>
          <w:trHeight w:val="189"/>
        </w:trPr>
        <w:tc>
          <w:tcPr>
            <w:tcW w:w="3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3420" w:type="dxa"/>
            <w:vAlign w:val="bottom"/>
          </w:tcPr>
          <w:p>
            <w:pPr>
              <w:spacing w:after="0" w:line="189" w:lineRule="exact"/>
              <w:rPr>
                <w:sz w:val="20"/>
                <w:szCs w:val="20"/>
                <w:color w:val="auto"/>
              </w:rPr>
            </w:pPr>
            <w:r>
              <w:rPr>
                <w:rFonts w:ascii="Arial" w:cs="Arial" w:eastAsia="Arial" w:hAnsi="Arial"/>
                <w:sz w:val="18"/>
                <w:szCs w:val="18"/>
                <w:b w:val="1"/>
                <w:bCs w:val="1"/>
                <w:color w:val="auto"/>
              </w:rPr>
              <w:t>Average interest-earning assets</w:t>
            </w:r>
          </w:p>
        </w:tc>
        <w:tc>
          <w:tcPr>
            <w:tcW w:w="1640" w:type="dxa"/>
            <w:vAlign w:val="bottom"/>
            <w:gridSpan w:val="2"/>
          </w:tcPr>
          <w:p>
            <w:pPr>
              <w:jc w:val="right"/>
              <w:ind w:right="5"/>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8,088,396</w:t>
            </w:r>
          </w:p>
        </w:tc>
        <w:tc>
          <w:tcPr>
            <w:tcW w:w="220" w:type="dxa"/>
            <w:vAlign w:val="bottom"/>
          </w:tcPr>
          <w:p>
            <w:pPr>
              <w:spacing w:after="0"/>
              <w:rPr>
                <w:sz w:val="16"/>
                <w:szCs w:val="16"/>
                <w:color w:val="auto"/>
              </w:rPr>
            </w:pPr>
          </w:p>
        </w:tc>
        <w:tc>
          <w:tcPr>
            <w:tcW w:w="240" w:type="dxa"/>
            <w:vAlign w:val="bottom"/>
            <w:gridSpan w:val="2"/>
          </w:tcPr>
          <w:p>
            <w:pPr>
              <w:jc w:val="right"/>
              <w:ind w:right="9"/>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w w:val="97"/>
              </w:rPr>
              <w:t>7,174,755</w:t>
            </w:r>
          </w:p>
        </w:tc>
        <w:tc>
          <w:tcPr>
            <w:tcW w:w="26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6,976,383</w:t>
            </w:r>
          </w:p>
        </w:tc>
        <w:tc>
          <w:tcPr>
            <w:tcW w:w="260" w:type="dxa"/>
            <w:vAlign w:val="bottom"/>
          </w:tcPr>
          <w:p>
            <w:pPr>
              <w:spacing w:after="0"/>
              <w:rPr>
                <w:sz w:val="16"/>
                <w:szCs w:val="16"/>
                <w:color w:val="auto"/>
              </w:rPr>
            </w:pPr>
          </w:p>
        </w:tc>
      </w:tr>
      <w:tr>
        <w:trPr>
          <w:trHeight w:val="189"/>
        </w:trPr>
        <w:tc>
          <w:tcPr>
            <w:tcW w:w="3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3420" w:type="dxa"/>
            <w:vAlign w:val="bottom"/>
          </w:tcPr>
          <w:p>
            <w:pPr>
              <w:spacing w:after="0" w:line="189"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margin</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3.46 %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3.38 %</w:t>
            </w:r>
          </w:p>
        </w:tc>
        <w:tc>
          <w:tcPr>
            <w:tcW w:w="180" w:type="dxa"/>
            <w:vAlign w:val="bottom"/>
          </w:tcPr>
          <w:p>
            <w:pPr>
              <w:spacing w:after="0"/>
              <w:rPr>
                <w:sz w:val="16"/>
                <w:szCs w:val="16"/>
                <w:color w:val="auto"/>
              </w:rPr>
            </w:pPr>
          </w:p>
        </w:tc>
        <w:tc>
          <w:tcPr>
            <w:tcW w:w="12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3.51 %</w:t>
            </w:r>
          </w:p>
        </w:tc>
      </w:tr>
      <w:tr>
        <w:trPr>
          <w:trHeight w:val="189"/>
        </w:trPr>
        <w:tc>
          <w:tcPr>
            <w:tcW w:w="342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Net Interest margin</w:t>
            </w: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3.31 %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3.27 %</w:t>
            </w:r>
          </w:p>
        </w:tc>
        <w:tc>
          <w:tcPr>
            <w:tcW w:w="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3.31 %</w:t>
            </w:r>
          </w:p>
        </w:tc>
      </w:tr>
      <w:tr>
        <w:trPr>
          <w:trHeight w:val="810"/>
        </w:trPr>
        <w:tc>
          <w:tcPr>
            <w:tcW w:w="3420" w:type="dxa"/>
            <w:vAlign w:val="bottom"/>
          </w:tcPr>
          <w:p>
            <w:pPr>
              <w:spacing w:after="0"/>
              <w:rPr>
                <w:sz w:val="24"/>
                <w:szCs w:val="24"/>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02"/>
        </w:trPr>
        <w:tc>
          <w:tcPr>
            <w:tcW w:w="34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Efficiency Ratio</w:t>
      </w: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38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0"/>
                <w:szCs w:val="10"/>
                <w:color w:val="auto"/>
              </w:rPr>
            </w:pPr>
          </w:p>
        </w:tc>
      </w:tr>
      <w:tr>
        <w:trPr>
          <w:trHeight w:val="171"/>
        </w:trPr>
        <w:tc>
          <w:tcPr>
            <w:tcW w:w="380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r>
      <w:tr>
        <w:trPr>
          <w:trHeight w:val="183"/>
        </w:trPr>
        <w:tc>
          <w:tcPr>
            <w:tcW w:w="38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income</w:t>
            </w: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68,383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60,503</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59,757</w:t>
            </w:r>
          </w:p>
        </w:tc>
        <w:tc>
          <w:tcPr>
            <w:tcW w:w="260" w:type="dxa"/>
            <w:vAlign w:val="bottom"/>
            <w:shd w:val="clear" w:color="auto" w:fill="CCEEFF"/>
          </w:tcPr>
          <w:p>
            <w:pPr>
              <w:spacing w:after="0"/>
              <w:rPr>
                <w:sz w:val="15"/>
                <w:szCs w:val="15"/>
                <w:color w:val="auto"/>
              </w:rPr>
            </w:pPr>
          </w:p>
        </w:tc>
      </w:tr>
      <w:tr>
        <w:trPr>
          <w:trHeight w:val="189"/>
        </w:trPr>
        <w:tc>
          <w:tcPr>
            <w:tcW w:w="380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Tax-equivalent adjustment</w:t>
            </w:r>
          </w:p>
        </w:tc>
        <w:tc>
          <w:tcPr>
            <w:tcW w:w="1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677</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545</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578</w:t>
            </w:r>
          </w:p>
        </w:tc>
        <w:tc>
          <w:tcPr>
            <w:tcW w:w="260" w:type="dxa"/>
            <w:vAlign w:val="bottom"/>
            <w:tcBorders>
              <w:bottom w:val="single" w:sz="8" w:color="CCEEFF"/>
            </w:tcBorders>
          </w:tcPr>
          <w:p>
            <w:pPr>
              <w:spacing w:after="0"/>
              <w:rPr>
                <w:sz w:val="16"/>
                <w:szCs w:val="16"/>
                <w:color w:val="auto"/>
              </w:rPr>
            </w:pPr>
          </w:p>
        </w:tc>
      </w:tr>
      <w:tr>
        <w:trPr>
          <w:trHeight w:val="190"/>
        </w:trPr>
        <w:tc>
          <w:tcPr>
            <w:tcW w:w="38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Tax equivalent interest income</w:t>
            </w:r>
          </w:p>
        </w:tc>
        <w:tc>
          <w:tcPr>
            <w:tcW w:w="1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69,060</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61,048</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60,335</w:t>
            </w:r>
          </w:p>
        </w:tc>
        <w:tc>
          <w:tcPr>
            <w:tcW w:w="260" w:type="dxa"/>
            <w:vAlign w:val="bottom"/>
            <w:tcBorders>
              <w:bottom w:val="single" w:sz="8" w:color="CCEEFF"/>
            </w:tcBorders>
            <w:shd w:val="clear" w:color="auto" w:fill="CCEEFF"/>
          </w:tcPr>
          <w:p>
            <w:pPr>
              <w:spacing w:after="0"/>
              <w:rPr>
                <w:sz w:val="16"/>
                <w:szCs w:val="16"/>
                <w:color w:val="auto"/>
              </w:rPr>
            </w:pPr>
          </w:p>
        </w:tc>
      </w:tr>
      <w:tr>
        <w:trPr>
          <w:trHeight w:val="189"/>
        </w:trPr>
        <w:tc>
          <w:tcPr>
            <w:tcW w:w="3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38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Non-interest income</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25,945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22,852</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22,486</w:t>
            </w:r>
          </w:p>
        </w:tc>
        <w:tc>
          <w:tcPr>
            <w:tcW w:w="260" w:type="dxa"/>
            <w:vAlign w:val="bottom"/>
            <w:shd w:val="clear" w:color="auto" w:fill="CCEEFF"/>
          </w:tcPr>
          <w:p>
            <w:pPr>
              <w:spacing w:after="0"/>
              <w:rPr>
                <w:sz w:val="16"/>
                <w:szCs w:val="16"/>
                <w:color w:val="auto"/>
              </w:rPr>
            </w:pPr>
          </w:p>
        </w:tc>
      </w:tr>
      <w:tr>
        <w:trPr>
          <w:trHeight w:val="189"/>
        </w:trPr>
        <w:tc>
          <w:tcPr>
            <w:tcW w:w="3800" w:type="dxa"/>
            <w:vAlign w:val="bottom"/>
          </w:tcPr>
          <w:p>
            <w:pPr>
              <w:ind w:left="120"/>
              <w:spacing w:after="0" w:line="189" w:lineRule="exact"/>
              <w:rPr>
                <w:sz w:val="20"/>
                <w:szCs w:val="20"/>
                <w:color w:val="auto"/>
              </w:rPr>
            </w:pPr>
            <w:r>
              <w:rPr>
                <w:rFonts w:ascii="Arial" w:cs="Arial" w:eastAsia="Arial" w:hAnsi="Arial"/>
                <w:sz w:val="18"/>
                <w:szCs w:val="18"/>
                <w:color w:val="auto"/>
              </w:rPr>
              <w:t>Security gains, net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(171)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w:t>
            </w:r>
          </w:p>
        </w:tc>
      </w:tr>
      <w:tr>
        <w:trPr>
          <w:trHeight w:val="190"/>
        </w:trPr>
        <w:tc>
          <w:tcPr>
            <w:tcW w:w="38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Non-interest income</w:t>
            </w: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25,903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22,681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22,486</w:t>
            </w: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3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38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Non-interest expense</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57,163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48,769</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51,040</w:t>
            </w:r>
          </w:p>
        </w:tc>
        <w:tc>
          <w:tcPr>
            <w:tcW w:w="260" w:type="dxa"/>
            <w:vAlign w:val="bottom"/>
            <w:shd w:val="clear" w:color="auto" w:fill="CCEEFF"/>
          </w:tcPr>
          <w:p>
            <w:pPr>
              <w:spacing w:after="0"/>
              <w:rPr>
                <w:sz w:val="16"/>
                <w:szCs w:val="16"/>
                <w:color w:val="auto"/>
              </w:rPr>
            </w:pPr>
          </w:p>
        </w:tc>
      </w:tr>
      <w:tr>
        <w:trPr>
          <w:trHeight w:val="189"/>
        </w:trPr>
        <w:tc>
          <w:tcPr>
            <w:tcW w:w="3800" w:type="dxa"/>
            <w:vAlign w:val="bottom"/>
          </w:tcPr>
          <w:p>
            <w:pPr>
              <w:ind w:left="220"/>
              <w:spacing w:after="0" w:line="189" w:lineRule="exact"/>
              <w:rPr>
                <w:sz w:val="20"/>
                <w:szCs w:val="20"/>
                <w:color w:val="auto"/>
              </w:rPr>
            </w:pPr>
            <w:r>
              <w:rPr>
                <w:rFonts w:ascii="Arial" w:cs="Arial" w:eastAsia="Arial" w:hAnsi="Arial"/>
                <w:sz w:val="18"/>
                <w:szCs w:val="18"/>
                <w:color w:val="auto"/>
              </w:rPr>
              <w:t>Amortization of intangible assets</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(2,094)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(1,404)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(1,515)</w:t>
            </w:r>
          </w:p>
        </w:tc>
      </w:tr>
      <w:tr>
        <w:trPr>
          <w:trHeight w:val="189"/>
        </w:trPr>
        <w:tc>
          <w:tcPr>
            <w:tcW w:w="38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Non-operating adjustments:</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3800" w:type="dxa"/>
            <w:vAlign w:val="bottom"/>
          </w:tcPr>
          <w:p>
            <w:pPr>
              <w:ind w:left="320"/>
              <w:spacing w:after="0" w:line="189" w:lineRule="exact"/>
              <w:rPr>
                <w:sz w:val="20"/>
                <w:szCs w:val="20"/>
                <w:color w:val="auto"/>
              </w:rPr>
            </w:pPr>
            <w:r>
              <w:rPr>
                <w:rFonts w:ascii="Arial" w:cs="Arial" w:eastAsia="Arial" w:hAnsi="Arial"/>
                <w:sz w:val="18"/>
                <w:szCs w:val="18"/>
                <w:color w:val="auto"/>
              </w:rPr>
              <w:t>Salaries, wages, and employee benefits</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(640)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(1,650)</w:t>
            </w:r>
          </w:p>
        </w:tc>
      </w:tr>
      <w:tr>
        <w:trPr>
          <w:trHeight w:val="189"/>
        </w:trPr>
        <w:tc>
          <w:tcPr>
            <w:tcW w:w="380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Data processing</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(372)</w:t>
            </w:r>
          </w:p>
        </w:tc>
      </w:tr>
      <w:tr>
        <w:trPr>
          <w:trHeight w:val="189"/>
        </w:trPr>
        <w:tc>
          <w:tcPr>
            <w:tcW w:w="3800" w:type="dxa"/>
            <w:vAlign w:val="bottom"/>
          </w:tcPr>
          <w:p>
            <w:pPr>
              <w:ind w:left="320"/>
              <w:spacing w:after="0" w:line="189" w:lineRule="exact"/>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(1,372)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(262)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(1,505)</w:t>
            </w:r>
          </w:p>
        </w:tc>
      </w:tr>
      <w:tr>
        <w:trPr>
          <w:trHeight w:val="190"/>
        </w:trPr>
        <w:tc>
          <w:tcPr>
            <w:tcW w:w="38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Non-interest expense</w:t>
            </w: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53,590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46,463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45,998</w:t>
            </w: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3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38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Efficiency ratio</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57.99 %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56.57 %</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59.66 %</w:t>
            </w: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Efficiency ratio</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56.43 %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55.49 %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55.41 %</w:t>
            </w:r>
          </w:p>
        </w:tc>
      </w:tr>
      <w:tr>
        <w:trPr>
          <w:trHeight w:val="765"/>
        </w:trPr>
        <w:tc>
          <w:tcPr>
            <w:tcW w:w="380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02"/>
        </w:trPr>
        <w:tc>
          <w:tcPr>
            <w:tcW w:w="38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Reconciliation of Non-GAAP Financial Measures — Tangible common equity to tangible assets, Tangible book value per</w:t>
      </w:r>
    </w:p>
    <w:p>
      <w:pPr>
        <w:jc w:val="center"/>
        <w:spacing w:after="0" w:line="212" w:lineRule="auto"/>
        <w:rPr>
          <w:sz w:val="20"/>
          <w:szCs w:val="20"/>
          <w:color w:val="auto"/>
        </w:rPr>
      </w:pPr>
      <w:r>
        <w:rPr>
          <w:rFonts w:ascii="Arial" w:cs="Arial" w:eastAsia="Arial" w:hAnsi="Arial"/>
          <w:sz w:val="18"/>
          <w:szCs w:val="18"/>
          <w:u w:val="single" w:color="auto"/>
          <w:color w:val="auto"/>
        </w:rPr>
        <w:t>share, Return on average tangible common equity</w:t>
      </w:r>
    </w:p>
    <w:p>
      <w:pPr>
        <w:jc w:val="center"/>
        <w:spacing w:after="0"/>
        <w:rPr>
          <w:sz w:val="20"/>
          <w:szCs w:val="20"/>
          <w:color w:val="auto"/>
        </w:rPr>
      </w:pPr>
      <w:r>
        <w:rPr>
          <w:rFonts w:ascii="Arial" w:cs="Arial" w:eastAsia="Arial" w:hAnsi="Arial"/>
          <w:sz w:val="18"/>
          <w:szCs w:val="18"/>
          <w:i w:val="1"/>
          <w:iCs w:val="1"/>
          <w:color w:val="auto"/>
        </w:rPr>
        <w:t>(dollars in thousands)</w:t>
      </w:r>
    </w:p>
    <w:p>
      <w:pPr>
        <w:sectPr>
          <w:pgSz w:w="11900" w:h="16838" w:orient="portrait"/>
          <w:cols w:equalWidth="0" w:num="1">
            <w:col w:w="9060"/>
          </w:cols>
          <w:pgMar w:left="1420" w:top="112"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ind w:left="120" w:right="1080"/>
        <w:spacing w:after="0" w:line="263" w:lineRule="auto"/>
        <w:rPr>
          <w:sz w:val="20"/>
          <w:szCs w:val="20"/>
          <w:color w:val="auto"/>
        </w:rPr>
      </w:pPr>
      <w:r>
        <w:rPr>
          <w:rFonts w:ascii="Arial" w:cs="Arial" w:eastAsia="Arial" w:hAnsi="Arial"/>
          <w:sz w:val="16"/>
          <w:szCs w:val="16"/>
          <w:color w:val="auto"/>
        </w:rPr>
        <w:t>Goodwill and other intangible assets, net Tax effect of other intangible assets, net</w:t>
      </w:r>
    </w:p>
    <w:p>
      <w:pPr>
        <w:spacing w:after="0"/>
        <w:rPr>
          <w:sz w:val="20"/>
          <w:szCs w:val="20"/>
          <w:color w:val="auto"/>
        </w:rPr>
      </w:pPr>
      <w:r>
        <w:rPr>
          <w:rFonts w:ascii="Arial" w:cs="Arial" w:eastAsia="Arial" w:hAnsi="Arial"/>
          <w:sz w:val="18"/>
          <w:szCs w:val="18"/>
          <w:color w:val="auto"/>
        </w:rPr>
        <w:t>Tangible assets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stockholders’ equity</w:t>
      </w:r>
    </w:p>
    <w:p>
      <w:pPr>
        <w:ind w:left="120" w:right="1080"/>
        <w:spacing w:after="0" w:line="263" w:lineRule="auto"/>
        <w:rPr>
          <w:sz w:val="20"/>
          <w:szCs w:val="20"/>
          <w:color w:val="auto"/>
        </w:rPr>
      </w:pPr>
      <w:r>
        <w:rPr>
          <w:rFonts w:ascii="Arial" w:cs="Arial" w:eastAsia="Arial" w:hAnsi="Arial"/>
          <w:sz w:val="16"/>
          <w:szCs w:val="16"/>
          <w:color w:val="auto"/>
        </w:rPr>
        <w:t>Goodwill and other intangible assets, net Tax effect of other intangible assets, net</w:t>
      </w:r>
    </w:p>
    <w:p>
      <w:pPr>
        <w:spacing w:after="0"/>
        <w:rPr>
          <w:sz w:val="20"/>
          <w:szCs w:val="20"/>
          <w:color w:val="auto"/>
        </w:rPr>
      </w:pPr>
      <w:r>
        <w:rPr>
          <w:rFonts w:ascii="Arial" w:cs="Arial" w:eastAsia="Arial" w:hAnsi="Arial"/>
          <w:sz w:val="18"/>
          <w:szCs w:val="18"/>
          <w:color w:val="auto"/>
        </w:rPr>
        <w:t>Tangible common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Tangible common equity to tangible assets</w:t>
      </w:r>
      <w:r>
        <w:rPr>
          <w:rFonts w:ascii="Arial" w:cs="Arial" w:eastAsia="Arial" w:hAnsi="Arial"/>
          <w:sz w:val="8"/>
          <w:szCs w:val="8"/>
          <w:b w:val="1"/>
          <w:bCs w:val="1"/>
          <w:color w:val="auto"/>
        </w:rPr>
        <w:t>(1)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Tangible book value per share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Average stockholders’ common equity</w:t>
      </w:r>
    </w:p>
    <w:p>
      <w:pPr>
        <w:spacing w:after="0"/>
        <w:rPr>
          <w:sz w:val="20"/>
          <w:szCs w:val="20"/>
          <w:color w:val="auto"/>
        </w:rPr>
      </w:pPr>
      <w:r>
        <w:rPr>
          <w:rFonts w:ascii="Arial" w:cs="Arial" w:eastAsia="Arial" w:hAnsi="Arial"/>
          <w:sz w:val="18"/>
          <w:szCs w:val="18"/>
          <w:color w:val="auto"/>
        </w:rPr>
        <w:t>Average goodwill and other intangible assets, net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Average tangible stockholders’ common equity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Return on average tangible common equity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Return on average tangible common equity</w:t>
      </w:r>
      <w:r>
        <w:rPr>
          <w:rFonts w:ascii="Arial" w:cs="Arial" w:eastAsia="Arial" w:hAnsi="Arial"/>
          <w:sz w:val="7"/>
          <w:szCs w:val="7"/>
          <w:color w:val="auto"/>
        </w:rPr>
        <w:t>(2)</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392"/>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332"/>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372"/>
              <w:spacing w:after="0" w:line="119" w:lineRule="exact"/>
              <w:rPr>
                <w:sz w:val="20"/>
                <w:szCs w:val="20"/>
                <w:color w:val="auto"/>
              </w:rPr>
            </w:pPr>
            <w:r>
              <w:rPr>
                <w:rFonts w:ascii="Arial" w:cs="Arial" w:eastAsia="Arial" w:hAnsi="Arial"/>
                <w:sz w:val="13"/>
                <w:szCs w:val="13"/>
                <w:b w:val="1"/>
                <w:bCs w:val="1"/>
                <w:color w:val="auto"/>
              </w:rPr>
              <w:t>March 31,</w:t>
            </w:r>
          </w:p>
        </w:tc>
      </w:tr>
      <w:tr>
        <w:trPr>
          <w:trHeight w:val="171"/>
        </w:trPr>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344"/>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9,537,334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7,702,357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7,778,746</w:t>
            </w:r>
          </w:p>
        </w:tc>
      </w:tr>
      <w:tr>
        <w:trPr>
          <w:trHeight w:val="189"/>
        </w:trPr>
        <w:tc>
          <w:tcPr>
            <w:tcW w:w="160" w:type="dxa"/>
            <w:vAlign w:val="bottom"/>
          </w:tcPr>
          <w:p>
            <w:pPr>
              <w:spacing w:after="0"/>
              <w:rPr>
                <w:sz w:val="16"/>
                <w:szCs w:val="16"/>
                <w:color w:val="auto"/>
              </w:rPr>
            </w:pPr>
          </w:p>
        </w:tc>
        <w:tc>
          <w:tcPr>
            <w:tcW w:w="1180" w:type="dxa"/>
            <w:vAlign w:val="bottom"/>
          </w:tcPr>
          <w:p>
            <w:pPr>
              <w:jc w:val="right"/>
              <w:ind w:right="132"/>
              <w:spacing w:after="0" w:line="189" w:lineRule="exact"/>
              <w:rPr>
                <w:sz w:val="20"/>
                <w:szCs w:val="20"/>
                <w:color w:val="auto"/>
              </w:rPr>
            </w:pPr>
            <w:r>
              <w:rPr>
                <w:rFonts w:ascii="Arial" w:cs="Arial" w:eastAsia="Arial" w:hAnsi="Arial"/>
                <w:sz w:val="18"/>
                <w:szCs w:val="18"/>
                <w:color w:val="auto"/>
              </w:rPr>
              <w:t>(377,739)</w:t>
            </w:r>
          </w:p>
        </w:tc>
        <w:tc>
          <w:tcPr>
            <w:tcW w:w="180" w:type="dxa"/>
            <w:vAlign w:val="bottom"/>
          </w:tcPr>
          <w:p>
            <w:pPr>
              <w:spacing w:after="0"/>
              <w:rPr>
                <w:sz w:val="16"/>
                <w:szCs w:val="16"/>
                <w:color w:val="auto"/>
              </w:rPr>
            </w:pPr>
          </w:p>
        </w:tc>
        <w:tc>
          <w:tcPr>
            <w:tcW w:w="1300" w:type="dxa"/>
            <w:vAlign w:val="bottom"/>
          </w:tcPr>
          <w:p>
            <w:pPr>
              <w:jc w:val="right"/>
              <w:ind w:right="132"/>
              <w:spacing w:after="0" w:line="189" w:lineRule="exact"/>
              <w:rPr>
                <w:sz w:val="20"/>
                <w:szCs w:val="20"/>
                <w:color w:val="auto"/>
              </w:rPr>
            </w:pPr>
            <w:r>
              <w:rPr>
                <w:rFonts w:ascii="Arial" w:cs="Arial" w:eastAsia="Arial" w:hAnsi="Arial"/>
                <w:sz w:val="18"/>
                <w:szCs w:val="18"/>
                <w:color w:val="auto"/>
              </w:rPr>
              <w:t>(300,558)</w:t>
            </w:r>
          </w:p>
        </w:tc>
        <w:tc>
          <w:tcPr>
            <w:tcW w:w="220" w:type="dxa"/>
            <w:vAlign w:val="bottom"/>
          </w:tcPr>
          <w:p>
            <w:pPr>
              <w:spacing w:after="0"/>
              <w:rPr>
                <w:sz w:val="16"/>
                <w:szCs w:val="16"/>
                <w:color w:val="auto"/>
              </w:rPr>
            </w:pPr>
          </w:p>
        </w:tc>
        <w:tc>
          <w:tcPr>
            <w:tcW w:w="1160" w:type="dxa"/>
            <w:vAlign w:val="bottom"/>
          </w:tcPr>
          <w:p>
            <w:pPr>
              <w:jc w:val="right"/>
              <w:ind w:right="132"/>
              <w:spacing w:after="0" w:line="189" w:lineRule="exact"/>
              <w:rPr>
                <w:sz w:val="20"/>
                <w:szCs w:val="20"/>
                <w:color w:val="auto"/>
              </w:rPr>
            </w:pPr>
            <w:r>
              <w:rPr>
                <w:rFonts w:ascii="Arial" w:cs="Arial" w:eastAsia="Arial" w:hAnsi="Arial"/>
                <w:sz w:val="18"/>
                <w:szCs w:val="18"/>
                <w:color w:val="auto"/>
              </w:rPr>
              <w:t>(304,897)</w:t>
            </w:r>
          </w:p>
        </w:tc>
      </w:tr>
      <w:tr>
        <w:trPr>
          <w:trHeight w:val="217"/>
        </w:trPr>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17,751</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8,547</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9,675</w:t>
            </w:r>
          </w:p>
        </w:tc>
      </w:tr>
      <w:tr>
        <w:trPr>
          <w:trHeight w:val="190"/>
        </w:trPr>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72"/>
              <w:spacing w:after="0" w:line="182" w:lineRule="exact"/>
              <w:rPr>
                <w:sz w:val="20"/>
                <w:szCs w:val="20"/>
                <w:color w:val="auto"/>
              </w:rPr>
            </w:pPr>
            <w:r>
              <w:rPr>
                <w:rFonts w:ascii="Arial" w:cs="Arial" w:eastAsia="Arial" w:hAnsi="Arial"/>
                <w:sz w:val="18"/>
                <w:szCs w:val="18"/>
                <w:color w:val="auto"/>
              </w:rPr>
              <w:t>9,177,346</w:t>
            </w: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92"/>
              <w:spacing w:after="0" w:line="182" w:lineRule="exact"/>
              <w:rPr>
                <w:sz w:val="20"/>
                <w:szCs w:val="20"/>
                <w:color w:val="auto"/>
              </w:rPr>
            </w:pPr>
            <w:r>
              <w:rPr>
                <w:rFonts w:ascii="Arial" w:cs="Arial" w:eastAsia="Arial" w:hAnsi="Arial"/>
                <w:sz w:val="18"/>
                <w:szCs w:val="18"/>
                <w:color w:val="auto"/>
              </w:rPr>
              <w:t>7,410,346</w:t>
            </w:r>
          </w:p>
        </w:tc>
        <w:tc>
          <w:tcPr>
            <w:tcW w:w="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2"/>
              <w:spacing w:after="0" w:line="182" w:lineRule="exact"/>
              <w:rPr>
                <w:sz w:val="20"/>
                <w:szCs w:val="20"/>
                <w:color w:val="auto"/>
              </w:rPr>
            </w:pPr>
            <w:r>
              <w:rPr>
                <w:rFonts w:ascii="Arial" w:cs="Arial" w:eastAsia="Arial" w:hAnsi="Arial"/>
                <w:sz w:val="18"/>
                <w:szCs w:val="18"/>
                <w:color w:val="auto"/>
              </w:rPr>
              <w:t>7,483,524</w:t>
            </w:r>
          </w:p>
        </w:tc>
      </w:tr>
      <w:tr>
        <w:trPr>
          <w:trHeight w:val="350"/>
        </w:trPr>
        <w:tc>
          <w:tcPr>
            <w:tcW w:w="160" w:type="dxa"/>
            <w:vAlign w:val="bottom"/>
          </w:tcPr>
          <w:p>
            <w:pPr>
              <w:spacing w:after="0"/>
              <w:rPr>
                <w:sz w:val="24"/>
                <w:szCs w:val="24"/>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1,186,141</w:t>
            </w:r>
          </w:p>
        </w:tc>
        <w:tc>
          <w:tcPr>
            <w:tcW w:w="180" w:type="dxa"/>
            <w:vAlign w:val="bottom"/>
          </w:tcPr>
          <w:p>
            <w:pPr>
              <w:spacing w:after="0"/>
              <w:rPr>
                <w:sz w:val="24"/>
                <w:szCs w:val="24"/>
                <w:color w:val="auto"/>
              </w:rPr>
            </w:pP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994,964</w:t>
            </w:r>
          </w:p>
        </w:tc>
        <w:tc>
          <w:tcPr>
            <w:tcW w:w="22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942,146</w:t>
            </w:r>
          </w:p>
        </w:tc>
      </w:tr>
      <w:tr>
        <w:trPr>
          <w:trHeight w:val="189"/>
        </w:trPr>
        <w:tc>
          <w:tcPr>
            <w:tcW w:w="160" w:type="dxa"/>
            <w:vAlign w:val="bottom"/>
          </w:tcPr>
          <w:p>
            <w:pPr>
              <w:spacing w:after="0"/>
              <w:rPr>
                <w:sz w:val="16"/>
                <w:szCs w:val="16"/>
                <w:color w:val="auto"/>
              </w:rPr>
            </w:pPr>
          </w:p>
        </w:tc>
        <w:tc>
          <w:tcPr>
            <w:tcW w:w="1180" w:type="dxa"/>
            <w:vAlign w:val="bottom"/>
          </w:tcPr>
          <w:p>
            <w:pPr>
              <w:jc w:val="right"/>
              <w:ind w:right="132"/>
              <w:spacing w:after="0" w:line="189" w:lineRule="exact"/>
              <w:rPr>
                <w:sz w:val="20"/>
                <w:szCs w:val="20"/>
                <w:color w:val="auto"/>
              </w:rPr>
            </w:pPr>
            <w:r>
              <w:rPr>
                <w:rFonts w:ascii="Arial" w:cs="Arial" w:eastAsia="Arial" w:hAnsi="Arial"/>
                <w:sz w:val="18"/>
                <w:szCs w:val="18"/>
                <w:color w:val="auto"/>
              </w:rPr>
              <w:t>(377,739)</w:t>
            </w:r>
          </w:p>
        </w:tc>
        <w:tc>
          <w:tcPr>
            <w:tcW w:w="180" w:type="dxa"/>
            <w:vAlign w:val="bottom"/>
          </w:tcPr>
          <w:p>
            <w:pPr>
              <w:spacing w:after="0"/>
              <w:rPr>
                <w:sz w:val="16"/>
                <w:szCs w:val="16"/>
                <w:color w:val="auto"/>
              </w:rPr>
            </w:pPr>
          </w:p>
        </w:tc>
        <w:tc>
          <w:tcPr>
            <w:tcW w:w="1300" w:type="dxa"/>
            <w:vAlign w:val="bottom"/>
          </w:tcPr>
          <w:p>
            <w:pPr>
              <w:jc w:val="right"/>
              <w:ind w:right="132"/>
              <w:spacing w:after="0" w:line="189" w:lineRule="exact"/>
              <w:rPr>
                <w:sz w:val="20"/>
                <w:szCs w:val="20"/>
                <w:color w:val="auto"/>
              </w:rPr>
            </w:pPr>
            <w:r>
              <w:rPr>
                <w:rFonts w:ascii="Arial" w:cs="Arial" w:eastAsia="Arial" w:hAnsi="Arial"/>
                <w:sz w:val="18"/>
                <w:szCs w:val="18"/>
                <w:color w:val="auto"/>
              </w:rPr>
              <w:t>(300,558)</w:t>
            </w:r>
          </w:p>
        </w:tc>
        <w:tc>
          <w:tcPr>
            <w:tcW w:w="220" w:type="dxa"/>
            <w:vAlign w:val="bottom"/>
          </w:tcPr>
          <w:p>
            <w:pPr>
              <w:spacing w:after="0"/>
              <w:rPr>
                <w:sz w:val="16"/>
                <w:szCs w:val="16"/>
                <w:color w:val="auto"/>
              </w:rPr>
            </w:pPr>
          </w:p>
        </w:tc>
        <w:tc>
          <w:tcPr>
            <w:tcW w:w="1160" w:type="dxa"/>
            <w:vAlign w:val="bottom"/>
          </w:tcPr>
          <w:p>
            <w:pPr>
              <w:jc w:val="right"/>
              <w:ind w:right="132"/>
              <w:spacing w:after="0" w:line="189" w:lineRule="exact"/>
              <w:rPr>
                <w:sz w:val="20"/>
                <w:szCs w:val="20"/>
                <w:color w:val="auto"/>
              </w:rPr>
            </w:pPr>
            <w:r>
              <w:rPr>
                <w:rFonts w:ascii="Arial" w:cs="Arial" w:eastAsia="Arial" w:hAnsi="Arial"/>
                <w:sz w:val="18"/>
                <w:szCs w:val="18"/>
                <w:color w:val="auto"/>
              </w:rPr>
              <w:t>(304,897)</w:t>
            </w:r>
          </w:p>
        </w:tc>
      </w:tr>
      <w:tr>
        <w:trPr>
          <w:trHeight w:val="217"/>
        </w:trPr>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17,751</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8,547</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9,675</w:t>
            </w:r>
          </w:p>
        </w:tc>
      </w:tr>
      <w:tr>
        <w:trPr>
          <w:trHeight w:val="190"/>
        </w:trPr>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72"/>
              <w:spacing w:after="0" w:line="182" w:lineRule="exact"/>
              <w:rPr>
                <w:sz w:val="20"/>
                <w:szCs w:val="20"/>
                <w:color w:val="auto"/>
              </w:rPr>
            </w:pPr>
            <w:r>
              <w:rPr>
                <w:rFonts w:ascii="Arial" w:cs="Arial" w:eastAsia="Arial" w:hAnsi="Arial"/>
                <w:sz w:val="18"/>
                <w:szCs w:val="18"/>
                <w:color w:val="auto"/>
              </w:rPr>
              <w:t>826,153</w:t>
            </w: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92"/>
              <w:spacing w:after="0" w:line="182" w:lineRule="exact"/>
              <w:rPr>
                <w:sz w:val="20"/>
                <w:szCs w:val="20"/>
                <w:color w:val="auto"/>
              </w:rPr>
            </w:pPr>
            <w:r>
              <w:rPr>
                <w:rFonts w:ascii="Arial" w:cs="Arial" w:eastAsia="Arial" w:hAnsi="Arial"/>
                <w:sz w:val="18"/>
                <w:szCs w:val="18"/>
                <w:color w:val="auto"/>
              </w:rPr>
              <w:t>702,953</w:t>
            </w:r>
          </w:p>
        </w:tc>
        <w:tc>
          <w:tcPr>
            <w:tcW w:w="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2"/>
              <w:spacing w:after="0" w:line="182" w:lineRule="exact"/>
              <w:rPr>
                <w:sz w:val="20"/>
                <w:szCs w:val="20"/>
                <w:color w:val="auto"/>
              </w:rPr>
            </w:pPr>
            <w:r>
              <w:rPr>
                <w:rFonts w:ascii="Arial" w:cs="Arial" w:eastAsia="Arial" w:hAnsi="Arial"/>
                <w:sz w:val="18"/>
                <w:szCs w:val="18"/>
                <w:color w:val="auto"/>
              </w:rPr>
              <w:t>646,924</w:t>
            </w:r>
          </w:p>
        </w:tc>
      </w:tr>
      <w:tr>
        <w:trPr>
          <w:trHeight w:val="350"/>
        </w:trPr>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9.00 %</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9.49 %</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8.64 %</w:t>
            </w:r>
          </w:p>
        </w:tc>
      </w:tr>
      <w:tr>
        <w:trPr>
          <w:trHeight w:val="230"/>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14.53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14.21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13.09</w:t>
            </w:r>
          </w:p>
        </w:tc>
      </w:tr>
      <w:tr>
        <w:trPr>
          <w:trHeight w:val="337"/>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1,109,872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979,502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933,762</w:t>
            </w:r>
          </w:p>
        </w:tc>
      </w:tr>
      <w:tr>
        <w:trPr>
          <w:trHeight w:val="217"/>
        </w:trPr>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(352,587)</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(301,479)</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(306,968)</w:t>
            </w:r>
          </w:p>
        </w:tc>
      </w:tr>
      <w:tr>
        <w:trPr>
          <w:trHeight w:val="190"/>
        </w:trPr>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72"/>
              <w:spacing w:after="0" w:line="182" w:lineRule="exact"/>
              <w:rPr>
                <w:sz w:val="20"/>
                <w:szCs w:val="20"/>
                <w:color w:val="auto"/>
              </w:rPr>
            </w:pPr>
            <w:r>
              <w:rPr>
                <w:rFonts w:ascii="Arial" w:cs="Arial" w:eastAsia="Arial" w:hAnsi="Arial"/>
                <w:sz w:val="18"/>
                <w:szCs w:val="18"/>
                <w:color w:val="auto"/>
              </w:rPr>
              <w:t>757,285</w:t>
            </w: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92"/>
              <w:spacing w:after="0" w:line="182" w:lineRule="exact"/>
              <w:rPr>
                <w:sz w:val="20"/>
                <w:szCs w:val="20"/>
                <w:color w:val="auto"/>
              </w:rPr>
            </w:pPr>
            <w:r>
              <w:rPr>
                <w:rFonts w:ascii="Arial" w:cs="Arial" w:eastAsia="Arial" w:hAnsi="Arial"/>
                <w:sz w:val="18"/>
                <w:szCs w:val="18"/>
                <w:color w:val="auto"/>
              </w:rPr>
              <w:t>678,023</w:t>
            </w:r>
          </w:p>
        </w:tc>
        <w:tc>
          <w:tcPr>
            <w:tcW w:w="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2"/>
              <w:spacing w:after="0" w:line="182" w:lineRule="exact"/>
              <w:rPr>
                <w:sz w:val="20"/>
                <w:szCs w:val="20"/>
                <w:color w:val="auto"/>
              </w:rPr>
            </w:pPr>
            <w:r>
              <w:rPr>
                <w:rFonts w:ascii="Arial" w:cs="Arial" w:eastAsia="Arial" w:hAnsi="Arial"/>
                <w:sz w:val="18"/>
                <w:szCs w:val="18"/>
                <w:color w:val="auto"/>
              </w:rPr>
              <w:t>626,794</w:t>
            </w:r>
          </w:p>
        </w:tc>
      </w:tr>
      <w:tr>
        <w:trPr>
          <w:trHeight w:val="350"/>
        </w:trPr>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13.64 %</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14.80 %</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14.18 %</w:t>
            </w:r>
          </w:p>
        </w:tc>
      </w:tr>
      <w:tr>
        <w:trPr>
          <w:trHeight w:val="230"/>
        </w:trPr>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14.25 %</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15.19 %</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-2366010</wp:posOffset>
            </wp:positionV>
            <wp:extent cx="575437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12001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-2125980</wp:posOffset>
            </wp:positionV>
            <wp:extent cx="5754370"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12001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-1868805</wp:posOffset>
            </wp:positionV>
            <wp:extent cx="575437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12890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-1619885</wp:posOffset>
            </wp:positionV>
            <wp:extent cx="575437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12001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-1379855</wp:posOffset>
            </wp:positionV>
            <wp:extent cx="575437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-1114425</wp:posOffset>
            </wp:positionV>
            <wp:extent cx="5754370"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12001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-874395</wp:posOffset>
            </wp:positionV>
            <wp:extent cx="5754370"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12001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-633730</wp:posOffset>
            </wp:positionV>
            <wp:extent cx="5754370"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12001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-376555</wp:posOffset>
            </wp:positionV>
            <wp:extent cx="575437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12890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-128270</wp:posOffset>
            </wp:positionV>
            <wp:extent cx="5754370"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line="849" w:lineRule="exact"/>
        <w:rPr>
          <w:sz w:val="20"/>
          <w:szCs w:val="20"/>
          <w:color w:val="auto"/>
        </w:rPr>
      </w:pPr>
    </w:p>
    <w:p>
      <w:pPr>
        <w:sectPr>
          <w:pgSz w:w="11900" w:h="16838" w:orient="portrait"/>
          <w:cols w:equalWidth="0" w:num="2">
            <w:col w:w="4140" w:space="720"/>
            <w:col w:w="4200"/>
          </w:cols>
          <w:pgMar w:left="1420" w:top="112" w:right="1419" w:bottom="1440" w:gutter="0" w:footer="0" w:header="0"/>
          <w:type w:val="continuous"/>
        </w:sectPr>
      </w:pPr>
    </w:p>
    <w:p>
      <w:pPr>
        <w:ind w:right="200"/>
        <w:spacing w:after="0" w:line="232" w:lineRule="auto"/>
        <w:rPr>
          <w:sz w:val="20"/>
          <w:szCs w:val="20"/>
          <w:color w:val="auto"/>
        </w:rPr>
      </w:pPr>
      <w:r>
        <w:rPr>
          <w:rFonts w:ascii="Arial" w:cs="Arial" w:eastAsia="Arial" w:hAnsi="Arial"/>
          <w:sz w:val="16"/>
          <w:szCs w:val="16"/>
          <w:color w:val="auto"/>
        </w:rPr>
        <w:t>Statements made in this report,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the Company.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w:t>
      </w:r>
    </w:p>
    <w:p>
      <w:pPr>
        <w:spacing w:after="0" w:line="2" w:lineRule="exact"/>
        <w:rPr>
          <w:sz w:val="20"/>
          <w:szCs w:val="20"/>
          <w:color w:val="auto"/>
        </w:rPr>
      </w:pPr>
    </w:p>
    <w:p>
      <w:pPr>
        <w:ind w:right="180"/>
        <w:spacing w:after="0" w:line="233" w:lineRule="auto"/>
        <w:rPr>
          <w:sz w:val="20"/>
          <w:szCs w:val="20"/>
          <w:color w:val="auto"/>
        </w:rPr>
      </w:pPr>
      <w:r>
        <w:rPr>
          <w:rFonts w:ascii="Arial" w:cs="Arial" w:eastAsia="Arial" w:hAnsi="Arial"/>
          <w:sz w:val="16"/>
          <w:szCs w:val="16"/>
          <w:color w:val="auto"/>
        </w:rPr>
        <w:t>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state, national and international economy (including the impact of tariffs, a U.S. withdrawal from or significant renegotiation of trade agreements, trade wars and other changes in trade regulations); (ii) changes in state and federal laws, regulations and governmental policies concerning the Company’s general business; (iii) changes in interest rates and prepayment rates of the Company’s assets; (iv) increased competition in the financial services sector and the inability to attract new customers; (v) changes in technology and the ability to develop and maintain secure and reliable electronic systems; (vi) the loss of key executives or employees; (vii) changes in consumer spending; (viii) unexpected results of current and/or future acquisitions, which may include failure to realize the anticipated benefits of any acquisition and the possibility that transaction costs may be greater than anticipated; (ix) unexpected outcomes 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existing or new litigation involving the Company; (x) the economic impact of any future terrorist threats or attacks; (xi) the economic impact of exceptional weather occurrences such as tornadoes, hurricanes, floods, and blizzards; and (xii) changes in accounting policies and practices. These risks and uncertainties should be considered in evaluating forward-looking statements and undue reliance should not be placed on such statements. Additional information concerning the Company and its business, including additional factors that could materially affect its financial results, is included in the Company’s filings with the Securities and Exchange Commission.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w:t>
      </w:r>
    </w:p>
    <w:p>
      <w:pPr>
        <w:spacing w:after="0" w:line="125" w:lineRule="exact"/>
        <w:rPr>
          <w:sz w:val="20"/>
          <w:szCs w:val="20"/>
          <w:color w:val="auto"/>
        </w:rPr>
      </w:pPr>
    </w:p>
    <w:p>
      <w:pPr>
        <w:ind w:right="420"/>
        <w:spacing w:after="0" w:line="219" w:lineRule="auto"/>
        <w:rPr>
          <w:sz w:val="20"/>
          <w:szCs w:val="20"/>
          <w:color w:val="auto"/>
        </w:rPr>
      </w:pPr>
      <w:r>
        <w:rPr>
          <w:rFonts w:ascii="Arial" w:cs="Arial" w:eastAsia="Arial" w:hAnsi="Arial"/>
          <w:sz w:val="18"/>
          <w:szCs w:val="18"/>
          <w:color w:val="auto"/>
        </w:rPr>
        <w:t>Our significant accounting policies are described in Note 1 of the Company’s Annual Report on Form 10-K for the year ended December 31, 2018. The majority of these accounting policies do not require management to make difficult, subjective or complex judgments or estimates or the variability of the estimates is not material. However, the following policies could be deemed critical:</w:t>
      </w:r>
    </w:p>
    <w:p>
      <w:pPr>
        <w:spacing w:after="0" w:line="122"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b w:val="1"/>
          <w:bCs w:val="1"/>
          <w:i w:val="1"/>
          <w:iCs w:val="1"/>
          <w:color w:val="auto"/>
        </w:rPr>
        <w:t>Fair Value of Investment Securities</w:t>
      </w:r>
      <w:r>
        <w:rPr>
          <w:rFonts w:ascii="Arial" w:cs="Arial" w:eastAsia="Arial" w:hAnsi="Arial"/>
          <w:sz w:val="17"/>
          <w:szCs w:val="17"/>
          <w:color w:val="auto"/>
        </w:rPr>
        <w:t>. The fair values of investment securities are measurements from an independent pricing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and 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21"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Realized securities gains or losses are reported in the Consolidated Statements of Income. The cost of securities sold is based on the specific identification method. Declines in the fair value of debt securities below their amortized cost are evaluated to determine whether such declines are temporary or OTTI. If the Company (a) has the intent to sell a debt security or (b) will more-likely-than-not be required to sell the debt security before its anticipated recovery, then the Company recognizes the entire decline in fair value as an OTTI loss. If neither of these conditions are met, the Company evaluates whether a credit loss exists. The decline in fair value is separated into the amount of impairment related to the credit loss and the amount of impairment related to all other factors. The amount of the impairment related to credit loss is recognized in earnings, and the amount of impairment related to all other factors is recognized in other comprehensive income (loss).</w:t>
      </w:r>
    </w:p>
    <w:p>
      <w:pPr>
        <w:spacing w:after="0" w:line="127"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b w:val="1"/>
          <w:bCs w:val="1"/>
          <w:i w:val="1"/>
          <w:iCs w:val="1"/>
          <w:color w:val="auto"/>
        </w:rPr>
        <w:t>Fair Value of Assets Acquired and Liabilities Assumed in Business Combinations</w:t>
      </w:r>
      <w:r>
        <w:rPr>
          <w:rFonts w:ascii="Arial" w:cs="Arial" w:eastAsia="Arial" w:hAnsi="Arial"/>
          <w:sz w:val="16"/>
          <w:szCs w:val="16"/>
          <w:color w:val="auto"/>
        </w:rPr>
        <w:t>. Business combinations are accounted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using the acquisition method of accounting. Under the acquisition method of accounting, assets acquired and liabilities assumed are recorded at their estimated fair value on the date of acquisition. Fair values are determined based on the definition of “fair value” defined in FASB ASC Topic 820 — Fair Value Measurement as “the price that would be received to sell an asset or paid to transfer a liability in an orderly transaction between market participants at the measurement date.”</w:t>
      </w:r>
    </w:p>
    <w:p>
      <w:pPr>
        <w:spacing w:after="0" w:line="118"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fair value of a loan portfolio acquired in a business combination generally requires greater levels of management estimates and judgment than other assets acquired or liabilities assumed. At the date of acquisition, when loans have evidence of credit deterioration since origination and it is probable that the Company will not collect all contractually required principal and interest payments, the difference between contractually required payments and the cash flows expected to be collected at acquisition is referred to as the non-accretable difference. At each future reporting date, the Company re-estimates the expected cash flows of the loans. Subsequent decreases in the expected cash flows will generally result in a provision for loan losses. Subsequent increases in the expected cash flows will generally be offset against the allowance for loan losses to the extent an allowance has been established or will be recognized as interest income prospectively.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16"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purchase price over the fair value of net assets acquired using the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of accounting. Determining the fair value often involves estimates based on third-party valuations, such as appraisals, or internal valuations based on discounted cash flow analyses or other valuation techniques. Goodwill is not amortized, instead, the Company assess the potential for impairment on an annual basis or more frequently if events and circumstances indicate that goodwill might be impaired.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Allowance for Loan Losses. </w:t>
      </w:r>
      <w:r>
        <w:rPr>
          <w:rFonts w:ascii="Arial" w:cs="Arial" w:eastAsia="Arial" w:hAnsi="Arial"/>
          <w:sz w:val="16"/>
          <w:szCs w:val="16"/>
          <w:color w:val="auto"/>
        </w:rPr>
        <w:t>First Busey has established an allowance for loan losses which represents its estimate of the</w:t>
      </w:r>
    </w:p>
    <w:p>
      <w:pPr>
        <w:spacing w:after="0"/>
        <w:rPr>
          <w:sz w:val="20"/>
          <w:szCs w:val="20"/>
          <w:color w:val="auto"/>
        </w:rPr>
      </w:pPr>
      <w:r>
        <w:rPr>
          <w:rFonts w:ascii="Arial" w:cs="Arial" w:eastAsia="Arial" w:hAnsi="Arial"/>
          <w:sz w:val="16"/>
          <w:szCs w:val="16"/>
          <w:color w:val="auto"/>
        </w:rPr>
        <w:t>probable losses inherent in the loan portfolio as of the date of the consolidated financial statements and reduces the total</w:t>
      </w:r>
    </w:p>
    <w:p>
      <w:pPr>
        <w:spacing w:after="0" w:line="215" w:lineRule="auto"/>
        <w:rPr>
          <w:sz w:val="20"/>
          <w:szCs w:val="20"/>
          <w:color w:val="auto"/>
        </w:rPr>
      </w:pPr>
      <w:r>
        <w:rPr>
          <w:rFonts w:ascii="Arial" w:cs="Arial" w:eastAsia="Arial" w:hAnsi="Arial"/>
          <w:sz w:val="17"/>
          <w:szCs w:val="17"/>
          <w:color w:val="auto"/>
        </w:rPr>
        <w:t>loans outstanding by an estimate of uncollectible loans. Loans deemed uncollectible are charged against and reduce the</w:t>
      </w:r>
    </w:p>
    <w:p>
      <w:pPr>
        <w:spacing w:after="0" w:line="229" w:lineRule="auto"/>
        <w:rPr>
          <w:sz w:val="20"/>
          <w:szCs w:val="20"/>
          <w:color w:val="auto"/>
        </w:rPr>
      </w:pPr>
      <w:r>
        <w:rPr>
          <w:rFonts w:ascii="Arial" w:cs="Arial" w:eastAsia="Arial" w:hAnsi="Arial"/>
          <w:sz w:val="16"/>
          <w:szCs w:val="16"/>
          <w:color w:val="auto"/>
        </w:rPr>
        <w:t>allowance. A provision for loan losses is charged to current expense and acts to replenish the allowance for loan losses in</w:t>
      </w:r>
    </w:p>
    <w:p>
      <w:pPr>
        <w:spacing w:after="0" w:line="229" w:lineRule="auto"/>
        <w:rPr>
          <w:sz w:val="20"/>
          <w:szCs w:val="20"/>
          <w:color w:val="auto"/>
        </w:rPr>
      </w:pPr>
      <w:r>
        <w:rPr>
          <w:rFonts w:ascii="Arial" w:cs="Arial" w:eastAsia="Arial" w:hAnsi="Arial"/>
          <w:sz w:val="16"/>
          <w:szCs w:val="16"/>
          <w:color w:val="auto"/>
        </w:rPr>
        <w:t>order to maintain the allowance at a level that management deems adequate. Acquired loans from business combinations</w:t>
      </w:r>
    </w:p>
    <w:p>
      <w:pPr>
        <w:spacing w:after="0" w:line="229" w:lineRule="auto"/>
        <w:rPr>
          <w:sz w:val="20"/>
          <w:szCs w:val="20"/>
          <w:color w:val="auto"/>
        </w:rPr>
      </w:pPr>
      <w:r>
        <w:rPr>
          <w:rFonts w:ascii="Arial" w:cs="Arial" w:eastAsia="Arial" w:hAnsi="Arial"/>
          <w:sz w:val="16"/>
          <w:szCs w:val="16"/>
          <w:color w:val="auto"/>
        </w:rPr>
        <w:t>with uncollected principal balances are carried net of a fair value adjustment for credit and interest rates. These loans are</w:t>
      </w:r>
    </w:p>
    <w:p>
      <w:pPr>
        <w:spacing w:after="0" w:line="204" w:lineRule="auto"/>
        <w:rPr>
          <w:sz w:val="20"/>
          <w:szCs w:val="20"/>
          <w:color w:val="auto"/>
        </w:rPr>
      </w:pPr>
      <w:r>
        <w:rPr>
          <w:rFonts w:ascii="Arial" w:cs="Arial" w:eastAsia="Arial" w:hAnsi="Arial"/>
          <w:sz w:val="18"/>
          <w:szCs w:val="18"/>
          <w:color w:val="auto"/>
        </w:rPr>
        <w:t>only included in the allowance calculation to the extent that the reserve requirement exceeds the fair value</w:t>
      </w:r>
    </w:p>
    <w:p>
      <w:pPr>
        <w:spacing w:after="0" w:line="229" w:lineRule="auto"/>
        <w:rPr>
          <w:sz w:val="20"/>
          <w:szCs w:val="20"/>
          <w:color w:val="auto"/>
        </w:rPr>
      </w:pPr>
      <w:r>
        <w:rPr>
          <w:rFonts w:ascii="Arial" w:cs="Arial" w:eastAsia="Arial" w:hAnsi="Arial"/>
          <w:sz w:val="16"/>
          <w:szCs w:val="16"/>
          <w:color w:val="auto"/>
        </w:rPr>
        <w:t>adjustment. However, as the acquired loans renew, it is generally necessary to establish an allowance which represents an</w:t>
      </w:r>
    </w:p>
    <w:p>
      <w:pPr>
        <w:spacing w:after="0"/>
        <w:rPr>
          <w:sz w:val="20"/>
          <w:szCs w:val="20"/>
          <w:color w:val="auto"/>
        </w:rPr>
      </w:pPr>
      <w:r>
        <w:rPr>
          <w:rFonts w:ascii="Arial" w:cs="Arial" w:eastAsia="Arial" w:hAnsi="Arial"/>
          <w:sz w:val="18"/>
          <w:szCs w:val="18"/>
          <w:color w:val="auto"/>
        </w:rPr>
        <w:t>amount that, in management’s opinion, will be adequate to absorb probable credit losses in such loans.</w:t>
      </w:r>
    </w:p>
    <w:p>
      <w:pPr>
        <w:spacing w:after="0" w:line="128"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To determine the adequacy of the allowance for loan losses, a formal analysis is completed quarterly to assess the risk within the loan portfolio. This assessment is reviewed by the Company’s senior management.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1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allowance consists of specific and general components. The specific component considers loans that are classified as impaired. For such loans that are classified as impaired, an allowance is established when either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20"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fair value of the collateral, if the loan is collateral-dependent or based on the discounted cash flows of the loan at the loan’s effective interest rate. The amount of impairment and any subsequent changes are recorded through a charge to the provision for loan losses. For collateral dependent loans, the allowance is based upon the estimated fair value, net of selling costs, of the applicable collateral. The required allowance or actual loss on an impaired loan could differ significantly if the ultimate fair value of the collateral is significantly different from the fair value estimate.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22"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and to structure the Consolidated Balance Sheets to maximize stable net interest income in consideration of projected future changes in interest rates.</w:t>
      </w:r>
    </w:p>
    <w:p>
      <w:pPr>
        <w:spacing w:after="0" w:line="123"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market interest rates on net interest income. In these standard simulation models, the balance sheet is projected over a one-year and a two-year time horizon and net interest income is calculated under current market rates and assuming permanent instantaneous shifts of +/-100, +/-200, and +300 basis points.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12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interest rate risk of First Busey as a result of immediate and sustained changes in interest rates, expressed as a change in net interest income as a percentage of the net interest income calculated in the constant base model, was as follows:</w:t>
      </w:r>
    </w:p>
    <w:p>
      <w:pPr>
        <w:spacing w:after="0" w:line="10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Year-One: Basis Point Changes</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- 200</w:t>
            </w:r>
          </w:p>
        </w:tc>
        <w:tc>
          <w:tcPr>
            <w:tcW w:w="1080" w:type="dxa"/>
            <w:vAlign w:val="bottom"/>
            <w:tcBorders>
              <w:bottom w:val="single" w:sz="8" w:color="auto"/>
            </w:tcBorders>
          </w:tcPr>
          <w:p>
            <w:pPr>
              <w:jc w:val="right"/>
              <w:ind w:right="519"/>
              <w:spacing w:after="0" w:line="142" w:lineRule="exact"/>
              <w:rPr>
                <w:sz w:val="20"/>
                <w:szCs w:val="20"/>
                <w:color w:val="auto"/>
              </w:rPr>
            </w:pPr>
            <w:r>
              <w:rPr>
                <w:rFonts w:ascii="Arial" w:cs="Arial" w:eastAsia="Arial" w:hAnsi="Arial"/>
                <w:sz w:val="14"/>
                <w:szCs w:val="14"/>
                <w:b w:val="1"/>
                <w:bCs w:val="1"/>
                <w:color w:val="auto"/>
              </w:rPr>
              <w:t>- 100</w:t>
            </w:r>
          </w:p>
        </w:tc>
        <w:tc>
          <w:tcPr>
            <w:tcW w:w="108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+100</w:t>
            </w:r>
          </w:p>
        </w:tc>
        <w:tc>
          <w:tcPr>
            <w:tcW w:w="108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+200</w:t>
            </w:r>
          </w:p>
        </w:tc>
        <w:tc>
          <w:tcPr>
            <w:tcW w:w="100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March 31, 2019</w:t>
            </w:r>
          </w:p>
        </w:tc>
        <w:tc>
          <w:tcPr>
            <w:tcW w:w="1160" w:type="dxa"/>
            <w:vAlign w:val="bottom"/>
            <w:shd w:val="clear" w:color="auto" w:fill="CCEEFF"/>
          </w:tcPr>
          <w:p>
            <w:pPr>
              <w:jc w:val="right"/>
              <w:ind w:right="96"/>
              <w:spacing w:after="0" w:line="189" w:lineRule="exact"/>
              <w:rPr>
                <w:sz w:val="20"/>
                <w:szCs w:val="20"/>
                <w:color w:val="auto"/>
              </w:rPr>
            </w:pPr>
            <w:r>
              <w:rPr>
                <w:rFonts w:ascii="Arial" w:cs="Arial" w:eastAsia="Arial" w:hAnsi="Arial"/>
                <w:sz w:val="18"/>
                <w:szCs w:val="18"/>
                <w:color w:val="auto"/>
              </w:rPr>
              <w:t>(9.79)%</w:t>
            </w:r>
          </w:p>
        </w:tc>
        <w:tc>
          <w:tcPr>
            <w:tcW w:w="1080" w:type="dxa"/>
            <w:vAlign w:val="bottom"/>
            <w:shd w:val="clear" w:color="auto" w:fill="CCEEFF"/>
          </w:tcPr>
          <w:p>
            <w:pPr>
              <w:jc w:val="right"/>
              <w:ind w:right="99"/>
              <w:spacing w:after="0" w:line="189" w:lineRule="exact"/>
              <w:rPr>
                <w:sz w:val="20"/>
                <w:szCs w:val="20"/>
                <w:color w:val="auto"/>
              </w:rPr>
            </w:pPr>
            <w:r>
              <w:rPr>
                <w:rFonts w:ascii="Arial" w:cs="Arial" w:eastAsia="Arial" w:hAnsi="Arial"/>
                <w:sz w:val="18"/>
                <w:szCs w:val="18"/>
                <w:color w:val="auto"/>
              </w:rPr>
              <w:t>(3.26)%</w:t>
            </w:r>
          </w:p>
        </w:tc>
        <w:tc>
          <w:tcPr>
            <w:tcW w:w="1080" w:type="dxa"/>
            <w:vAlign w:val="bottom"/>
            <w:shd w:val="clear" w:color="auto" w:fill="CCEEFF"/>
          </w:tcPr>
          <w:p>
            <w:pPr>
              <w:jc w:val="right"/>
              <w:ind w:right="96"/>
              <w:spacing w:after="0" w:line="189" w:lineRule="exact"/>
              <w:rPr>
                <w:sz w:val="20"/>
                <w:szCs w:val="20"/>
                <w:color w:val="auto"/>
              </w:rPr>
            </w:pPr>
            <w:r>
              <w:rPr>
                <w:rFonts w:ascii="Arial" w:cs="Arial" w:eastAsia="Arial" w:hAnsi="Arial"/>
                <w:sz w:val="18"/>
                <w:szCs w:val="18"/>
                <w:color w:val="auto"/>
              </w:rPr>
              <w:t>0.88 %</w:t>
            </w:r>
          </w:p>
        </w:tc>
        <w:tc>
          <w:tcPr>
            <w:tcW w:w="1080" w:type="dxa"/>
            <w:vAlign w:val="bottom"/>
            <w:shd w:val="clear" w:color="auto" w:fill="CCEEFF"/>
          </w:tcPr>
          <w:p>
            <w:pPr>
              <w:jc w:val="right"/>
              <w:ind w:right="96"/>
              <w:spacing w:after="0" w:line="189" w:lineRule="exact"/>
              <w:rPr>
                <w:sz w:val="20"/>
                <w:szCs w:val="20"/>
                <w:color w:val="auto"/>
              </w:rPr>
            </w:pPr>
            <w:r>
              <w:rPr>
                <w:rFonts w:ascii="Arial" w:cs="Arial" w:eastAsia="Arial" w:hAnsi="Arial"/>
                <w:sz w:val="18"/>
                <w:szCs w:val="18"/>
                <w:color w:val="auto"/>
              </w:rPr>
              <w:t>2.09 %</w:t>
            </w:r>
          </w:p>
        </w:tc>
        <w:tc>
          <w:tcPr>
            <w:tcW w:w="1000" w:type="dxa"/>
            <w:vAlign w:val="bottom"/>
            <w:shd w:val="clear" w:color="auto" w:fill="CCEEFF"/>
          </w:tcPr>
          <w:p>
            <w:pPr>
              <w:jc w:val="right"/>
              <w:ind w:right="16"/>
              <w:spacing w:after="0" w:line="189" w:lineRule="exact"/>
              <w:rPr>
                <w:sz w:val="20"/>
                <w:szCs w:val="20"/>
                <w:color w:val="auto"/>
              </w:rPr>
            </w:pPr>
            <w:r>
              <w:rPr>
                <w:rFonts w:ascii="Arial" w:cs="Arial" w:eastAsia="Arial" w:hAnsi="Arial"/>
                <w:sz w:val="18"/>
                <w:szCs w:val="18"/>
                <w:color w:val="auto"/>
              </w:rPr>
              <w:t>3.01 %</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December 31, 2018</w:t>
            </w:r>
          </w:p>
        </w:tc>
        <w:tc>
          <w:tcPr>
            <w:tcW w:w="1160" w:type="dxa"/>
            <w:vAlign w:val="bottom"/>
            <w:shd w:val="clear" w:color="auto" w:fill="CCEEFF"/>
          </w:tcPr>
          <w:p>
            <w:pPr>
              <w:jc w:val="right"/>
              <w:ind w:right="96"/>
              <w:spacing w:after="0" w:line="189" w:lineRule="exact"/>
              <w:rPr>
                <w:sz w:val="20"/>
                <w:szCs w:val="20"/>
                <w:color w:val="auto"/>
              </w:rPr>
            </w:pPr>
            <w:r>
              <w:rPr>
                <w:rFonts w:ascii="Arial" w:cs="Arial" w:eastAsia="Arial" w:hAnsi="Arial"/>
                <w:sz w:val="18"/>
                <w:szCs w:val="18"/>
                <w:color w:val="auto"/>
              </w:rPr>
              <w:t>(9.86)%</w:t>
            </w:r>
          </w:p>
        </w:tc>
        <w:tc>
          <w:tcPr>
            <w:tcW w:w="1080" w:type="dxa"/>
            <w:vAlign w:val="bottom"/>
            <w:shd w:val="clear" w:color="auto" w:fill="CCEEFF"/>
          </w:tcPr>
          <w:p>
            <w:pPr>
              <w:jc w:val="right"/>
              <w:ind w:right="99"/>
              <w:spacing w:after="0" w:line="189" w:lineRule="exact"/>
              <w:rPr>
                <w:sz w:val="20"/>
                <w:szCs w:val="20"/>
                <w:color w:val="auto"/>
              </w:rPr>
            </w:pPr>
            <w:r>
              <w:rPr>
                <w:rFonts w:ascii="Arial" w:cs="Arial" w:eastAsia="Arial" w:hAnsi="Arial"/>
                <w:sz w:val="18"/>
                <w:szCs w:val="18"/>
                <w:color w:val="auto"/>
              </w:rPr>
              <w:t>(3.58)%</w:t>
            </w:r>
          </w:p>
        </w:tc>
        <w:tc>
          <w:tcPr>
            <w:tcW w:w="1080" w:type="dxa"/>
            <w:vAlign w:val="bottom"/>
            <w:shd w:val="clear" w:color="auto" w:fill="CCEEFF"/>
          </w:tcPr>
          <w:p>
            <w:pPr>
              <w:jc w:val="right"/>
              <w:ind w:right="96"/>
              <w:spacing w:after="0" w:line="189" w:lineRule="exact"/>
              <w:rPr>
                <w:sz w:val="20"/>
                <w:szCs w:val="20"/>
                <w:color w:val="auto"/>
              </w:rPr>
            </w:pPr>
            <w:r>
              <w:rPr>
                <w:rFonts w:ascii="Arial" w:cs="Arial" w:eastAsia="Arial" w:hAnsi="Arial"/>
                <w:sz w:val="18"/>
                <w:szCs w:val="18"/>
                <w:color w:val="auto"/>
              </w:rPr>
              <w:t>1.08 %</w:t>
            </w:r>
          </w:p>
        </w:tc>
        <w:tc>
          <w:tcPr>
            <w:tcW w:w="1080" w:type="dxa"/>
            <w:vAlign w:val="bottom"/>
            <w:shd w:val="clear" w:color="auto" w:fill="CCEEFF"/>
          </w:tcPr>
          <w:p>
            <w:pPr>
              <w:jc w:val="right"/>
              <w:ind w:right="96"/>
              <w:spacing w:after="0" w:line="189" w:lineRule="exact"/>
              <w:rPr>
                <w:sz w:val="20"/>
                <w:szCs w:val="20"/>
                <w:color w:val="auto"/>
              </w:rPr>
            </w:pPr>
            <w:r>
              <w:rPr>
                <w:rFonts w:ascii="Arial" w:cs="Arial" w:eastAsia="Arial" w:hAnsi="Arial"/>
                <w:sz w:val="18"/>
                <w:szCs w:val="18"/>
                <w:color w:val="auto"/>
              </w:rPr>
              <w:t>2.01 %</w:t>
            </w:r>
          </w:p>
        </w:tc>
        <w:tc>
          <w:tcPr>
            <w:tcW w:w="1000" w:type="dxa"/>
            <w:vAlign w:val="bottom"/>
            <w:shd w:val="clear" w:color="auto" w:fill="CCEEFF"/>
          </w:tcPr>
          <w:p>
            <w:pPr>
              <w:jc w:val="right"/>
              <w:ind w:right="16"/>
              <w:spacing w:after="0" w:line="189" w:lineRule="exact"/>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Year-Two: Basis Point Changes</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- 200</w:t>
            </w:r>
          </w:p>
        </w:tc>
        <w:tc>
          <w:tcPr>
            <w:tcW w:w="1080" w:type="dxa"/>
            <w:vAlign w:val="bottom"/>
            <w:tcBorders>
              <w:bottom w:val="single" w:sz="8" w:color="auto"/>
            </w:tcBorders>
          </w:tcPr>
          <w:p>
            <w:pPr>
              <w:jc w:val="right"/>
              <w:ind w:right="519"/>
              <w:spacing w:after="0" w:line="142" w:lineRule="exact"/>
              <w:rPr>
                <w:sz w:val="20"/>
                <w:szCs w:val="20"/>
                <w:color w:val="auto"/>
              </w:rPr>
            </w:pPr>
            <w:r>
              <w:rPr>
                <w:rFonts w:ascii="Arial" w:cs="Arial" w:eastAsia="Arial" w:hAnsi="Arial"/>
                <w:sz w:val="14"/>
                <w:szCs w:val="14"/>
                <w:b w:val="1"/>
                <w:bCs w:val="1"/>
                <w:color w:val="auto"/>
              </w:rPr>
              <w:t>- 100</w:t>
            </w:r>
          </w:p>
        </w:tc>
        <w:tc>
          <w:tcPr>
            <w:tcW w:w="108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+100</w:t>
            </w:r>
          </w:p>
        </w:tc>
        <w:tc>
          <w:tcPr>
            <w:tcW w:w="108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+200</w:t>
            </w:r>
          </w:p>
        </w:tc>
        <w:tc>
          <w:tcPr>
            <w:tcW w:w="100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March 31, 2019</w:t>
            </w:r>
          </w:p>
        </w:tc>
        <w:tc>
          <w:tcPr>
            <w:tcW w:w="1160" w:type="dxa"/>
            <w:vAlign w:val="bottom"/>
            <w:shd w:val="clear" w:color="auto" w:fill="CCEEFF"/>
          </w:tcPr>
          <w:p>
            <w:pPr>
              <w:jc w:val="right"/>
              <w:ind w:right="96"/>
              <w:spacing w:after="0" w:line="189" w:lineRule="exact"/>
              <w:rPr>
                <w:sz w:val="20"/>
                <w:szCs w:val="20"/>
                <w:color w:val="auto"/>
              </w:rPr>
            </w:pPr>
            <w:r>
              <w:rPr>
                <w:rFonts w:ascii="Arial" w:cs="Arial" w:eastAsia="Arial" w:hAnsi="Arial"/>
                <w:sz w:val="18"/>
                <w:szCs w:val="18"/>
                <w:color w:val="auto"/>
              </w:rPr>
              <w:t>(14.51)%</w:t>
            </w:r>
          </w:p>
        </w:tc>
        <w:tc>
          <w:tcPr>
            <w:tcW w:w="1080" w:type="dxa"/>
            <w:vAlign w:val="bottom"/>
            <w:shd w:val="clear" w:color="auto" w:fill="CCEEFF"/>
          </w:tcPr>
          <w:p>
            <w:pPr>
              <w:jc w:val="right"/>
              <w:ind w:right="99"/>
              <w:spacing w:after="0" w:line="189" w:lineRule="exact"/>
              <w:rPr>
                <w:sz w:val="20"/>
                <w:szCs w:val="20"/>
                <w:color w:val="auto"/>
              </w:rPr>
            </w:pPr>
            <w:r>
              <w:rPr>
                <w:rFonts w:ascii="Arial" w:cs="Arial" w:eastAsia="Arial" w:hAnsi="Arial"/>
                <w:sz w:val="18"/>
                <w:szCs w:val="18"/>
                <w:color w:val="auto"/>
              </w:rPr>
              <w:t>(5.66)%</w:t>
            </w:r>
          </w:p>
        </w:tc>
        <w:tc>
          <w:tcPr>
            <w:tcW w:w="1080" w:type="dxa"/>
            <w:vAlign w:val="bottom"/>
            <w:shd w:val="clear" w:color="auto" w:fill="CCEEFF"/>
          </w:tcPr>
          <w:p>
            <w:pPr>
              <w:jc w:val="right"/>
              <w:ind w:right="96"/>
              <w:spacing w:after="0" w:line="189" w:lineRule="exact"/>
              <w:rPr>
                <w:sz w:val="20"/>
                <w:szCs w:val="20"/>
                <w:color w:val="auto"/>
              </w:rPr>
            </w:pPr>
            <w:r>
              <w:rPr>
                <w:rFonts w:ascii="Arial" w:cs="Arial" w:eastAsia="Arial" w:hAnsi="Arial"/>
                <w:sz w:val="18"/>
                <w:szCs w:val="18"/>
                <w:color w:val="auto"/>
              </w:rPr>
              <w:t>(2.16)%</w:t>
            </w:r>
          </w:p>
        </w:tc>
        <w:tc>
          <w:tcPr>
            <w:tcW w:w="1080" w:type="dxa"/>
            <w:vAlign w:val="bottom"/>
            <w:shd w:val="clear" w:color="auto" w:fill="CCEEFF"/>
          </w:tcPr>
          <w:p>
            <w:pPr>
              <w:jc w:val="right"/>
              <w:ind w:right="96"/>
              <w:spacing w:after="0" w:line="189" w:lineRule="exact"/>
              <w:rPr>
                <w:sz w:val="20"/>
                <w:szCs w:val="20"/>
                <w:color w:val="auto"/>
              </w:rPr>
            </w:pPr>
            <w:r>
              <w:rPr>
                <w:rFonts w:ascii="Arial" w:cs="Arial" w:eastAsia="Arial" w:hAnsi="Arial"/>
                <w:sz w:val="18"/>
                <w:szCs w:val="18"/>
                <w:color w:val="auto"/>
              </w:rPr>
              <w:t>(4.45)%</w:t>
            </w:r>
          </w:p>
        </w:tc>
        <w:tc>
          <w:tcPr>
            <w:tcW w:w="1000" w:type="dxa"/>
            <w:vAlign w:val="bottom"/>
            <w:shd w:val="clear" w:color="auto" w:fill="CCEEFF"/>
          </w:tcPr>
          <w:p>
            <w:pPr>
              <w:jc w:val="right"/>
              <w:ind w:right="16"/>
              <w:spacing w:after="0" w:line="189" w:lineRule="exact"/>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December 31, 2018</w:t>
            </w:r>
          </w:p>
        </w:tc>
        <w:tc>
          <w:tcPr>
            <w:tcW w:w="1160" w:type="dxa"/>
            <w:vAlign w:val="bottom"/>
            <w:shd w:val="clear" w:color="auto" w:fill="CCEEFF"/>
          </w:tcPr>
          <w:p>
            <w:pPr>
              <w:jc w:val="right"/>
              <w:ind w:right="96"/>
              <w:spacing w:after="0" w:line="189" w:lineRule="exact"/>
              <w:rPr>
                <w:sz w:val="20"/>
                <w:szCs w:val="20"/>
                <w:color w:val="auto"/>
              </w:rPr>
            </w:pPr>
            <w:r>
              <w:rPr>
                <w:rFonts w:ascii="Arial" w:cs="Arial" w:eastAsia="Arial" w:hAnsi="Arial"/>
                <w:sz w:val="18"/>
                <w:szCs w:val="18"/>
                <w:color w:val="auto"/>
              </w:rPr>
              <w:t>(13.71)%</w:t>
            </w:r>
          </w:p>
        </w:tc>
        <w:tc>
          <w:tcPr>
            <w:tcW w:w="1080" w:type="dxa"/>
            <w:vAlign w:val="bottom"/>
            <w:shd w:val="clear" w:color="auto" w:fill="CCEEFF"/>
          </w:tcPr>
          <w:p>
            <w:pPr>
              <w:jc w:val="right"/>
              <w:ind w:right="99"/>
              <w:spacing w:after="0" w:line="189" w:lineRule="exact"/>
              <w:rPr>
                <w:sz w:val="20"/>
                <w:szCs w:val="20"/>
                <w:color w:val="auto"/>
              </w:rPr>
            </w:pPr>
            <w:r>
              <w:rPr>
                <w:rFonts w:ascii="Arial" w:cs="Arial" w:eastAsia="Arial" w:hAnsi="Arial"/>
                <w:sz w:val="18"/>
                <w:szCs w:val="18"/>
                <w:color w:val="auto"/>
              </w:rPr>
              <w:t>(5.13)%</w:t>
            </w:r>
          </w:p>
        </w:tc>
        <w:tc>
          <w:tcPr>
            <w:tcW w:w="1080" w:type="dxa"/>
            <w:vAlign w:val="bottom"/>
            <w:shd w:val="clear" w:color="auto" w:fill="CCEEFF"/>
          </w:tcPr>
          <w:p>
            <w:pPr>
              <w:jc w:val="right"/>
              <w:ind w:right="96"/>
              <w:spacing w:after="0" w:line="189" w:lineRule="exact"/>
              <w:rPr>
                <w:sz w:val="20"/>
                <w:szCs w:val="20"/>
                <w:color w:val="auto"/>
              </w:rPr>
            </w:pPr>
            <w:r>
              <w:rPr>
                <w:rFonts w:ascii="Arial" w:cs="Arial" w:eastAsia="Arial" w:hAnsi="Arial"/>
                <w:sz w:val="18"/>
                <w:szCs w:val="18"/>
                <w:color w:val="auto"/>
              </w:rPr>
              <w:t>1.97 %</w:t>
            </w:r>
          </w:p>
        </w:tc>
        <w:tc>
          <w:tcPr>
            <w:tcW w:w="1080" w:type="dxa"/>
            <w:vAlign w:val="bottom"/>
            <w:shd w:val="clear" w:color="auto" w:fill="CCEEFF"/>
          </w:tcPr>
          <w:p>
            <w:pPr>
              <w:jc w:val="right"/>
              <w:ind w:right="96"/>
              <w:spacing w:after="0" w:line="189" w:lineRule="exact"/>
              <w:rPr>
                <w:sz w:val="20"/>
                <w:szCs w:val="20"/>
                <w:color w:val="auto"/>
              </w:rPr>
            </w:pPr>
            <w:r>
              <w:rPr>
                <w:rFonts w:ascii="Arial" w:cs="Arial" w:eastAsia="Arial" w:hAnsi="Arial"/>
                <w:sz w:val="18"/>
                <w:szCs w:val="18"/>
                <w:color w:val="auto"/>
              </w:rPr>
              <w:t>3.70 %</w:t>
            </w:r>
          </w:p>
        </w:tc>
        <w:tc>
          <w:tcPr>
            <w:tcW w:w="1000" w:type="dxa"/>
            <w:vAlign w:val="bottom"/>
            <w:shd w:val="clear" w:color="auto" w:fill="CCEEFF"/>
          </w:tcPr>
          <w:p>
            <w:pPr>
              <w:jc w:val="right"/>
              <w:ind w:right="16"/>
              <w:spacing w:after="0" w:line="189" w:lineRule="exact"/>
              <w:rPr>
                <w:sz w:val="20"/>
                <w:szCs w:val="20"/>
                <w:color w:val="auto"/>
              </w:rPr>
            </w:pPr>
            <w:r>
              <w:rPr>
                <w:rFonts w:ascii="Arial" w:cs="Arial" w:eastAsia="Arial" w:hAnsi="Arial"/>
                <w:sz w:val="18"/>
                <w:szCs w:val="18"/>
                <w:color w:val="auto"/>
              </w:rPr>
              <w:t>5.32 %</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 The above results do not take into account any management action to mitigate potential risk.</w:t>
      </w:r>
    </w:p>
    <w:p>
      <w:pPr>
        <w:spacing w:after="0" w:line="118" w:lineRule="exact"/>
        <w:rPr>
          <w:sz w:val="20"/>
          <w:szCs w:val="20"/>
          <w:color w:val="auto"/>
        </w:rPr>
      </w:pPr>
    </w:p>
    <w:p>
      <w:pPr>
        <w:ind w:right="2780" w:firstLine="2791"/>
        <w:spacing w:after="0" w:line="409" w:lineRule="auto"/>
        <w:rPr>
          <w:sz w:val="20"/>
          <w:szCs w:val="20"/>
          <w:color w:val="auto"/>
        </w:rPr>
      </w:pPr>
      <w:r>
        <w:rPr>
          <w:rFonts w:ascii="Arial" w:cs="Arial" w:eastAsia="Arial" w:hAnsi="Arial"/>
          <w:sz w:val="18"/>
          <w:szCs w:val="18"/>
          <w:b w:val="1"/>
          <w:bCs w:val="1"/>
          <w:color w:val="auto"/>
        </w:rPr>
        <w:t xml:space="preserve">ITEM 4. CONTROLS AND PROCEDURES </w:t>
      </w:r>
      <w:r>
        <w:rPr>
          <w:rFonts w:ascii="Arial" w:cs="Arial" w:eastAsia="Arial" w:hAnsi="Arial"/>
          <w:sz w:val="18"/>
          <w:szCs w:val="18"/>
          <w:b w:val="1"/>
          <w:bCs w:val="1"/>
          <w:i w:val="1"/>
          <w:iCs w:val="1"/>
          <w:color w:val="auto"/>
        </w:rPr>
        <w:t>Evaluation of Disclosure Controls and Procedures</w:t>
      </w:r>
    </w:p>
    <w:p>
      <w:pPr>
        <w:spacing w:after="0" w:line="1" w:lineRule="exact"/>
        <w:rPr>
          <w:sz w:val="20"/>
          <w:szCs w:val="20"/>
          <w:color w:val="auto"/>
        </w:rPr>
      </w:pPr>
    </w:p>
    <w:p>
      <w:pPr>
        <w:ind w:right="220"/>
        <w:spacing w:after="0" w:line="233" w:lineRule="auto"/>
        <w:rPr>
          <w:sz w:val="20"/>
          <w:szCs w:val="20"/>
          <w:color w:val="auto"/>
        </w:rPr>
      </w:pPr>
      <w:r>
        <w:rPr>
          <w:rFonts w:ascii="Arial" w:cs="Arial" w:eastAsia="Arial" w:hAnsi="Arial"/>
          <w:sz w:val="16"/>
          <w:szCs w:val="16"/>
          <w:color w:val="auto"/>
        </w:rPr>
        <w:t>An evaluation of our disclosure controls and procedures (as defined in Rule 13a-15(e) under the Exchange Act was carried out as of March 31, 2019, under the supervision and with the participation of our Chief Executive Officer, Chief Financial Officer and several other members of our senior management. Based on this evaluation, our Chief Executive Officer and Chief Financial Officer concluded that, as of March 31, 2019, our disclosure controls and procedures were effective in ensuring that the information we are required to disclose in the reports we file or submit under the Exchange Act was</w:t>
      </w:r>
    </w:p>
    <w:p>
      <w:pPr>
        <w:spacing w:after="0" w:line="1" w:lineRule="exact"/>
        <w:rPr>
          <w:sz w:val="20"/>
          <w:szCs w:val="20"/>
          <w:color w:val="auto"/>
        </w:rPr>
      </w:pPr>
    </w:p>
    <w:p>
      <w:pPr>
        <w:ind w:firstLine="3"/>
        <w:spacing w:after="0" w:line="218"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During the quarter ended March 31, 2019, First Busey did not make any changes in its internal control over financial reporting or other factors that have materially affected, or are reasonably likely to materially affect, its internal control over financial reporting.</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As part of the ordinary course of business, First Busey and its subsidiaries are parties to litigation that is incidental to their regular business activities.</w:t>
      </w:r>
    </w:p>
    <w:p>
      <w:pPr>
        <w:spacing w:after="0" w:line="121"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There have been no material changes to the risk factors disclosed in Item 1A of Part I of the Company’s Annual Report on Form 10-K for the year ended December 31, 2018.</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and replaced the prior repurchase plan originally approved in 2008. There were no purchases made by or on behalf of First Busey of its common stock shares during the quarter ended March 31, 2019. At March 31, 2019, the Company had 333,334 shares that may still be purchased under the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 DEFAULTS UPON SENIOR SECURITES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8220" w:type="dxa"/>
            <w:vAlign w:val="bottom"/>
            <w:gridSpan w:val="14"/>
          </w:tcPr>
          <w:p>
            <w:pPr>
              <w:ind w:left="2780"/>
              <w:spacing w:after="0"/>
              <w:rPr>
                <w:sz w:val="20"/>
                <w:szCs w:val="20"/>
                <w:color w:val="auto"/>
              </w:rPr>
            </w:pPr>
            <w:r>
              <w:rPr>
                <w:rFonts w:ascii="Arial" w:cs="Arial" w:eastAsia="Arial" w:hAnsi="Arial"/>
                <w:sz w:val="18"/>
                <w:szCs w:val="18"/>
                <w:b w:val="1"/>
                <w:bCs w:val="1"/>
                <w:color w:val="auto"/>
              </w:rPr>
              <w:t>ITEM 6. EXHIBITS</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8220" w:type="dxa"/>
            <w:vAlign w:val="bottom"/>
            <w:gridSpan w:val="14"/>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Amended and Restated Credit Agreement, dated as of January 31, 2019, by and between First Busey Corporation</w:t>
              </w:r>
            </w:hyperlink>
          </w:p>
        </w:tc>
      </w:tr>
      <w:tr>
        <w:trPr>
          <w:trHeight w:val="156"/>
        </w:trPr>
        <w:tc>
          <w:tcPr>
            <w:tcW w:w="940" w:type="dxa"/>
            <w:vAlign w:val="bottom"/>
          </w:tcPr>
          <w:p>
            <w:pPr>
              <w:spacing w:after="0"/>
              <w:rPr>
                <w:sz w:val="13"/>
                <w:szCs w:val="13"/>
                <w:color w:val="auto"/>
              </w:rPr>
            </w:pPr>
          </w:p>
        </w:tc>
        <w:tc>
          <w:tcPr>
            <w:tcW w:w="8180" w:type="dxa"/>
            <w:vAlign w:val="bottom"/>
            <w:tcBorders>
              <w:top w:val="single" w:sz="8" w:color="0000EE"/>
            </w:tcBorders>
            <w:gridSpan w:val="12"/>
          </w:tcPr>
          <w:p>
            <w:pPr>
              <w:spacing w:after="0" w:line="156" w:lineRule="exact"/>
              <w:rPr>
                <w:rFonts w:ascii="Arial" w:cs="Arial" w:eastAsia="Arial" w:hAnsi="Arial"/>
                <w:sz w:val="18"/>
                <w:szCs w:val="18"/>
                <w:color w:val="0000EE"/>
              </w:rPr>
            </w:pPr>
            <w:hyperlink r:id="rId77">
              <w:r>
                <w:rPr>
                  <w:rFonts w:ascii="Arial" w:cs="Arial" w:eastAsia="Arial" w:hAnsi="Arial"/>
                  <w:sz w:val="18"/>
                  <w:szCs w:val="18"/>
                  <w:color w:val="0000EE"/>
                </w:rPr>
                <w:t>and U.S. Bank National Association (filed as Exhibit 10.1 to the Company’s Form 8-K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724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Commission on January 31, 2019 (Commission No. 0-15950), and incorporated herein by reference)</w:t>
              </w:r>
            </w:hyperlink>
          </w:p>
        </w:tc>
        <w:tc>
          <w:tcPr>
            <w:tcW w:w="40" w:type="dxa"/>
            <w:vAlign w:val="bottom"/>
            <w:tcBorders>
              <w:bottom w:val="single" w:sz="8" w:color="0000EE"/>
            </w:tcBorders>
          </w:tcPr>
          <w:p>
            <w:pPr>
              <w:jc w:val="right"/>
              <w:spacing w:after="0"/>
              <w:rPr>
                <w:rFonts w:ascii="Arial" w:cs="Arial" w:eastAsia="Arial" w:hAnsi="Arial"/>
                <w:sz w:val="10"/>
                <w:szCs w:val="10"/>
                <w:color w:val="0000EE"/>
                <w:w w:val="70"/>
              </w:rPr>
            </w:pPr>
            <w:hyperlink r:id="rId77">
              <w:r>
                <w:rPr>
                  <w:rFonts w:ascii="Arial" w:cs="Arial" w:eastAsia="Arial" w:hAnsi="Arial"/>
                  <w:sz w:val="10"/>
                  <w:szCs w:val="10"/>
                  <w:color w:val="0000EE"/>
                  <w:w w:val="70"/>
                </w:rPr>
                <w:t>.</w:t>
              </w:r>
            </w:hyperlink>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8220" w:type="dxa"/>
            <w:vAlign w:val="bottom"/>
            <w:gridSpan w:val="14"/>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Employment Agreement Addendum by and between First Busey Corporation and Christopher M. Shroyer, dated</w:t>
              </w:r>
            </w:hyperlink>
          </w:p>
        </w:tc>
      </w:tr>
      <w:tr>
        <w:trPr>
          <w:trHeight w:val="156"/>
        </w:trPr>
        <w:tc>
          <w:tcPr>
            <w:tcW w:w="940" w:type="dxa"/>
            <w:vAlign w:val="bottom"/>
          </w:tcPr>
          <w:p>
            <w:pPr>
              <w:spacing w:after="0"/>
              <w:rPr>
                <w:sz w:val="13"/>
                <w:szCs w:val="13"/>
                <w:color w:val="auto"/>
              </w:rPr>
            </w:pPr>
          </w:p>
        </w:tc>
        <w:tc>
          <w:tcPr>
            <w:tcW w:w="8120" w:type="dxa"/>
            <w:vAlign w:val="bottom"/>
            <w:tcBorders>
              <w:top w:val="single" w:sz="8" w:color="0000EE"/>
            </w:tcBorders>
            <w:gridSpan w:val="10"/>
          </w:tcPr>
          <w:p>
            <w:pPr>
              <w:spacing w:after="0" w:line="156" w:lineRule="exact"/>
              <w:rPr>
                <w:rFonts w:ascii="Arial" w:cs="Arial" w:eastAsia="Arial" w:hAnsi="Arial"/>
                <w:sz w:val="18"/>
                <w:szCs w:val="18"/>
                <w:color w:val="0000EE"/>
                <w:w w:val="94"/>
              </w:rPr>
            </w:pPr>
            <w:hyperlink r:id="rId78">
              <w:r>
                <w:rPr>
                  <w:rFonts w:ascii="Arial" w:cs="Arial" w:eastAsia="Arial" w:hAnsi="Arial"/>
                  <w:sz w:val="18"/>
                  <w:szCs w:val="18"/>
                  <w:color w:val="0000EE"/>
                  <w:w w:val="94"/>
                </w:rPr>
                <w:t>April 23, 2019 (filed as Exhibit 99.2 to the Company’s Form 8-K filed with the Commission on April 23, 2019</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7980" w:type="dxa"/>
            <w:vAlign w:val="bottom"/>
            <w:tcBorders>
              <w:top w:val="single" w:sz="8" w:color="0000EE"/>
            </w:tcBorders>
            <w:gridSpan w:val="8"/>
          </w:tcPr>
          <w:p>
            <w:pPr>
              <w:spacing w:after="0" w:line="156" w:lineRule="exact"/>
              <w:rPr>
                <w:rFonts w:ascii="Arial" w:cs="Arial" w:eastAsia="Arial" w:hAnsi="Arial"/>
                <w:sz w:val="18"/>
                <w:szCs w:val="18"/>
                <w:color w:val="0000EE"/>
              </w:rPr>
            </w:pPr>
            <w:hyperlink r:id="rId78">
              <w:r>
                <w:rPr>
                  <w:rFonts w:ascii="Arial" w:cs="Arial" w:eastAsia="Arial" w:hAnsi="Arial"/>
                  <w:sz w:val="18"/>
                  <w:szCs w:val="18"/>
                  <w:color w:val="0000EE"/>
                </w:rPr>
                <w:t>(Commission No. 0-15950), and incorporated herein by reference).</w:t>
              </w:r>
            </w:hyperlink>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8220" w:type="dxa"/>
            <w:vAlign w:val="bottom"/>
            <w:gridSpan w:val="14"/>
          </w:tcPr>
          <w:p>
            <w:pPr>
              <w:spacing w:after="0"/>
              <w:rPr>
                <w:rFonts w:ascii="Arial" w:cs="Arial" w:eastAsia="Arial" w:hAnsi="Arial"/>
                <w:sz w:val="18"/>
                <w:szCs w:val="18"/>
                <w:color w:val="0000EE"/>
                <w:w w:val="94"/>
              </w:rPr>
            </w:pPr>
            <w:hyperlink r:id="rId79">
              <w:r>
                <w:rPr>
                  <w:rFonts w:ascii="Arial" w:cs="Arial" w:eastAsia="Arial" w:hAnsi="Arial"/>
                  <w:sz w:val="18"/>
                  <w:szCs w:val="18"/>
                  <w:color w:val="0000EE"/>
                  <w:w w:val="94"/>
                </w:rPr>
                <w:t>Letter Agreement by and between First Busey Corporation and Robin N. Elliott, dated April 23, 2019 (filed as</w:t>
              </w:r>
            </w:hyperlink>
          </w:p>
        </w:tc>
      </w:tr>
      <w:tr>
        <w:trPr>
          <w:trHeight w:val="169"/>
        </w:trPr>
        <w:tc>
          <w:tcPr>
            <w:tcW w:w="940" w:type="dxa"/>
            <w:vAlign w:val="bottom"/>
          </w:tcPr>
          <w:p>
            <w:pPr>
              <w:spacing w:after="0"/>
              <w:rPr>
                <w:sz w:val="14"/>
                <w:szCs w:val="14"/>
                <w:color w:val="auto"/>
              </w:rPr>
            </w:pPr>
          </w:p>
        </w:tc>
        <w:tc>
          <w:tcPr>
            <w:tcW w:w="8200" w:type="dxa"/>
            <w:vAlign w:val="bottom"/>
            <w:tcBorders>
              <w:top w:val="single" w:sz="8" w:color="0000EE"/>
            </w:tcBorders>
            <w:gridSpan w:val="13"/>
          </w:tcPr>
          <w:p>
            <w:pPr>
              <w:spacing w:after="0" w:line="170" w:lineRule="exact"/>
              <w:rPr>
                <w:rFonts w:ascii="Arial" w:cs="Arial" w:eastAsia="Arial" w:hAnsi="Arial"/>
                <w:sz w:val="18"/>
                <w:szCs w:val="18"/>
                <w:color w:val="0000EE"/>
                <w:w w:val="98"/>
              </w:rPr>
            </w:pPr>
            <w:hyperlink r:id="rId79">
              <w:r>
                <w:rPr>
                  <w:rFonts w:ascii="Arial" w:cs="Arial" w:eastAsia="Arial" w:hAnsi="Arial"/>
                  <w:sz w:val="18"/>
                  <w:szCs w:val="18"/>
                  <w:color w:val="0000EE"/>
                  <w:w w:val="98"/>
                </w:rPr>
                <w:t>Exhibit 99.3 to the Company’s Form 8-K filed with the Commission on April 23, 2019 (Commission No. 0-</w:t>
              </w:r>
            </w:hyperlink>
          </w:p>
        </w:tc>
        <w:tc>
          <w:tcPr>
            <w:tcW w:w="2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8160" w:type="dxa"/>
            <w:vAlign w:val="bottom"/>
            <w:tcBorders>
              <w:top w:val="single" w:sz="8" w:color="0000EE"/>
            </w:tcBorders>
            <w:gridSpan w:val="11"/>
          </w:tcPr>
          <w:p>
            <w:pPr>
              <w:spacing w:after="0" w:line="170" w:lineRule="exact"/>
              <w:rPr>
                <w:rFonts w:ascii="Arial" w:cs="Arial" w:eastAsia="Arial" w:hAnsi="Arial"/>
                <w:sz w:val="18"/>
                <w:szCs w:val="18"/>
                <w:color w:val="0000EE"/>
              </w:rPr>
            </w:pPr>
            <w:hyperlink r:id="rId79">
              <w:r>
                <w:rPr>
                  <w:rFonts w:ascii="Arial" w:cs="Arial" w:eastAsia="Arial" w:hAnsi="Arial"/>
                  <w:sz w:val="18"/>
                  <w:szCs w:val="18"/>
                  <w:color w:val="0000EE"/>
                </w:rPr>
                <w:t>15950)</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and incorporated herein by reference).</w:t>
              </w:r>
            </w:hyperlink>
          </w:p>
        </w:tc>
        <w:tc>
          <w:tcPr>
            <w:tcW w:w="60" w:type="dxa"/>
            <w:vAlign w:val="bottom"/>
            <w:gridSpan w:val="3"/>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45"/>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8220" w:type="dxa"/>
            <w:vAlign w:val="bottom"/>
            <w:gridSpan w:val="14"/>
          </w:tcPr>
          <w:p>
            <w:pPr>
              <w:spacing w:after="0"/>
              <w:rPr>
                <w:sz w:val="20"/>
                <w:szCs w:val="20"/>
                <w:color w:val="auto"/>
              </w:rPr>
            </w:pPr>
            <w:r>
              <w:rPr>
                <w:rFonts w:ascii="Arial" w:cs="Arial" w:eastAsia="Arial" w:hAnsi="Arial"/>
                <w:sz w:val="18"/>
                <w:szCs w:val="18"/>
                <w:color w:val="0000EE"/>
              </w:rPr>
              <w:t>Certification of Principal Executive Officer, pursuant to Rule 13a-14(a) and Rule 15d-14(a).</w:t>
            </w: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65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1"/>
              </w:rPr>
              <w:t>Certification of Principal Financial Officer, pursuant to Rule 13a-14(a) and Rule 15d-14(a).</w:t>
            </w:r>
          </w:p>
        </w:tc>
        <w:tc>
          <w:tcPr>
            <w:tcW w:w="40" w:type="dxa"/>
            <w:vAlign w:val="bottom"/>
            <w:tcBorders>
              <w:top w:val="single" w:sz="8" w:color="0000EE"/>
            </w:tcBorders>
          </w:tcPr>
          <w:p>
            <w:pPr>
              <w:spacing w:after="0"/>
              <w:rPr>
                <w:sz w:val="24"/>
                <w:szCs w:val="24"/>
                <w:color w:val="auto"/>
              </w:rPr>
            </w:pPr>
          </w:p>
        </w:tc>
        <w:tc>
          <w:tcPr>
            <w:tcW w:w="1600" w:type="dxa"/>
            <w:vAlign w:val="bottom"/>
            <w:gridSpan w:val="9"/>
          </w:tcPr>
          <w:p>
            <w:pPr>
              <w:spacing w:after="0"/>
              <w:rPr>
                <w:sz w:val="24"/>
                <w:szCs w:val="24"/>
                <w:color w:val="auto"/>
              </w:rPr>
            </w:pP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8220" w:type="dxa"/>
            <w:vAlign w:val="bottom"/>
            <w:gridSpan w:val="14"/>
          </w:tcPr>
          <w:p>
            <w:pPr>
              <w:spacing w:after="0"/>
              <w:rPr>
                <w:sz w:val="20"/>
                <w:szCs w:val="20"/>
                <w:color w:val="auto"/>
              </w:rPr>
            </w:pPr>
            <w:r>
              <w:rPr>
                <w:rFonts w:ascii="Arial" w:cs="Arial" w:eastAsia="Arial" w:hAnsi="Arial"/>
                <w:sz w:val="18"/>
                <w:szCs w:val="18"/>
                <w:color w:val="0000EE"/>
                <w:w w:val="91"/>
              </w:rPr>
              <w:t>Certification pursuant to 18 U.S.C. Section 1350, as adopted pursuant to Section 906 of the Sarbanes-Oxley Act</w:t>
            </w:r>
          </w:p>
        </w:tc>
      </w:tr>
      <w:tr>
        <w:trPr>
          <w:trHeight w:val="156"/>
        </w:trPr>
        <w:tc>
          <w:tcPr>
            <w:tcW w:w="940" w:type="dxa"/>
            <w:vAlign w:val="bottom"/>
          </w:tcPr>
          <w:p>
            <w:pPr>
              <w:spacing w:after="0"/>
              <w:rPr>
                <w:sz w:val="13"/>
                <w:szCs w:val="13"/>
                <w:color w:val="auto"/>
              </w:rPr>
            </w:pPr>
          </w:p>
        </w:tc>
        <w:tc>
          <w:tcPr>
            <w:tcW w:w="8060" w:type="dxa"/>
            <w:vAlign w:val="bottom"/>
            <w:tcBorders>
              <w:top w:val="single" w:sz="8" w:color="0000EE"/>
            </w:tcBorders>
            <w:gridSpan w:val="9"/>
          </w:tcPr>
          <w:p>
            <w:pPr>
              <w:spacing w:after="0" w:line="156" w:lineRule="exact"/>
              <w:rPr>
                <w:sz w:val="20"/>
                <w:szCs w:val="20"/>
                <w:color w:val="auto"/>
              </w:rPr>
            </w:pPr>
            <w:r>
              <w:rPr>
                <w:rFonts w:ascii="Arial" w:cs="Arial" w:eastAsia="Arial" w:hAnsi="Arial"/>
                <w:sz w:val="18"/>
                <w:szCs w:val="18"/>
                <w:color w:val="0000EE"/>
              </w:rPr>
              <w:t>of 2002, from the Company’s Chief Executive Officer.</w:t>
            </w:r>
          </w:p>
        </w:tc>
        <w:tc>
          <w:tcPr>
            <w:tcW w:w="160" w:type="dxa"/>
            <w:vAlign w:val="bottom"/>
            <w:gridSpan w:val="5"/>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3920" w:type="dxa"/>
            <w:vAlign w:val="bottom"/>
            <w:tcBorders>
              <w:right w:val="single" w:sz="8" w:color="0000EE"/>
            </w:tcBorders>
            <w:gridSpan w:val="2"/>
            <w:shd w:val="clear" w:color="auto" w:fill="0000EE"/>
          </w:tcPr>
          <w:p>
            <w:pPr>
              <w:spacing w:after="0" w:line="20" w:lineRule="exact"/>
              <w:rPr>
                <w:sz w:val="1"/>
                <w:szCs w:val="1"/>
                <w:color w:val="auto"/>
              </w:rPr>
            </w:pPr>
          </w:p>
        </w:tc>
        <w:tc>
          <w:tcPr>
            <w:tcW w:w="4300" w:type="dxa"/>
            <w:vAlign w:val="bottom"/>
            <w:gridSpan w:val="12"/>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8220" w:type="dxa"/>
            <w:vAlign w:val="bottom"/>
            <w:gridSpan w:val="14"/>
          </w:tcPr>
          <w:p>
            <w:pPr>
              <w:spacing w:after="0"/>
              <w:rPr>
                <w:sz w:val="20"/>
                <w:szCs w:val="20"/>
                <w:color w:val="auto"/>
              </w:rPr>
            </w:pPr>
            <w:r>
              <w:rPr>
                <w:rFonts w:ascii="Arial" w:cs="Arial" w:eastAsia="Arial" w:hAnsi="Arial"/>
                <w:sz w:val="18"/>
                <w:szCs w:val="18"/>
                <w:color w:val="0000EE"/>
                <w:w w:val="91"/>
              </w:rPr>
              <w:t>Certification pursuant to 18 U.S.C. Section 1350, as adopted pursuant to Section 906 of the Sarbanes-Oxley Act</w:t>
            </w:r>
          </w:p>
        </w:tc>
      </w:tr>
      <w:tr>
        <w:trPr>
          <w:trHeight w:val="156"/>
        </w:trPr>
        <w:tc>
          <w:tcPr>
            <w:tcW w:w="940" w:type="dxa"/>
            <w:vAlign w:val="bottom"/>
          </w:tcPr>
          <w:p>
            <w:pPr>
              <w:spacing w:after="0"/>
              <w:rPr>
                <w:sz w:val="13"/>
                <w:szCs w:val="13"/>
                <w:color w:val="auto"/>
              </w:rPr>
            </w:pPr>
          </w:p>
        </w:tc>
        <w:tc>
          <w:tcPr>
            <w:tcW w:w="3920" w:type="dxa"/>
            <w:vAlign w:val="bottom"/>
            <w:tcBorders>
              <w:top w:val="single" w:sz="8" w:color="0000EE"/>
              <w:bottom w:val="single" w:sz="8" w:color="0000EE"/>
            </w:tcBorders>
            <w:gridSpan w:val="2"/>
          </w:tcPr>
          <w:p>
            <w:pPr>
              <w:spacing w:after="0" w:line="156" w:lineRule="exact"/>
              <w:rPr>
                <w:sz w:val="20"/>
                <w:szCs w:val="20"/>
                <w:color w:val="auto"/>
              </w:rPr>
            </w:pPr>
            <w:r>
              <w:rPr>
                <w:rFonts w:ascii="Arial" w:cs="Arial" w:eastAsia="Arial" w:hAnsi="Arial"/>
                <w:sz w:val="18"/>
                <w:szCs w:val="18"/>
                <w:color w:val="0000EE"/>
                <w:w w:val="92"/>
              </w:rPr>
              <w:t>of 2002, from the Company’s Chief Financial Officer.</w:t>
            </w:r>
          </w:p>
        </w:tc>
        <w:tc>
          <w:tcPr>
            <w:tcW w:w="4140" w:type="dxa"/>
            <w:vAlign w:val="bottom"/>
            <w:tcBorders>
              <w:top w:val="single" w:sz="8" w:color="0000EE"/>
            </w:tcBorders>
            <w:gridSpan w:val="7"/>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822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r>
      <w:tr>
        <w:trPr>
          <w:trHeight w:val="351"/>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8220" w:type="dxa"/>
            <w:vAlign w:val="bottom"/>
            <w:gridSpan w:val="14"/>
          </w:tcPr>
          <w:p>
            <w:pPr>
              <w:spacing w:after="0"/>
              <w:rPr>
                <w:sz w:val="20"/>
                <w:szCs w:val="20"/>
                <w:color w:val="auto"/>
              </w:rPr>
            </w:pPr>
            <w:r>
              <w:rPr>
                <w:rFonts w:ascii="Arial" w:cs="Arial" w:eastAsia="Arial" w:hAnsi="Arial"/>
                <w:sz w:val="18"/>
                <w:szCs w:val="18"/>
                <w:color w:val="auto"/>
              </w:rPr>
              <w:t>XBRL Taxonomy Extension Schema</w:t>
            </w:r>
          </w:p>
        </w:tc>
      </w:tr>
      <w:tr>
        <w:trPr>
          <w:trHeight w:val="351"/>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822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51"/>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822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822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351"/>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822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274320</wp:posOffset>
            </wp:positionV>
            <wp:extent cx="14408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0" w:hanging="297"/>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2" w:right="137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19"/>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w:t>
      </w:r>
    </w:p>
    <w:p>
      <w:pPr>
        <w:jc w:val="center"/>
        <w:ind w:right="-40"/>
        <w:spacing w:after="0"/>
        <w:rPr>
          <w:sz w:val="20"/>
          <w:szCs w:val="20"/>
          <w:color w:val="auto"/>
        </w:rPr>
      </w:pPr>
      <w:r>
        <w:rPr>
          <w:rFonts w:ascii="Arial" w:cs="Arial" w:eastAsia="Arial" w:hAnsi="Arial"/>
          <w:sz w:val="18"/>
          <w:szCs w:val="18"/>
          <w:b w:val="1"/>
          <w:bCs w:val="1"/>
          <w:color w:val="auto"/>
        </w:rPr>
        <w:t>(Registrant)</w:t>
      </w:r>
    </w:p>
    <w:p>
      <w:pPr>
        <w:spacing w:after="0" w:line="14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-635</wp:posOffset>
            </wp:positionV>
            <wp:extent cx="26416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ind w:left="4900"/>
        <w:spacing w:after="0" w:line="203" w:lineRule="auto"/>
        <w:rPr>
          <w:sz w:val="20"/>
          <w:szCs w:val="20"/>
          <w:color w:val="auto"/>
        </w:rPr>
      </w:pPr>
      <w:r>
        <w:rPr>
          <w:rFonts w:ascii="Arial" w:cs="Arial" w:eastAsia="Arial" w:hAnsi="Arial"/>
          <w:sz w:val="18"/>
          <w:szCs w:val="18"/>
          <w:color w:val="auto"/>
        </w:rPr>
        <w:t>Van A. Dukeman</w:t>
      </w:r>
    </w:p>
    <w:p>
      <w:pPr>
        <w:ind w:left="4900"/>
        <w:spacing w:after="0" w:line="204" w:lineRule="auto"/>
        <w:rPr>
          <w:sz w:val="20"/>
          <w:szCs w:val="20"/>
          <w:color w:val="auto"/>
        </w:rPr>
      </w:pPr>
      <w:r>
        <w:rPr>
          <w:rFonts w:ascii="Arial" w:cs="Arial" w:eastAsia="Arial" w:hAnsi="Arial"/>
          <w:sz w:val="18"/>
          <w:szCs w:val="18"/>
          <w:color w:val="auto"/>
        </w:rPr>
        <w:t>President and Chief Executive Officer</w:t>
      </w:r>
    </w:p>
    <w:p>
      <w:pPr>
        <w:ind w:left="4900"/>
        <w:spacing w:after="0"/>
        <w:rPr>
          <w:sz w:val="20"/>
          <w:szCs w:val="20"/>
          <w:color w:val="auto"/>
        </w:rPr>
      </w:pPr>
      <w:r>
        <w:rPr>
          <w:rFonts w:ascii="Arial" w:cs="Arial" w:eastAsia="Arial" w:hAnsi="Arial"/>
          <w:sz w:val="18"/>
          <w:szCs w:val="18"/>
          <w:color w:val="auto"/>
        </w:rPr>
        <w:t>(Principal Executive Officer)</w:t>
      </w:r>
    </w:p>
    <w:p>
      <w:pPr>
        <w:spacing w:after="0" w:line="12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-635</wp:posOffset>
            </wp:positionV>
            <wp:extent cx="26416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ind w:left="4900"/>
        <w:spacing w:after="0" w:line="203" w:lineRule="auto"/>
        <w:rPr>
          <w:sz w:val="20"/>
          <w:szCs w:val="20"/>
          <w:color w:val="auto"/>
        </w:rPr>
      </w:pPr>
      <w:r>
        <w:rPr>
          <w:rFonts w:ascii="Arial" w:cs="Arial" w:eastAsia="Arial" w:hAnsi="Arial"/>
          <w:sz w:val="18"/>
          <w:szCs w:val="18"/>
          <w:color w:val="auto"/>
        </w:rPr>
        <w:t>Robin N. Elliott</w:t>
      </w:r>
    </w:p>
    <w:p>
      <w:pPr>
        <w:ind w:left="4900"/>
        <w:spacing w:after="0" w:line="204" w:lineRule="auto"/>
        <w:rPr>
          <w:sz w:val="20"/>
          <w:szCs w:val="20"/>
          <w:color w:val="auto"/>
        </w:rPr>
      </w:pPr>
      <w:r>
        <w:rPr>
          <w:rFonts w:ascii="Arial" w:cs="Arial" w:eastAsia="Arial" w:hAnsi="Arial"/>
          <w:sz w:val="18"/>
          <w:szCs w:val="18"/>
          <w:color w:val="auto"/>
        </w:rPr>
        <w:t>Chief Financial Officer</w:t>
      </w:r>
    </w:p>
    <w:p>
      <w:pPr>
        <w:ind w:left="4900"/>
        <w:spacing w:after="0" w:line="215" w:lineRule="auto"/>
        <w:rPr>
          <w:sz w:val="20"/>
          <w:szCs w:val="20"/>
          <w:color w:val="auto"/>
        </w:rPr>
      </w:pPr>
      <w:r>
        <w:rPr>
          <w:rFonts w:ascii="Arial" w:cs="Arial" w:eastAsia="Arial" w:hAnsi="Arial"/>
          <w:sz w:val="17"/>
          <w:szCs w:val="17"/>
          <w:color w:val="auto"/>
        </w:rPr>
        <w:t>(Principal Financial Officer and Principal Accounting</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Officer)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661"/>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21" w:hanging="321"/>
        <w:spacing w:after="0"/>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21" w:right="100" w:hanging="321"/>
        <w:spacing w:after="0" w:line="264" w:lineRule="auto"/>
        <w:tabs>
          <w:tab w:leader="none" w:pos="3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21" w:hanging="321"/>
        <w:spacing w:after="0" w:line="264" w:lineRule="auto"/>
        <w:tabs>
          <w:tab w:leader="none" w:pos="3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1" w:lineRule="exact"/>
        <w:rPr>
          <w:rFonts w:ascii="Arial" w:cs="Arial" w:eastAsia="Arial" w:hAnsi="Arial"/>
          <w:sz w:val="18"/>
          <w:szCs w:val="18"/>
          <w:color w:val="auto"/>
        </w:rPr>
      </w:pPr>
    </w:p>
    <w:p>
      <w:pPr>
        <w:ind w:left="321" w:right="220" w:hanging="321"/>
        <w:spacing w:after="0" w:line="264"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1" w:right="60" w:hanging="320"/>
        <w:spacing w:after="0" w:line="286" w:lineRule="auto"/>
        <w:tabs>
          <w:tab w:leader="none" w:pos="642"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5" w:lineRule="exact"/>
        <w:rPr>
          <w:rFonts w:ascii="Arial" w:cs="Arial" w:eastAsia="Arial" w:hAnsi="Arial"/>
          <w:sz w:val="17"/>
          <w:szCs w:val="17"/>
          <w:color w:val="auto"/>
        </w:rPr>
      </w:pPr>
    </w:p>
    <w:p>
      <w:pPr>
        <w:ind w:left="601" w:right="360" w:hanging="320"/>
        <w:spacing w:after="0" w:line="286" w:lineRule="auto"/>
        <w:tabs>
          <w:tab w:leader="none" w:pos="652"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01" w:right="60" w:hanging="320"/>
        <w:spacing w:after="0" w:line="264" w:lineRule="auto"/>
        <w:tabs>
          <w:tab w:leader="none" w:pos="64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ind w:left="601" w:right="160" w:hanging="320"/>
        <w:spacing w:after="0" w:line="312" w:lineRule="auto"/>
        <w:tabs>
          <w:tab w:leader="none" w:pos="652"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321" w:right="360" w:hanging="321"/>
        <w:spacing w:after="0" w:line="264"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20" w:hanging="317"/>
        <w:spacing w:after="0" w:line="342" w:lineRule="auto"/>
        <w:tabs>
          <w:tab w:leader="none" w:pos="636" w:val="left"/>
        </w:tabs>
        <w:numPr>
          <w:ilvl w:val="2"/>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41" w:right="260" w:hanging="317"/>
        <w:spacing w:after="0" w:line="277" w:lineRule="auto"/>
        <w:tabs>
          <w:tab w:leader="none" w:pos="647"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/s/ VAN A. DUKEMAN</w:t>
      </w:r>
    </w:p>
    <w:p>
      <w:pPr>
        <w:spacing w:after="0" w:line="2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-130810</wp:posOffset>
            </wp:positionV>
            <wp:extent cx="31902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681"/>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21" w:hanging="321"/>
        <w:spacing w:after="0"/>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21" w:right="100" w:hanging="321"/>
        <w:spacing w:after="0" w:line="264" w:lineRule="auto"/>
        <w:tabs>
          <w:tab w:leader="none" w:pos="3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21" w:hanging="321"/>
        <w:spacing w:after="0" w:line="264" w:lineRule="auto"/>
        <w:tabs>
          <w:tab w:leader="none" w:pos="3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1" w:lineRule="exact"/>
        <w:rPr>
          <w:rFonts w:ascii="Arial" w:cs="Arial" w:eastAsia="Arial" w:hAnsi="Arial"/>
          <w:sz w:val="18"/>
          <w:szCs w:val="18"/>
          <w:color w:val="auto"/>
        </w:rPr>
      </w:pPr>
    </w:p>
    <w:p>
      <w:pPr>
        <w:ind w:left="321" w:right="220" w:hanging="321"/>
        <w:spacing w:after="0" w:line="264" w:lineRule="auto"/>
        <w:tabs>
          <w:tab w:leader="none" w:pos="3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41" w:right="20" w:hanging="317"/>
        <w:spacing w:after="0" w:line="286" w:lineRule="auto"/>
        <w:tabs>
          <w:tab w:leader="none" w:pos="636" w:val="left"/>
        </w:tabs>
        <w:numPr>
          <w:ilvl w:val="2"/>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5" w:lineRule="exact"/>
        <w:rPr>
          <w:rFonts w:ascii="Arial" w:cs="Arial" w:eastAsia="Arial" w:hAnsi="Arial"/>
          <w:sz w:val="17"/>
          <w:szCs w:val="17"/>
          <w:color w:val="auto"/>
        </w:rPr>
      </w:pPr>
    </w:p>
    <w:p>
      <w:pPr>
        <w:ind w:left="601" w:right="360" w:hanging="320"/>
        <w:spacing w:after="0" w:line="286" w:lineRule="auto"/>
        <w:tabs>
          <w:tab w:leader="none" w:pos="652"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01" w:right="60" w:hanging="320"/>
        <w:spacing w:after="0" w:line="264" w:lineRule="auto"/>
        <w:tabs>
          <w:tab w:leader="none" w:pos="642"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ind w:left="601" w:right="160" w:hanging="320"/>
        <w:spacing w:after="0" w:line="312" w:lineRule="auto"/>
        <w:tabs>
          <w:tab w:leader="none" w:pos="652"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321" w:right="360" w:hanging="321"/>
        <w:spacing w:after="0" w:line="264" w:lineRule="auto"/>
        <w:tabs>
          <w:tab w:leader="none" w:pos="3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20" w:hanging="317"/>
        <w:spacing w:after="0" w:line="342" w:lineRule="auto"/>
        <w:tabs>
          <w:tab w:leader="none" w:pos="636" w:val="left"/>
        </w:tabs>
        <w:numPr>
          <w:ilvl w:val="2"/>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41" w:right="260" w:hanging="317"/>
        <w:spacing w:after="0" w:line="277" w:lineRule="auto"/>
        <w:tabs>
          <w:tab w:leader="none" w:pos="647"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/s/ ROBIN N. ELLIOTT</w:t>
      </w:r>
    </w:p>
    <w:p>
      <w:pPr>
        <w:spacing w:after="0" w:line="2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-130810</wp:posOffset>
            </wp:positionV>
            <wp:extent cx="31902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59" w:name="page60"/>
    <w:bookmarkEnd w:id="59"/>
    <w:p>
      <w:pPr>
        <w:ind w:left="894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March 31, 2019,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0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VAN A. DUKEMAN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60" w:name="page61"/>
    <w:bookmarkEnd w:id="60"/>
    <w:p>
      <w:pPr>
        <w:ind w:left="894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March 31, 2019,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0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ROBIN N. ELLIOTT</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0"/>
      </w:cols>
      <w:pgMar w:left="920"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3"/>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77" Type="http://schemas.openxmlformats.org/officeDocument/2006/relationships/hyperlink" Target="http://www.sec.gov/Archives/edgar/data/314489/000031448919000010/exhibit10_1.htm" TargetMode="External"/><Relationship Id="rId78" Type="http://schemas.openxmlformats.org/officeDocument/2006/relationships/hyperlink" Target="http://www.sec.gov/Archives/edgar/data/314489/000031448919000017/exhibit99_2.htm" TargetMode="External"/><Relationship Id="rId79" Type="http://schemas.openxmlformats.org/officeDocument/2006/relationships/hyperlink" Target="http://www.sec.gov/Archives/edgar/data/314489/000031448919000017/exhibit99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2019-12-02T21:41:15Z</dcterms:created>
  <dcterms:modified xsi:type="dcterms:W3CDTF">2019-12-02T21:41:15Z</dcterms:modified>
</cp:coreProperties>
</file>