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93"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71" w:lineRule="exact"/>
        <w:rPr>
          <w:sz w:val="24"/>
          <w:szCs w:val="24"/>
          <w:color w:val="auto"/>
        </w:rPr>
      </w:pPr>
    </w:p>
    <w:p>
      <w:pPr>
        <w:ind w:left="580" w:hanging="350"/>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0-15950</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FIRST BUSEY CORPORATION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9"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4480" w:type="dxa"/>
            <w:vAlign w:val="bottom"/>
          </w:tcPr>
          <w:p>
            <w:pPr>
              <w:jc w:val="center"/>
              <w:ind w:right="1290"/>
              <w:spacing w:after="0"/>
              <w:rPr>
                <w:sz w:val="20"/>
                <w:szCs w:val="20"/>
                <w:color w:val="auto"/>
              </w:rPr>
            </w:pPr>
            <w:r>
              <w:rPr>
                <w:rFonts w:ascii="Arial" w:cs="Arial" w:eastAsia="Arial" w:hAnsi="Arial"/>
                <w:sz w:val="18"/>
                <w:szCs w:val="18"/>
                <w:b w:val="1"/>
                <w:bCs w:val="1"/>
                <w:color w:val="auto"/>
                <w:w w:val="90"/>
              </w:rPr>
              <w:t>Nevada</w:t>
            </w:r>
          </w:p>
        </w:tc>
        <w:tc>
          <w:tcPr>
            <w:tcW w:w="400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56"/>
        </w:trPr>
        <w:tc>
          <w:tcPr>
            <w:tcW w:w="4480" w:type="dxa"/>
            <w:vAlign w:val="bottom"/>
          </w:tcPr>
          <w:p>
            <w:pPr>
              <w:jc w:val="center"/>
              <w:ind w:right="1290"/>
              <w:spacing w:after="0"/>
              <w:rPr>
                <w:sz w:val="20"/>
                <w:szCs w:val="20"/>
                <w:color w:val="auto"/>
              </w:rPr>
            </w:pPr>
            <w:r>
              <w:rPr>
                <w:rFonts w:ascii="Arial" w:cs="Arial" w:eastAsia="Arial" w:hAnsi="Arial"/>
                <w:sz w:val="18"/>
                <w:szCs w:val="18"/>
                <w:color w:val="auto"/>
                <w:w w:val="92"/>
              </w:rPr>
              <w:t>(State or other jurisdiction of incorporation</w:t>
            </w:r>
          </w:p>
        </w:tc>
        <w:tc>
          <w:tcPr>
            <w:tcW w:w="4000" w:type="dxa"/>
            <w:vAlign w:val="bottom"/>
          </w:tcPr>
          <w:p>
            <w:pPr>
              <w:jc w:val="center"/>
              <w:ind w:left="12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80" w:type="dxa"/>
            <w:vAlign w:val="bottom"/>
          </w:tcPr>
          <w:p>
            <w:pPr>
              <w:jc w:val="center"/>
              <w:ind w:right="1270"/>
              <w:spacing w:after="0"/>
              <w:rPr>
                <w:sz w:val="20"/>
                <w:szCs w:val="20"/>
                <w:color w:val="auto"/>
              </w:rPr>
            </w:pPr>
            <w:r>
              <w:rPr>
                <w:rFonts w:ascii="Arial" w:cs="Arial" w:eastAsia="Arial" w:hAnsi="Arial"/>
                <w:sz w:val="18"/>
                <w:szCs w:val="18"/>
                <w:color w:val="auto"/>
                <w:w w:val="92"/>
              </w:rPr>
              <w:t>or organization)</w:t>
            </w:r>
          </w:p>
        </w:tc>
        <w:tc>
          <w:tcPr>
            <w:tcW w:w="4000" w:type="dxa"/>
            <w:vAlign w:val="bottom"/>
          </w:tcPr>
          <w:p>
            <w:pPr>
              <w:spacing w:after="0"/>
              <w:rPr>
                <w:sz w:val="20"/>
                <w:szCs w:val="20"/>
                <w:color w:val="auto"/>
              </w:rPr>
            </w:pPr>
          </w:p>
        </w:tc>
      </w:tr>
      <w:tr>
        <w:trPr>
          <w:trHeight w:val="252"/>
        </w:trPr>
        <w:tc>
          <w:tcPr>
            <w:tcW w:w="4480" w:type="dxa"/>
            <w:vAlign w:val="bottom"/>
          </w:tcPr>
          <w:p>
            <w:pPr>
              <w:jc w:val="center"/>
              <w:ind w:right="1290"/>
              <w:spacing w:after="0"/>
              <w:rPr>
                <w:sz w:val="20"/>
                <w:szCs w:val="20"/>
                <w:color w:val="auto"/>
              </w:rPr>
            </w:pPr>
            <w:r>
              <w:rPr>
                <w:rFonts w:ascii="Arial" w:cs="Arial" w:eastAsia="Arial" w:hAnsi="Arial"/>
                <w:sz w:val="18"/>
                <w:szCs w:val="18"/>
                <w:b w:val="1"/>
                <w:bCs w:val="1"/>
                <w:color w:val="auto"/>
                <w:w w:val="90"/>
              </w:rPr>
              <w:t>100 W. University Ave.</w:t>
            </w:r>
          </w:p>
        </w:tc>
        <w:tc>
          <w:tcPr>
            <w:tcW w:w="4000" w:type="dxa"/>
            <w:vAlign w:val="bottom"/>
          </w:tcPr>
          <w:p>
            <w:pPr>
              <w:spacing w:after="0"/>
              <w:rPr>
                <w:sz w:val="21"/>
                <w:szCs w:val="21"/>
                <w:color w:val="auto"/>
              </w:rPr>
            </w:pPr>
          </w:p>
        </w:tc>
      </w:tr>
      <w:tr>
        <w:trPr>
          <w:trHeight w:val="234"/>
        </w:trPr>
        <w:tc>
          <w:tcPr>
            <w:tcW w:w="4480" w:type="dxa"/>
            <w:vAlign w:val="bottom"/>
          </w:tcPr>
          <w:p>
            <w:pPr>
              <w:jc w:val="center"/>
              <w:ind w:right="1270"/>
              <w:spacing w:after="0"/>
              <w:rPr>
                <w:sz w:val="20"/>
                <w:szCs w:val="20"/>
                <w:color w:val="auto"/>
              </w:rPr>
            </w:pPr>
            <w:r>
              <w:rPr>
                <w:rFonts w:ascii="Arial" w:cs="Arial" w:eastAsia="Arial" w:hAnsi="Arial"/>
                <w:sz w:val="18"/>
                <w:szCs w:val="18"/>
                <w:b w:val="1"/>
                <w:bCs w:val="1"/>
                <w:color w:val="auto"/>
                <w:w w:val="92"/>
              </w:rPr>
              <w:t>Champaign, Illinois</w:t>
            </w:r>
          </w:p>
        </w:tc>
        <w:tc>
          <w:tcPr>
            <w:tcW w:w="400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70"/>
        </w:trPr>
        <w:tc>
          <w:tcPr>
            <w:tcW w:w="4480" w:type="dxa"/>
            <w:vAlign w:val="bottom"/>
          </w:tcPr>
          <w:p>
            <w:pPr>
              <w:jc w:val="center"/>
              <w:ind w:right="129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jc w:val="center"/>
              <w:ind w:left="1290"/>
              <w:spacing w:after="0"/>
              <w:rPr>
                <w:sz w:val="20"/>
                <w:szCs w:val="20"/>
                <w:color w:val="auto"/>
              </w:rPr>
            </w:pPr>
            <w:r>
              <w:rPr>
                <w:rFonts w:ascii="Arial" w:cs="Arial" w:eastAsia="Arial" w:hAnsi="Arial"/>
                <w:sz w:val="18"/>
                <w:szCs w:val="18"/>
                <w:color w:val="auto"/>
                <w:w w:val="91"/>
              </w:rPr>
              <w:t>(Zip code)</w:t>
            </w:r>
          </w:p>
        </w:tc>
      </w:tr>
    </w:tbl>
    <w:p>
      <w:pPr>
        <w:spacing w:after="0" w:line="27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117"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32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78"/>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3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Trading Symbol (s)</w:t>
            </w:r>
          </w:p>
        </w:tc>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5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320" w:type="dxa"/>
            <w:vAlign w:val="bottom"/>
          </w:tcPr>
          <w:p>
            <w:pPr>
              <w:jc w:val="center"/>
              <w:ind w:right="50"/>
              <w:spacing w:after="0"/>
              <w:rPr>
                <w:sz w:val="20"/>
                <w:szCs w:val="20"/>
                <w:color w:val="auto"/>
              </w:rPr>
            </w:pPr>
            <w:r>
              <w:rPr>
                <w:rFonts w:ascii="Arial" w:cs="Arial" w:eastAsia="Arial" w:hAnsi="Arial"/>
                <w:sz w:val="18"/>
                <w:szCs w:val="18"/>
                <w:color w:val="auto"/>
                <w:w w:val="93"/>
              </w:rPr>
              <w:t>BUSE</w:t>
            </w:r>
          </w:p>
        </w:tc>
        <w:tc>
          <w:tcPr>
            <w:tcW w:w="4400" w:type="dxa"/>
            <w:vAlign w:val="bottom"/>
          </w:tcPr>
          <w:p>
            <w:pPr>
              <w:jc w:val="center"/>
              <w:ind w:right="10"/>
              <w:spacing w:after="0"/>
              <w:rPr>
                <w:sz w:val="20"/>
                <w:szCs w:val="20"/>
                <w:color w:val="auto"/>
              </w:rPr>
            </w:pPr>
            <w:r>
              <w:rPr>
                <w:rFonts w:ascii="Arial" w:cs="Arial" w:eastAsia="Arial" w:hAnsi="Arial"/>
                <w:sz w:val="18"/>
                <w:szCs w:val="18"/>
                <w:color w:val="auto"/>
                <w:w w:val="91"/>
              </w:rPr>
              <w:t>The Nasdaq Stock Market LLC</w:t>
            </w:r>
          </w:p>
        </w:tc>
      </w:tr>
    </w:tbl>
    <w:p>
      <w:pPr>
        <w:spacing w:after="0" w:line="283"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44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01" w:right="339" w:bottom="1135" w:gutter="0" w:footer="0" w:header="0"/>
        </w:sectPr>
      </w:pPr>
    </w:p>
    <w:p>
      <w:pPr>
        <w:spacing w:after="0" w:line="34" w:lineRule="exact"/>
        <w:rPr>
          <w:sz w:val="24"/>
          <w:szCs w:val="24"/>
          <w:color w:val="auto"/>
        </w:rPr>
      </w:pPr>
    </w:p>
    <w:p>
      <w:pPr>
        <w:ind w:left="3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86" w:lineRule="exact"/>
        <w:rPr>
          <w:sz w:val="24"/>
          <w:szCs w:val="24"/>
          <w:color w:val="auto"/>
        </w:rPr>
      </w:pPr>
    </w:p>
    <w:p>
      <w:pPr>
        <w:sectPr>
          <w:pgSz w:w="11900" w:h="16838" w:orient="portrait"/>
          <w:cols w:equalWidth="0" w:num="4">
            <w:col w:w="2900" w:space="720"/>
            <w:col w:w="1940" w:space="720"/>
            <w:col w:w="2560" w:space="720"/>
            <w:col w:w="1680"/>
          </w:cols>
          <w:pgMar w:left="320" w:top="301" w:right="339" w:bottom="1135" w:gutter="0" w:footer="0" w:header="0"/>
          <w:type w:val="continuous"/>
        </w:sectPr>
      </w:pPr>
    </w:p>
    <w:p>
      <w:pPr>
        <w:ind w:left="3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o</w:t>
      </w:r>
    </w:p>
    <w:p>
      <w:pPr>
        <w:spacing w:after="0" w:line="224" w:lineRule="exact"/>
        <w:rPr>
          <w:sz w:val="24"/>
          <w:szCs w:val="24"/>
          <w:color w:val="auto"/>
        </w:rPr>
      </w:pPr>
    </w:p>
    <w:p>
      <w:pPr>
        <w:sectPr>
          <w:pgSz w:w="11900" w:h="16838" w:orient="portrait"/>
          <w:cols w:equalWidth="0" w:num="3">
            <w:col w:w="2900" w:space="720"/>
            <w:col w:w="1180" w:space="720"/>
            <w:col w:w="5720"/>
          </w:cols>
          <w:pgMar w:left="320" w:top="301" w:right="339" w:bottom="1135" w:gutter="0" w:footer="0" w:header="0"/>
          <w:type w:val="continuous"/>
        </w:sectPr>
      </w:pPr>
    </w:p>
    <w:p>
      <w:pPr>
        <w:spacing w:after="0" w:line="2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4"/>
          <w:szCs w:val="24"/>
          <w:color w:val="auto"/>
        </w:rPr>
      </w:pPr>
    </w:p>
    <w:p>
      <w:pPr>
        <w:ind w:right="214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w:t>
            </w:r>
          </w:p>
        </w:tc>
        <w:tc>
          <w:tcPr>
            <w:tcW w:w="55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Outstanding at November 3, 2022</w:t>
            </w:r>
          </w:p>
        </w:tc>
      </w:tr>
      <w:tr>
        <w:trPr>
          <w:trHeight w:val="27"/>
        </w:trPr>
        <w:tc>
          <w:tcPr>
            <w:tcW w:w="9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900" w:type="dxa"/>
            <w:vAlign w:val="bottom"/>
          </w:tcPr>
          <w:p>
            <w:pPr>
              <w:spacing w:after="0"/>
              <w:rPr>
                <w:sz w:val="20"/>
                <w:szCs w:val="20"/>
                <w:color w:val="auto"/>
              </w:rPr>
            </w:pPr>
          </w:p>
        </w:tc>
        <w:tc>
          <w:tcPr>
            <w:tcW w:w="47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Common Stock, $.001 par value</w:t>
            </w:r>
          </w:p>
        </w:tc>
        <w:tc>
          <w:tcPr>
            <w:tcW w:w="4680" w:type="dxa"/>
            <w:vAlign w:val="bottom"/>
          </w:tcPr>
          <w:p>
            <w:pPr>
              <w:jc w:val="right"/>
              <w:ind w:right="1850"/>
              <w:spacing w:after="0"/>
              <w:rPr>
                <w:sz w:val="20"/>
                <w:szCs w:val="20"/>
                <w:color w:val="auto"/>
              </w:rPr>
            </w:pPr>
            <w:r>
              <w:rPr>
                <w:rFonts w:ascii="Arial" w:cs="Arial" w:eastAsia="Arial" w:hAnsi="Arial"/>
                <w:sz w:val="18"/>
                <w:szCs w:val="18"/>
                <w:color w:val="auto"/>
              </w:rPr>
              <w:t>55,232,434</w:t>
            </w:r>
          </w:p>
        </w:tc>
        <w:tc>
          <w:tcPr>
            <w:tcW w:w="900" w:type="dxa"/>
            <w:vAlign w:val="bottom"/>
          </w:tcPr>
          <w:p>
            <w:pPr>
              <w:spacing w:after="0"/>
              <w:rPr>
                <w:sz w:val="20"/>
                <w:szCs w:val="20"/>
                <w:color w:val="auto"/>
              </w:rPr>
            </w:pPr>
          </w:p>
        </w:tc>
      </w:tr>
      <w:tr>
        <w:trPr>
          <w:trHeight w:val="175"/>
        </w:trPr>
        <w:tc>
          <w:tcPr>
            <w:tcW w:w="900" w:type="dxa"/>
            <w:vAlign w:val="bottom"/>
            <w:tcBorders>
              <w:bottom w:val="single" w:sz="8" w:color="auto"/>
            </w:tcBorders>
          </w:tcPr>
          <w:p>
            <w:pPr>
              <w:spacing w:after="0"/>
              <w:rPr>
                <w:sz w:val="15"/>
                <w:szCs w:val="15"/>
                <w:color w:val="auto"/>
              </w:rPr>
            </w:pPr>
          </w:p>
        </w:tc>
        <w:tc>
          <w:tcPr>
            <w:tcW w:w="4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13"/>
        </w:trPr>
        <w:tc>
          <w:tcPr>
            <w:tcW w:w="9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135"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10"/>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60" w:type="dxa"/>
            <w:vAlign w:val="bottom"/>
            <w:gridSpan w:val="6"/>
          </w:tcPr>
          <w:p>
            <w:pPr>
              <w:spacing w:after="0"/>
              <w:rPr>
                <w:sz w:val="20"/>
                <w:szCs w:val="20"/>
                <w:color w:val="auto"/>
              </w:rPr>
            </w:pPr>
            <w:r>
              <w:rPr>
                <w:rFonts w:ascii="Arial" w:cs="Arial" w:eastAsia="Arial" w:hAnsi="Arial"/>
                <w:sz w:val="18"/>
                <w:szCs w:val="18"/>
                <w:color w:val="0000FF"/>
              </w:rPr>
              <w:t>GLOSSARY</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2"/>
        </w:trPr>
        <w:tc>
          <w:tcPr>
            <w:tcW w:w="940" w:type="dxa"/>
            <w:vAlign w:val="bottom"/>
            <w:gridSpan w:val="5"/>
          </w:tcPr>
          <w:p>
            <w:pPr>
              <w:spacing w:after="0"/>
              <w:rPr>
                <w:sz w:val="20"/>
                <w:szCs w:val="20"/>
                <w:color w:val="auto"/>
              </w:rPr>
            </w:pPr>
            <w:r>
              <w:rPr>
                <w:rFonts w:ascii="Arial" w:cs="Arial" w:eastAsia="Arial" w:hAnsi="Arial"/>
                <w:sz w:val="18"/>
                <w:szCs w:val="18"/>
                <w:b w:val="1"/>
                <w:bCs w:val="1"/>
                <w:color w:val="0000FF"/>
              </w:rPr>
              <w:t>Part I</w:t>
            </w:r>
          </w:p>
        </w:tc>
        <w:tc>
          <w:tcPr>
            <w:tcW w:w="220" w:type="dxa"/>
            <w:vAlign w:val="bottom"/>
          </w:tcPr>
          <w:p>
            <w:pPr>
              <w:spacing w:after="0"/>
              <w:rPr>
                <w:sz w:val="24"/>
                <w:szCs w:val="24"/>
                <w:color w:val="auto"/>
              </w:rPr>
            </w:pPr>
          </w:p>
        </w:tc>
        <w:tc>
          <w:tcPr>
            <w:tcW w:w="9860" w:type="dxa"/>
            <w:vAlign w:val="bottom"/>
            <w:gridSpan w:val="33"/>
          </w:tcPr>
          <w:p>
            <w:pPr>
              <w:spacing w:after="0"/>
              <w:rPr>
                <w:sz w:val="20"/>
                <w:szCs w:val="20"/>
                <w:color w:val="auto"/>
              </w:rPr>
            </w:pPr>
            <w:r>
              <w:rPr>
                <w:rFonts w:ascii="Arial" w:cs="Arial" w:eastAsia="Arial" w:hAnsi="Arial"/>
                <w:sz w:val="18"/>
                <w:szCs w:val="18"/>
                <w:b w:val="1"/>
                <w:bCs w:val="1"/>
                <w:color w:val="0000FF"/>
              </w:rPr>
              <w:t>FINANCIAL INFORMATION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2"/>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Item 1.</w:t>
            </w:r>
          </w:p>
        </w:tc>
        <w:tc>
          <w:tcPr>
            <w:tcW w:w="640" w:type="dxa"/>
            <w:vAlign w:val="bottom"/>
            <w:gridSpan w:val="4"/>
          </w:tcPr>
          <w:p>
            <w:pPr>
              <w:spacing w:after="0"/>
              <w:rPr>
                <w:sz w:val="24"/>
                <w:szCs w:val="24"/>
                <w:color w:val="auto"/>
              </w:rPr>
            </w:pPr>
          </w:p>
        </w:tc>
        <w:tc>
          <w:tcPr>
            <w:tcW w:w="33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7"/>
              </w:rPr>
              <w:t>FINANCIAL STATEMENTS (UNAUDITED)</w:t>
            </w:r>
          </w:p>
        </w:tc>
        <w:tc>
          <w:tcPr>
            <w:tcW w:w="6500" w:type="dxa"/>
            <w:vAlign w:val="bottom"/>
            <w:gridSpan w:val="11"/>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5</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19"/>
          </w:tcPr>
          <w:p>
            <w:pPr>
              <w:spacing w:after="0"/>
              <w:rPr>
                <w:sz w:val="20"/>
                <w:szCs w:val="20"/>
                <w:color w:val="auto"/>
              </w:rPr>
            </w:pPr>
            <w:r>
              <w:rPr>
                <w:rFonts w:ascii="Arial" w:cs="Arial" w:eastAsia="Arial" w:hAnsi="Arial"/>
                <w:sz w:val="18"/>
                <w:szCs w:val="18"/>
                <w:color w:val="0000FF"/>
                <w:w w:val="96"/>
              </w:rPr>
              <w:t>CONSOLIDATED BALANCE SHEETS</w:t>
            </w:r>
          </w:p>
        </w:tc>
        <w:tc>
          <w:tcPr>
            <w:tcW w:w="6580" w:type="dxa"/>
            <w:vAlign w:val="bottom"/>
            <w:gridSpan w:val="13"/>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560" w:type="dxa"/>
            <w:vAlign w:val="bottom"/>
            <w:gridSpan w:val="32"/>
          </w:tcPr>
          <w:p>
            <w:pPr>
              <w:spacing w:after="0"/>
              <w:rPr>
                <w:sz w:val="20"/>
                <w:szCs w:val="20"/>
                <w:color w:val="auto"/>
              </w:rPr>
            </w:pPr>
            <w:r>
              <w:rPr>
                <w:rFonts w:ascii="Arial" w:cs="Arial" w:eastAsia="Arial" w:hAnsi="Arial"/>
                <w:sz w:val="18"/>
                <w:szCs w:val="18"/>
                <w:color w:val="0000FF"/>
              </w:rPr>
              <w:t>CONSOLIDATED STATEMENTS OF INCOME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7</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560" w:type="dxa"/>
            <w:vAlign w:val="bottom"/>
            <w:gridSpan w:val="32"/>
          </w:tcPr>
          <w:p>
            <w:pPr>
              <w:spacing w:after="0"/>
              <w:rPr>
                <w:sz w:val="20"/>
                <w:szCs w:val="20"/>
                <w:color w:val="auto"/>
              </w:rPr>
            </w:pPr>
            <w:r>
              <w:rPr>
                <w:rFonts w:ascii="Arial" w:cs="Arial" w:eastAsia="Arial" w:hAnsi="Arial"/>
                <w:sz w:val="18"/>
                <w:szCs w:val="18"/>
                <w:color w:val="0000FF"/>
              </w:rPr>
              <w:t>CONSOLIDATED STATEMENTS OF COMPREHENSIVE INCOME (LOSS)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740" w:type="dxa"/>
            <w:vAlign w:val="bottom"/>
            <w:gridSpan w:val="29"/>
          </w:tcPr>
          <w:p>
            <w:pPr>
              <w:spacing w:after="0"/>
              <w:rPr>
                <w:sz w:val="20"/>
                <w:szCs w:val="20"/>
                <w:color w:val="auto"/>
              </w:rPr>
            </w:pPr>
            <w:r>
              <w:rPr>
                <w:rFonts w:ascii="Arial" w:cs="Arial" w:eastAsia="Arial" w:hAnsi="Arial"/>
                <w:sz w:val="18"/>
                <w:szCs w:val="18"/>
                <w:color w:val="0000FF"/>
              </w:rPr>
              <w:t>CONSOLIDATED STATEMENTS OF STOCKHOLDERS’ EQUITY</w:t>
            </w:r>
          </w:p>
        </w:tc>
        <w:tc>
          <w:tcPr>
            <w:tcW w:w="3820" w:type="dxa"/>
            <w:vAlign w:val="bottom"/>
            <w:gridSpan w:val="3"/>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9</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60" w:type="dxa"/>
            <w:vAlign w:val="bottom"/>
            <w:gridSpan w:val="27"/>
          </w:tcPr>
          <w:p>
            <w:pPr>
              <w:spacing w:after="0"/>
              <w:rPr>
                <w:sz w:val="20"/>
                <w:szCs w:val="20"/>
                <w:color w:val="auto"/>
              </w:rPr>
            </w:pPr>
            <w:r>
              <w:rPr>
                <w:rFonts w:ascii="Arial" w:cs="Arial" w:eastAsia="Arial" w:hAnsi="Arial"/>
                <w:sz w:val="18"/>
                <w:szCs w:val="18"/>
                <w:color w:val="0000FF"/>
              </w:rPr>
              <w:t>CONSOLIDATED STATEMENTS OF CASH FLOWS</w:t>
            </w:r>
          </w:p>
        </w:tc>
        <w:tc>
          <w:tcPr>
            <w:tcW w:w="4500" w:type="dxa"/>
            <w:vAlign w:val="bottom"/>
            <w:gridSpan w:val="5"/>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11</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6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6"/>
              </w:rPr>
              <w:t>NOTES TO UNAUDITED CONSOLIDATED FINANCIAL STATEMENTS</w:t>
            </w:r>
          </w:p>
        </w:tc>
        <w:tc>
          <w:tcPr>
            <w:tcW w:w="4300" w:type="dxa"/>
            <w:vAlign w:val="bottom"/>
            <w:gridSpan w:val="4"/>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13</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560" w:type="dxa"/>
            <w:vAlign w:val="bottom"/>
            <w:gridSpan w:val="32"/>
          </w:tcPr>
          <w:p>
            <w:pPr>
              <w:spacing w:after="0"/>
              <w:rPr>
                <w:sz w:val="20"/>
                <w:szCs w:val="20"/>
                <w:color w:val="auto"/>
              </w:rPr>
            </w:pPr>
            <w:r>
              <w:rPr>
                <w:rFonts w:ascii="Arial" w:cs="Arial" w:eastAsia="Arial" w:hAnsi="Arial"/>
                <w:sz w:val="18"/>
                <w:szCs w:val="18"/>
                <w:color w:val="0000FF"/>
              </w:rPr>
              <w:t>Note 1:  Significant Accounting Policies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13</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Note 2:</w:t>
            </w:r>
          </w:p>
        </w:tc>
        <w:tc>
          <w:tcPr>
            <w:tcW w:w="1000" w:type="dxa"/>
            <w:vAlign w:val="bottom"/>
            <w:tcBorders>
              <w:top w:val="single" w:sz="8" w:color="0000FF"/>
              <w:bottom w:val="single" w:sz="8" w:color="0000FF"/>
            </w:tcBorders>
            <w:gridSpan w:val="7"/>
          </w:tcPr>
          <w:p>
            <w:pPr>
              <w:ind w:left="80"/>
              <w:spacing w:after="0"/>
              <w:rPr>
                <w:sz w:val="20"/>
                <w:szCs w:val="20"/>
                <w:color w:val="auto"/>
              </w:rPr>
            </w:pPr>
            <w:r>
              <w:rPr>
                <w:rFonts w:ascii="Arial" w:cs="Arial" w:eastAsia="Arial" w:hAnsi="Arial"/>
                <w:sz w:val="18"/>
                <w:szCs w:val="18"/>
                <w:color w:val="0000FF"/>
                <w:w w:val="93"/>
              </w:rPr>
              <w:t>Acquisitions</w:t>
            </w:r>
          </w:p>
        </w:tc>
        <w:tc>
          <w:tcPr>
            <w:tcW w:w="1380" w:type="dxa"/>
            <w:vAlign w:val="bottom"/>
            <w:tcBorders>
              <w:top w:val="single" w:sz="8" w:color="0000FF"/>
            </w:tcBorders>
            <w:gridSpan w:val="11"/>
          </w:tcPr>
          <w:p>
            <w:pPr>
              <w:spacing w:after="0"/>
              <w:rPr>
                <w:sz w:val="21"/>
                <w:szCs w:val="21"/>
                <w:color w:val="auto"/>
              </w:rPr>
            </w:pPr>
          </w:p>
        </w:tc>
        <w:tc>
          <w:tcPr>
            <w:tcW w:w="6560" w:type="dxa"/>
            <w:vAlign w:val="bottom"/>
            <w:gridSpan w:val="1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15</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rPr>
              <w:t>Note 3:</w:t>
            </w:r>
          </w:p>
        </w:tc>
        <w:tc>
          <w:tcPr>
            <w:tcW w:w="8940" w:type="dxa"/>
            <w:vAlign w:val="bottom"/>
            <w:gridSpan w:val="30"/>
          </w:tcPr>
          <w:p>
            <w:pPr>
              <w:ind w:left="100"/>
              <w:spacing w:after="0"/>
              <w:rPr>
                <w:sz w:val="20"/>
                <w:szCs w:val="20"/>
                <w:color w:val="auto"/>
              </w:rPr>
            </w:pPr>
            <w:r>
              <w:rPr>
                <w:rFonts w:ascii="Arial" w:cs="Arial" w:eastAsia="Arial" w:hAnsi="Arial"/>
                <w:sz w:val="18"/>
                <w:szCs w:val="18"/>
                <w:color w:val="0000FF"/>
              </w:rPr>
              <w:t>Securities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18</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rPr>
              <w:t>Note 4:</w:t>
            </w:r>
          </w:p>
        </w:tc>
        <w:tc>
          <w:tcPr>
            <w:tcW w:w="8940" w:type="dxa"/>
            <w:vAlign w:val="bottom"/>
            <w:gridSpan w:val="30"/>
          </w:tcPr>
          <w:p>
            <w:pPr>
              <w:ind w:left="100"/>
              <w:spacing w:after="0"/>
              <w:rPr>
                <w:sz w:val="20"/>
                <w:szCs w:val="20"/>
                <w:color w:val="auto"/>
              </w:rPr>
            </w:pPr>
            <w:r>
              <w:rPr>
                <w:rFonts w:ascii="Arial" w:cs="Arial" w:eastAsia="Arial" w:hAnsi="Arial"/>
                <w:sz w:val="18"/>
                <w:szCs w:val="18"/>
                <w:color w:val="0000FF"/>
              </w:rPr>
              <w:t>Portfolio Loans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22</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Note 5:</w:t>
            </w:r>
          </w:p>
        </w:tc>
        <w:tc>
          <w:tcPr>
            <w:tcW w:w="1220" w:type="dxa"/>
            <w:vAlign w:val="bottom"/>
            <w:tcBorders>
              <w:top w:val="single" w:sz="8" w:color="0000FF"/>
            </w:tcBorders>
            <w:gridSpan w:val="9"/>
          </w:tcPr>
          <w:p>
            <w:pPr>
              <w:ind w:left="100"/>
              <w:spacing w:after="0"/>
              <w:rPr>
                <w:sz w:val="20"/>
                <w:szCs w:val="20"/>
                <w:color w:val="auto"/>
              </w:rPr>
            </w:pPr>
            <w:r>
              <w:rPr>
                <w:rFonts w:ascii="Arial" w:cs="Arial" w:eastAsia="Arial" w:hAnsi="Arial"/>
                <w:sz w:val="18"/>
                <w:szCs w:val="18"/>
                <w:color w:val="0000FF"/>
              </w:rPr>
              <w:t>Deposits</w:t>
            </w:r>
          </w:p>
        </w:tc>
        <w:tc>
          <w:tcPr>
            <w:tcW w:w="7720" w:type="dxa"/>
            <w:vAlign w:val="bottom"/>
            <w:gridSpan w:val="21"/>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Note 6:</w:t>
            </w:r>
          </w:p>
        </w:tc>
        <w:tc>
          <w:tcPr>
            <w:tcW w:w="960" w:type="dxa"/>
            <w:vAlign w:val="bottom"/>
            <w:tcBorders>
              <w:bottom w:val="single" w:sz="8" w:color="0000FF"/>
            </w:tcBorders>
            <w:gridSpan w:val="6"/>
          </w:tcPr>
          <w:p>
            <w:pPr>
              <w:ind w:left="100"/>
              <w:spacing w:after="0"/>
              <w:rPr>
                <w:sz w:val="20"/>
                <w:szCs w:val="20"/>
                <w:color w:val="auto"/>
              </w:rPr>
            </w:pPr>
            <w:r>
              <w:rPr>
                <w:rFonts w:ascii="Arial" w:cs="Arial" w:eastAsia="Arial" w:hAnsi="Arial"/>
                <w:sz w:val="18"/>
                <w:szCs w:val="18"/>
                <w:color w:val="0000FF"/>
                <w:w w:val="93"/>
              </w:rPr>
              <w:t>Borrowings</w:t>
            </w:r>
          </w:p>
        </w:tc>
        <w:tc>
          <w:tcPr>
            <w:tcW w:w="7980" w:type="dxa"/>
            <w:vAlign w:val="bottom"/>
            <w:gridSpan w:val="24"/>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rPr>
              <w:t>Note 7:</w:t>
            </w:r>
          </w:p>
        </w:tc>
        <w:tc>
          <w:tcPr>
            <w:tcW w:w="8940" w:type="dxa"/>
            <w:vAlign w:val="bottom"/>
            <w:gridSpan w:val="30"/>
          </w:tcPr>
          <w:p>
            <w:pPr>
              <w:ind w:left="100"/>
              <w:spacing w:after="0"/>
              <w:rPr>
                <w:sz w:val="20"/>
                <w:szCs w:val="20"/>
                <w:color w:val="auto"/>
              </w:rPr>
            </w:pPr>
            <w:r>
              <w:rPr>
                <w:rFonts w:ascii="Arial" w:cs="Arial" w:eastAsia="Arial" w:hAnsi="Arial"/>
                <w:sz w:val="18"/>
                <w:szCs w:val="18"/>
                <w:color w:val="0000FF"/>
              </w:rPr>
              <w:t>Regulatory Capital</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Note 8:</w:t>
            </w:r>
          </w:p>
        </w:tc>
        <w:tc>
          <w:tcPr>
            <w:tcW w:w="2100" w:type="dxa"/>
            <w:vAlign w:val="bottom"/>
            <w:tcBorders>
              <w:bottom w:val="single" w:sz="8" w:color="0000FF"/>
            </w:tcBorders>
            <w:gridSpan w:val="14"/>
          </w:tcPr>
          <w:p>
            <w:pPr>
              <w:ind w:left="100"/>
              <w:spacing w:after="0"/>
              <w:rPr>
                <w:sz w:val="20"/>
                <w:szCs w:val="20"/>
                <w:color w:val="auto"/>
              </w:rPr>
            </w:pPr>
            <w:r>
              <w:rPr>
                <w:rFonts w:ascii="Arial" w:cs="Arial" w:eastAsia="Arial" w:hAnsi="Arial"/>
                <w:sz w:val="18"/>
                <w:szCs w:val="18"/>
                <w:color w:val="0000FF"/>
                <w:w w:val="88"/>
              </w:rPr>
              <w:t>Stock-Based Compensation</w:t>
            </w:r>
          </w:p>
        </w:tc>
        <w:tc>
          <w:tcPr>
            <w:tcW w:w="6840" w:type="dxa"/>
            <w:vAlign w:val="bottom"/>
            <w:gridSpan w:val="16"/>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560" w:type="dxa"/>
            <w:vAlign w:val="bottom"/>
            <w:gridSpan w:val="32"/>
          </w:tcPr>
          <w:p>
            <w:pPr>
              <w:spacing w:after="0"/>
              <w:rPr>
                <w:sz w:val="20"/>
                <w:szCs w:val="20"/>
                <w:color w:val="auto"/>
              </w:rPr>
            </w:pPr>
            <w:r>
              <w:rPr>
                <w:rFonts w:ascii="Arial" w:cs="Arial" w:eastAsia="Arial" w:hAnsi="Arial"/>
                <w:sz w:val="18"/>
                <w:szCs w:val="18"/>
                <w:color w:val="0000FF"/>
              </w:rPr>
              <w:t>Note 9:  Outstanding Commitments and Contingent Liabilities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58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Note 10: Derivative Financial Instruments</w:t>
            </w:r>
          </w:p>
        </w:tc>
        <w:tc>
          <w:tcPr>
            <w:tcW w:w="4980" w:type="dxa"/>
            <w:vAlign w:val="bottom"/>
            <w:gridSpan w:val="6"/>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0"/>
              </w:rPr>
              <w:t>Note 11: Fair Value Measurements</w:t>
            </w:r>
          </w:p>
        </w:tc>
        <w:tc>
          <w:tcPr>
            <w:tcW w:w="520" w:type="dxa"/>
            <w:vAlign w:val="bottom"/>
            <w:tcBorders>
              <w:top w:val="single" w:sz="8" w:color="0000FF"/>
            </w:tcBorders>
            <w:gridSpan w:val="7"/>
          </w:tcPr>
          <w:p>
            <w:pPr>
              <w:spacing w:after="0"/>
              <w:rPr>
                <w:sz w:val="21"/>
                <w:szCs w:val="21"/>
                <w:color w:val="auto"/>
              </w:rPr>
            </w:pPr>
          </w:p>
        </w:tc>
        <w:tc>
          <w:tcPr>
            <w:tcW w:w="6480" w:type="dxa"/>
            <w:vAlign w:val="bottom"/>
            <w:gridSpan w:val="10"/>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560" w:type="dxa"/>
            <w:vAlign w:val="bottom"/>
            <w:gridSpan w:val="32"/>
          </w:tcPr>
          <w:p>
            <w:pPr>
              <w:spacing w:after="0"/>
              <w:rPr>
                <w:sz w:val="20"/>
                <w:szCs w:val="20"/>
                <w:color w:val="auto"/>
              </w:rPr>
            </w:pPr>
            <w:r>
              <w:rPr>
                <w:rFonts w:ascii="Arial" w:cs="Arial" w:eastAsia="Arial" w:hAnsi="Arial"/>
                <w:sz w:val="18"/>
                <w:szCs w:val="18"/>
                <w:color w:val="0000FF"/>
              </w:rPr>
              <w:t>Note 12: Earnings per Common Share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48</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560" w:type="dxa"/>
            <w:vAlign w:val="bottom"/>
            <w:gridSpan w:val="32"/>
          </w:tcPr>
          <w:p>
            <w:pPr>
              <w:spacing w:after="0"/>
              <w:rPr>
                <w:sz w:val="20"/>
                <w:szCs w:val="20"/>
                <w:color w:val="auto"/>
              </w:rPr>
            </w:pPr>
            <w:r>
              <w:rPr>
                <w:rFonts w:ascii="Arial" w:cs="Arial" w:eastAsia="Arial" w:hAnsi="Arial"/>
                <w:sz w:val="18"/>
                <w:szCs w:val="18"/>
                <w:color w:val="0000FF"/>
              </w:rPr>
              <w:t>Note 13: Accumulated Other Comprehensive Income (Loss)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50</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8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rPr>
              <w:t>Note 14: Operating Segments and Related Information</w:t>
            </w:r>
          </w:p>
        </w:tc>
        <w:tc>
          <w:tcPr>
            <w:tcW w:w="5180" w:type="dxa"/>
            <w:vAlign w:val="bottom"/>
            <w:gridSpan w:val="7"/>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51</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Borders>
              <w:top w:val="single" w:sz="8" w:color="0000FF"/>
            </w:tcBorders>
            <w:gridSpan w:val="24"/>
          </w:tcPr>
          <w:p>
            <w:pPr>
              <w:spacing w:after="0"/>
              <w:rPr>
                <w:sz w:val="20"/>
                <w:szCs w:val="20"/>
                <w:color w:val="auto"/>
              </w:rPr>
            </w:pPr>
            <w:r>
              <w:rPr>
                <w:rFonts w:ascii="Arial" w:cs="Arial" w:eastAsia="Arial" w:hAnsi="Arial"/>
                <w:sz w:val="18"/>
                <w:szCs w:val="18"/>
                <w:color w:val="0000FF"/>
              </w:rPr>
              <w:t>Note 15: Leases</w:t>
            </w:r>
          </w:p>
        </w:tc>
        <w:tc>
          <w:tcPr>
            <w:tcW w:w="5560" w:type="dxa"/>
            <w:vAlign w:val="bottom"/>
            <w:gridSpan w:val="8"/>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r>
      <w:tr>
        <w:trPr>
          <w:trHeight w:val="20"/>
        </w:trPr>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8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Item 2.</w:t>
            </w:r>
          </w:p>
        </w:tc>
        <w:tc>
          <w:tcPr>
            <w:tcW w:w="640" w:type="dxa"/>
            <w:vAlign w:val="bottom"/>
            <w:gridSpan w:val="4"/>
          </w:tcPr>
          <w:p>
            <w:pPr>
              <w:spacing w:after="0"/>
              <w:rPr>
                <w:sz w:val="21"/>
                <w:szCs w:val="21"/>
                <w:color w:val="auto"/>
              </w:rPr>
            </w:pPr>
          </w:p>
        </w:tc>
        <w:tc>
          <w:tcPr>
            <w:tcW w:w="890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6"/>
              </w:rPr>
              <w:t>MANAGEMENT’S DISCUSSION AND ANALYSIS OF FINANCIAL CONDITION AND RESULTS OF OPERATIONS</w:t>
            </w:r>
          </w:p>
        </w:tc>
        <w:tc>
          <w:tcPr>
            <w:tcW w:w="9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r>
      <w:tr>
        <w:trPr>
          <w:trHeight w:val="250"/>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Item 3.</w:t>
            </w:r>
          </w:p>
        </w:tc>
        <w:tc>
          <w:tcPr>
            <w:tcW w:w="640" w:type="dxa"/>
            <w:vAlign w:val="bottom"/>
            <w:gridSpan w:val="4"/>
          </w:tcPr>
          <w:p>
            <w:pPr>
              <w:spacing w:after="0"/>
              <w:rPr>
                <w:sz w:val="21"/>
                <w:szCs w:val="21"/>
                <w:color w:val="auto"/>
              </w:rPr>
            </w:pPr>
          </w:p>
        </w:tc>
        <w:tc>
          <w:tcPr>
            <w:tcW w:w="612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7"/>
              </w:rPr>
              <w:t>QUANTITATIVE AND QUALITATIVE DISCLOSURES ABOUT MARKET RISK</w:t>
            </w:r>
          </w:p>
        </w:tc>
        <w:tc>
          <w:tcPr>
            <w:tcW w:w="374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85</w:t>
            </w:r>
          </w:p>
        </w:tc>
      </w:tr>
      <w:tr>
        <w:trPr>
          <w:trHeight w:val="250"/>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Item 4.</w:t>
            </w:r>
          </w:p>
        </w:tc>
        <w:tc>
          <w:tcPr>
            <w:tcW w:w="640" w:type="dxa"/>
            <w:vAlign w:val="bottom"/>
            <w:gridSpan w:val="4"/>
          </w:tcPr>
          <w:p>
            <w:pPr>
              <w:spacing w:after="0"/>
              <w:rPr>
                <w:sz w:val="21"/>
                <w:szCs w:val="21"/>
                <w:color w:val="auto"/>
              </w:rPr>
            </w:pPr>
          </w:p>
        </w:tc>
        <w:tc>
          <w:tcPr>
            <w:tcW w:w="25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3"/>
              </w:rPr>
              <w:t>CONTROLS AND PROCEDURES</w:t>
            </w:r>
          </w:p>
        </w:tc>
        <w:tc>
          <w:tcPr>
            <w:tcW w:w="7280" w:type="dxa"/>
            <w:vAlign w:val="bottom"/>
            <w:gridSpan w:val="18"/>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86</w:t>
            </w:r>
          </w:p>
        </w:tc>
      </w:tr>
      <w:tr>
        <w:trPr>
          <w:trHeight w:val="412"/>
        </w:trPr>
        <w:tc>
          <w:tcPr>
            <w:tcW w:w="540" w:type="dxa"/>
            <w:vAlign w:val="bottom"/>
            <w:gridSpan w:val="3"/>
          </w:tcPr>
          <w:p>
            <w:pPr>
              <w:spacing w:after="0"/>
              <w:rPr>
                <w:sz w:val="20"/>
                <w:szCs w:val="20"/>
                <w:color w:val="auto"/>
              </w:rPr>
            </w:pPr>
            <w:r>
              <w:rPr>
                <w:rFonts w:ascii="Arial" w:cs="Arial" w:eastAsia="Arial" w:hAnsi="Arial"/>
                <w:sz w:val="18"/>
                <w:szCs w:val="18"/>
                <w:b w:val="1"/>
                <w:bCs w:val="1"/>
                <w:color w:val="0000FF"/>
              </w:rPr>
              <w:t>Part II</w:t>
            </w:r>
          </w:p>
        </w:tc>
        <w:tc>
          <w:tcPr>
            <w:tcW w:w="620" w:type="dxa"/>
            <w:vAlign w:val="bottom"/>
            <w:gridSpan w:val="3"/>
          </w:tcPr>
          <w:p>
            <w:pPr>
              <w:spacing w:after="0"/>
              <w:rPr>
                <w:sz w:val="24"/>
                <w:szCs w:val="24"/>
                <w:color w:val="auto"/>
              </w:rPr>
            </w:pPr>
          </w:p>
        </w:tc>
        <w:tc>
          <w:tcPr>
            <w:tcW w:w="9860" w:type="dxa"/>
            <w:vAlign w:val="bottom"/>
            <w:gridSpan w:val="33"/>
          </w:tcPr>
          <w:p>
            <w:pPr>
              <w:spacing w:after="0"/>
              <w:rPr>
                <w:sz w:val="20"/>
                <w:szCs w:val="20"/>
                <w:color w:val="auto"/>
              </w:rPr>
            </w:pPr>
            <w:r>
              <w:rPr>
                <w:rFonts w:ascii="Arial" w:cs="Arial" w:eastAsia="Arial" w:hAnsi="Arial"/>
                <w:sz w:val="18"/>
                <w:szCs w:val="18"/>
                <w:b w:val="1"/>
                <w:bCs w:val="1"/>
                <w:color w:val="0000FF"/>
              </w:rPr>
              <w:t>OTHER INFORMATION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87</w:t>
            </w:r>
          </w:p>
        </w:tc>
      </w:tr>
      <w:tr>
        <w:trPr>
          <w:trHeight w:val="412"/>
        </w:trPr>
        <w:tc>
          <w:tcPr>
            <w:tcW w:w="5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0"/>
              </w:rPr>
              <w:t>Item 1.</w:t>
            </w:r>
          </w:p>
        </w:tc>
        <w:tc>
          <w:tcPr>
            <w:tcW w:w="20" w:type="dxa"/>
            <w:vAlign w:val="bottom"/>
            <w:tcBorders>
              <w:top w:val="single" w:sz="8" w:color="0000FF"/>
            </w:tcBorders>
          </w:tcPr>
          <w:p>
            <w:pPr>
              <w:spacing w:after="0"/>
              <w:rPr>
                <w:sz w:val="24"/>
                <w:szCs w:val="24"/>
                <w:color w:val="auto"/>
              </w:rPr>
            </w:pPr>
          </w:p>
        </w:tc>
        <w:tc>
          <w:tcPr>
            <w:tcW w:w="620" w:type="dxa"/>
            <w:vAlign w:val="bottom"/>
            <w:gridSpan w:val="3"/>
          </w:tcPr>
          <w:p>
            <w:pPr>
              <w:spacing w:after="0"/>
              <w:rPr>
                <w:sz w:val="24"/>
                <w:szCs w:val="24"/>
                <w:color w:val="auto"/>
              </w:rPr>
            </w:pPr>
          </w:p>
        </w:tc>
        <w:tc>
          <w:tcPr>
            <w:tcW w:w="18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3"/>
              </w:rPr>
              <w:t>LEGAL PROCEEDINGS</w:t>
            </w:r>
          </w:p>
        </w:tc>
        <w:tc>
          <w:tcPr>
            <w:tcW w:w="140" w:type="dxa"/>
            <w:vAlign w:val="bottom"/>
            <w:tcBorders>
              <w:top w:val="single" w:sz="8" w:color="0000FF"/>
            </w:tcBorders>
            <w:gridSpan w:val="3"/>
          </w:tcPr>
          <w:p>
            <w:pPr>
              <w:spacing w:after="0"/>
              <w:rPr>
                <w:sz w:val="24"/>
                <w:szCs w:val="24"/>
                <w:color w:val="auto"/>
              </w:rPr>
            </w:pPr>
          </w:p>
        </w:tc>
        <w:tc>
          <w:tcPr>
            <w:tcW w:w="7860" w:type="dxa"/>
            <w:vAlign w:val="bottom"/>
            <w:gridSpan w:val="22"/>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87</w:t>
            </w:r>
          </w:p>
        </w:tc>
      </w:tr>
      <w:tr>
        <w:trPr>
          <w:trHeight w:val="250"/>
        </w:trPr>
        <w:tc>
          <w:tcPr>
            <w:tcW w:w="1160" w:type="dxa"/>
            <w:vAlign w:val="bottom"/>
            <w:gridSpan w:val="6"/>
          </w:tcPr>
          <w:p>
            <w:pPr>
              <w:spacing w:after="0"/>
              <w:rPr>
                <w:sz w:val="20"/>
                <w:szCs w:val="20"/>
                <w:color w:val="auto"/>
              </w:rPr>
            </w:pPr>
            <w:r>
              <w:rPr>
                <w:rFonts w:ascii="Arial" w:cs="Arial" w:eastAsia="Arial" w:hAnsi="Arial"/>
                <w:sz w:val="18"/>
                <w:szCs w:val="18"/>
                <w:color w:val="0000FF"/>
              </w:rPr>
              <w:t>Item 1A</w:t>
            </w:r>
            <w:r>
              <w:rPr>
                <w:rFonts w:ascii="Arial" w:cs="Arial" w:eastAsia="Arial" w:hAnsi="Arial"/>
                <w:sz w:val="18"/>
                <w:szCs w:val="18"/>
                <w:color w:val="000000"/>
              </w:rPr>
              <w:t>.</w:t>
            </w:r>
          </w:p>
        </w:tc>
        <w:tc>
          <w:tcPr>
            <w:tcW w:w="9860" w:type="dxa"/>
            <w:vAlign w:val="bottom"/>
            <w:gridSpan w:val="33"/>
          </w:tcPr>
          <w:p>
            <w:pPr>
              <w:spacing w:after="0"/>
              <w:rPr>
                <w:sz w:val="20"/>
                <w:szCs w:val="20"/>
                <w:color w:val="auto"/>
              </w:rPr>
            </w:pPr>
            <w:r>
              <w:rPr>
                <w:rFonts w:ascii="Arial" w:cs="Arial" w:eastAsia="Arial" w:hAnsi="Arial"/>
                <w:sz w:val="18"/>
                <w:szCs w:val="18"/>
                <w:color w:val="0000FF"/>
              </w:rPr>
              <w:t>RISK FACTORS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87</w:t>
            </w:r>
          </w:p>
        </w:tc>
      </w:tr>
      <w:tr>
        <w:trPr>
          <w:trHeight w:val="20"/>
        </w:trPr>
        <w:tc>
          <w:tcPr>
            <w:tcW w:w="60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11"/>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8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9860" w:type="dxa"/>
            <w:vAlign w:val="bottom"/>
            <w:gridSpan w:val="3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87</w:t>
            </w:r>
          </w:p>
        </w:tc>
      </w:tr>
      <w:tr>
        <w:trPr>
          <w:trHeight w:val="250"/>
        </w:trPr>
        <w:tc>
          <w:tcPr>
            <w:tcW w:w="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0"/>
              </w:rPr>
              <w:t>Item 3.</w:t>
            </w:r>
          </w:p>
        </w:tc>
        <w:tc>
          <w:tcPr>
            <w:tcW w:w="640" w:type="dxa"/>
            <w:vAlign w:val="bottom"/>
            <w:gridSpan w:val="4"/>
          </w:tcPr>
          <w:p>
            <w:pPr>
              <w:spacing w:after="0"/>
              <w:rPr>
                <w:sz w:val="21"/>
                <w:szCs w:val="21"/>
                <w:color w:val="auto"/>
              </w:rPr>
            </w:pPr>
          </w:p>
        </w:tc>
        <w:tc>
          <w:tcPr>
            <w:tcW w:w="6040" w:type="dxa"/>
            <w:vAlign w:val="bottom"/>
            <w:tcBorders>
              <w:top w:val="single" w:sz="8" w:color="0000FF"/>
            </w:tcBorders>
            <w:gridSpan w:val="30"/>
          </w:tcPr>
          <w:p>
            <w:pPr>
              <w:spacing w:after="0"/>
              <w:rPr>
                <w:sz w:val="20"/>
                <w:szCs w:val="20"/>
                <w:color w:val="auto"/>
              </w:rPr>
            </w:pPr>
            <w:r>
              <w:rPr>
                <w:rFonts w:ascii="Arial" w:cs="Arial" w:eastAsia="Arial" w:hAnsi="Arial"/>
                <w:sz w:val="18"/>
                <w:szCs w:val="18"/>
                <w:color w:val="0000FF"/>
              </w:rPr>
              <w:t>DEFAULTS UPON SENIOR SECURITIES</w:t>
            </w:r>
          </w:p>
        </w:tc>
        <w:tc>
          <w:tcPr>
            <w:tcW w:w="3820" w:type="dxa"/>
            <w:vAlign w:val="bottom"/>
            <w:gridSpan w:val="3"/>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87</w:t>
            </w:r>
          </w:p>
        </w:tc>
      </w:tr>
      <w:tr>
        <w:trPr>
          <w:trHeight w:val="250"/>
        </w:trPr>
        <w:tc>
          <w:tcPr>
            <w:tcW w:w="5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0"/>
              </w:rPr>
              <w:t>Item 4.</w:t>
            </w:r>
          </w:p>
        </w:tc>
        <w:tc>
          <w:tcPr>
            <w:tcW w:w="640" w:type="dxa"/>
            <w:vAlign w:val="bottom"/>
            <w:gridSpan w:val="4"/>
          </w:tcPr>
          <w:p>
            <w:pPr>
              <w:spacing w:after="0"/>
              <w:rPr>
                <w:sz w:val="21"/>
                <w:szCs w:val="21"/>
                <w:color w:val="auto"/>
              </w:rPr>
            </w:pPr>
          </w:p>
        </w:tc>
        <w:tc>
          <w:tcPr>
            <w:tcW w:w="24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4"/>
              </w:rPr>
              <w:t>MINE SAFETY DISCLOSURES</w:t>
            </w:r>
          </w:p>
        </w:tc>
        <w:tc>
          <w:tcPr>
            <w:tcW w:w="740" w:type="dxa"/>
            <w:vAlign w:val="bottom"/>
            <w:tcBorders>
              <w:top w:val="single" w:sz="8" w:color="0000FF"/>
            </w:tcBorders>
            <w:gridSpan w:val="5"/>
          </w:tcPr>
          <w:p>
            <w:pPr>
              <w:spacing w:after="0"/>
              <w:rPr>
                <w:sz w:val="21"/>
                <w:szCs w:val="21"/>
                <w:color w:val="auto"/>
              </w:rPr>
            </w:pPr>
          </w:p>
        </w:tc>
        <w:tc>
          <w:tcPr>
            <w:tcW w:w="6700" w:type="dxa"/>
            <w:vAlign w:val="bottom"/>
            <w:gridSpan w:val="1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87</w:t>
            </w:r>
          </w:p>
        </w:tc>
      </w:tr>
      <w:tr>
        <w:trPr>
          <w:trHeight w:val="250"/>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Item 5.</w:t>
            </w:r>
          </w:p>
        </w:tc>
        <w:tc>
          <w:tcPr>
            <w:tcW w:w="640" w:type="dxa"/>
            <w:vAlign w:val="bottom"/>
            <w:gridSpan w:val="4"/>
          </w:tcPr>
          <w:p>
            <w:pPr>
              <w:spacing w:after="0"/>
              <w:rPr>
                <w:sz w:val="21"/>
                <w:szCs w:val="21"/>
                <w:color w:val="auto"/>
              </w:rPr>
            </w:pPr>
          </w:p>
        </w:tc>
        <w:tc>
          <w:tcPr>
            <w:tcW w:w="18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OTHER INFORMATION</w:t>
            </w:r>
          </w:p>
        </w:tc>
        <w:tc>
          <w:tcPr>
            <w:tcW w:w="7980" w:type="dxa"/>
            <w:vAlign w:val="bottom"/>
            <w:gridSpan w:val="24"/>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87</w:t>
            </w:r>
          </w:p>
        </w:tc>
      </w:tr>
      <w:tr>
        <w:trPr>
          <w:trHeight w:val="250"/>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Item 6.</w:t>
            </w:r>
          </w:p>
        </w:tc>
        <w:tc>
          <w:tcPr>
            <w:tcW w:w="640" w:type="dxa"/>
            <w:vAlign w:val="bottom"/>
            <w:gridSpan w:val="4"/>
          </w:tcPr>
          <w:p>
            <w:pPr>
              <w:spacing w:after="0"/>
              <w:rPr>
                <w:sz w:val="21"/>
                <w:szCs w:val="21"/>
                <w:color w:val="auto"/>
              </w:rPr>
            </w:pPr>
          </w:p>
        </w:tc>
        <w:tc>
          <w:tcPr>
            <w:tcW w:w="8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5"/>
              </w:rPr>
              <w:t>EXHIBITS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88</w:t>
            </w:r>
          </w:p>
        </w:tc>
      </w:tr>
      <w:tr>
        <w:trPr>
          <w:trHeight w:val="412"/>
        </w:trPr>
        <w:tc>
          <w:tcPr>
            <w:tcW w:w="2080" w:type="dxa"/>
            <w:vAlign w:val="bottom"/>
            <w:gridSpan w:val="9"/>
          </w:tcPr>
          <w:p>
            <w:pPr>
              <w:spacing w:after="0"/>
              <w:rPr>
                <w:sz w:val="20"/>
                <w:szCs w:val="20"/>
                <w:color w:val="auto"/>
              </w:rPr>
            </w:pPr>
            <w:r>
              <w:rPr>
                <w:rFonts w:ascii="Arial" w:cs="Arial" w:eastAsia="Arial" w:hAnsi="Arial"/>
                <w:sz w:val="18"/>
                <w:szCs w:val="18"/>
                <w:b w:val="1"/>
                <w:bCs w:val="1"/>
                <w:color w:val="0000FF"/>
              </w:rPr>
              <w:t>SIGNATURES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89</w:t>
            </w: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780"/>
              <w:spacing w:after="0"/>
              <w:rPr>
                <w:sz w:val="20"/>
                <w:szCs w:val="20"/>
                <w:color w:val="auto"/>
              </w:rPr>
            </w:pPr>
            <w:r>
              <w:rPr>
                <w:rFonts w:ascii="Arial" w:cs="Arial" w:eastAsia="Arial" w:hAnsi="Arial"/>
                <w:sz w:val="18"/>
                <w:szCs w:val="18"/>
                <w:b w:val="1"/>
                <w:bCs w:val="1"/>
                <w:color w:val="auto"/>
              </w:rPr>
              <w:t>GLOSSARY</w:t>
            </w:r>
          </w:p>
        </w:tc>
      </w:tr>
      <w:tr>
        <w:trPr>
          <w:trHeight w:val="432"/>
        </w:trPr>
        <w:tc>
          <w:tcPr>
            <w:tcW w:w="11240" w:type="dxa"/>
            <w:vAlign w:val="bottom"/>
            <w:gridSpan w:val="3"/>
          </w:tcPr>
          <w:p>
            <w:pPr>
              <w:spacing w:after="0"/>
              <w:rPr>
                <w:sz w:val="20"/>
                <w:szCs w:val="20"/>
                <w:color w:val="auto"/>
              </w:rPr>
            </w:pPr>
            <w:r>
              <w:rPr>
                <w:rFonts w:ascii="Arial" w:cs="Arial" w:eastAsia="Arial" w:hAnsi="Arial"/>
                <w:sz w:val="18"/>
                <w:szCs w:val="18"/>
                <w:color w:val="auto"/>
              </w:rPr>
              <w:t>We use acronyms, abbreviations, and other terms throughout this Quarterly Report, as defined in the glossary below:</w:t>
            </w:r>
          </w:p>
        </w:tc>
      </w:tr>
      <w:tr>
        <w:trPr>
          <w:trHeight w:val="433"/>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8880" w:type="dxa"/>
            <w:vAlign w:val="bottom"/>
          </w:tcPr>
          <w:p>
            <w:pPr>
              <w:ind w:left="20"/>
              <w:spacing w:after="0"/>
              <w:rPr>
                <w:sz w:val="20"/>
                <w:szCs w:val="20"/>
                <w:color w:val="auto"/>
              </w:rPr>
            </w:pPr>
            <w:r>
              <w:rPr>
                <w:rFonts w:ascii="Arial" w:cs="Arial" w:eastAsia="Arial" w:hAnsi="Arial"/>
                <w:sz w:val="14"/>
                <w:szCs w:val="14"/>
                <w:b w:val="1"/>
                <w:bCs w:val="1"/>
                <w:color w:val="auto"/>
              </w:rPr>
              <w:t>Definition</w:t>
            </w:r>
          </w:p>
        </w:tc>
      </w:tr>
      <w:tr>
        <w:trPr>
          <w:trHeight w:val="39"/>
        </w:trPr>
        <w:tc>
          <w:tcPr>
            <w:tcW w:w="2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80" w:type="dxa"/>
            <w:vAlign w:val="bottom"/>
            <w:tcBorders>
              <w:bottom w:val="single" w:sz="8" w:color="auto"/>
            </w:tcBorders>
          </w:tcPr>
          <w:p>
            <w:pPr>
              <w:spacing w:after="0"/>
              <w:rPr>
                <w:sz w:val="3"/>
                <w:szCs w:val="3"/>
                <w:color w:val="auto"/>
              </w:rPr>
            </w:pPr>
          </w:p>
        </w:tc>
      </w:tr>
      <w:tr>
        <w:trPr>
          <w:trHeight w:val="24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Equity Plan</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Busey's 2020 Equity Incentive Plan</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ACL</w:t>
            </w:r>
          </w:p>
        </w:tc>
        <w:tc>
          <w:tcPr>
            <w:tcW w:w="88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Annual Report</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Annual report filed with the SEC on Form 10-K pursuant to Section 13 or 15(d) of the Exchange Act</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AOCI</w:t>
            </w:r>
          </w:p>
        </w:tc>
        <w:tc>
          <w:tcPr>
            <w:tcW w:w="888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Standards Codification</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ASU</w:t>
            </w:r>
          </w:p>
        </w:tc>
        <w:tc>
          <w:tcPr>
            <w:tcW w:w="8880" w:type="dxa"/>
            <w:vAlign w:val="bottom"/>
          </w:tcPr>
          <w:p>
            <w:pPr>
              <w:ind w:left="20"/>
              <w:spacing w:after="0"/>
              <w:rPr>
                <w:sz w:val="20"/>
                <w:szCs w:val="20"/>
                <w:color w:val="auto"/>
              </w:rPr>
            </w:pPr>
            <w:r>
              <w:rPr>
                <w:rFonts w:ascii="Arial" w:cs="Arial" w:eastAsia="Arial" w:hAnsi="Arial"/>
                <w:sz w:val="18"/>
                <w:szCs w:val="18"/>
                <w:color w:val="auto"/>
              </w:rPr>
              <w:t>Accounting Standards Update</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Basel III</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2010 capital accord adopted by the international Basel Committee on Banking Supervision</w:t>
            </w:r>
          </w:p>
        </w:tc>
      </w:tr>
      <w:tr>
        <w:trPr>
          <w:trHeight w:val="229"/>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Basel III Rule</w:t>
            </w:r>
          </w:p>
        </w:tc>
        <w:tc>
          <w:tcPr>
            <w:tcW w:w="8880" w:type="dxa"/>
            <w:vAlign w:val="bottom"/>
          </w:tcPr>
          <w:p>
            <w:pPr>
              <w:ind w:left="20"/>
              <w:spacing w:after="0"/>
              <w:rPr>
                <w:sz w:val="20"/>
                <w:szCs w:val="20"/>
                <w:color w:val="auto"/>
              </w:rPr>
            </w:pPr>
            <w:r>
              <w:rPr>
                <w:rFonts w:ascii="Arial" w:cs="Arial" w:eastAsia="Arial" w:hAnsi="Arial"/>
                <w:sz w:val="18"/>
                <w:szCs w:val="18"/>
                <w:color w:val="auto"/>
                <w:w w:val="95"/>
              </w:rPr>
              <w:t>Regulations promulgated by U.S. federal banking agencies – the OCC, the Federal Reserve, and the FDIC – to both</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w w:val="90"/>
              </w:rPr>
              <w:t>enforce implementation of certain aspects of the Basel III capital reforms and effect certain changes required by the Dodd-</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Frank Wall Street Reform and Consumer Protection Act</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bps</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basis points</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CAC</w:t>
            </w:r>
          </w:p>
        </w:tc>
        <w:tc>
          <w:tcPr>
            <w:tcW w:w="8880" w:type="dxa"/>
            <w:vAlign w:val="bottom"/>
          </w:tcPr>
          <w:p>
            <w:pPr>
              <w:ind w:left="20"/>
              <w:spacing w:after="0"/>
              <w:rPr>
                <w:sz w:val="20"/>
                <w:szCs w:val="20"/>
                <w:color w:val="auto"/>
              </w:rPr>
            </w:pPr>
            <w:r>
              <w:rPr>
                <w:rFonts w:ascii="Arial" w:cs="Arial" w:eastAsia="Arial" w:hAnsi="Arial"/>
                <w:sz w:val="18"/>
                <w:szCs w:val="18"/>
                <w:color w:val="auto"/>
              </w:rPr>
              <w:t>Cummins-American Corp.</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CARES Act</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Coronavirus Aid, Relief, and Economic Security Act</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CECL</w:t>
            </w:r>
          </w:p>
        </w:tc>
        <w:tc>
          <w:tcPr>
            <w:tcW w:w="8880" w:type="dxa"/>
            <w:vAlign w:val="bottom"/>
          </w:tcPr>
          <w:p>
            <w:pPr>
              <w:ind w:left="20"/>
              <w:spacing w:after="0"/>
              <w:rPr>
                <w:sz w:val="20"/>
                <w:szCs w:val="20"/>
                <w:color w:val="auto"/>
              </w:rPr>
            </w:pPr>
            <w:r>
              <w:rPr>
                <w:rFonts w:ascii="Arial" w:cs="Arial" w:eastAsia="Arial" w:hAnsi="Arial"/>
                <w:sz w:val="18"/>
                <w:szCs w:val="18"/>
                <w:color w:val="auto"/>
              </w:rPr>
              <w:t>Current Expected Credit Losses</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COVID-19</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Coronavirus disease 2019</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DSU</w:t>
            </w:r>
          </w:p>
        </w:tc>
        <w:tc>
          <w:tcPr>
            <w:tcW w:w="8880" w:type="dxa"/>
            <w:vAlign w:val="bottom"/>
          </w:tcPr>
          <w:p>
            <w:pPr>
              <w:ind w:left="20"/>
              <w:spacing w:after="0"/>
              <w:rPr>
                <w:sz w:val="20"/>
                <w:szCs w:val="20"/>
                <w:color w:val="auto"/>
              </w:rPr>
            </w:pPr>
            <w:r>
              <w:rPr>
                <w:rFonts w:ascii="Arial" w:cs="Arial" w:eastAsia="Arial" w:hAnsi="Arial"/>
                <w:sz w:val="18"/>
                <w:szCs w:val="18"/>
                <w:color w:val="auto"/>
              </w:rPr>
              <w:t>Deferred stock unit</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Exchange Act</w:t>
            </w:r>
          </w:p>
        </w:tc>
        <w:tc>
          <w:tcPr>
            <w:tcW w:w="8880" w:type="dxa"/>
            <w:vAlign w:val="bottom"/>
          </w:tcPr>
          <w:p>
            <w:pPr>
              <w:ind w:left="20"/>
              <w:spacing w:after="0"/>
              <w:rPr>
                <w:sz w:val="20"/>
                <w:szCs w:val="20"/>
                <w:color w:val="auto"/>
              </w:rPr>
            </w:pPr>
            <w:r>
              <w:rPr>
                <w:rFonts w:ascii="Arial" w:cs="Arial" w:eastAsia="Arial" w:hAnsi="Arial"/>
                <w:sz w:val="18"/>
                <w:szCs w:val="18"/>
                <w:color w:val="auto"/>
              </w:rPr>
              <w:t>Securities Exchange Act of 1934, as amended</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The price that would be received to sell an asset, or paid to transfer a liability, in an orderly transaction between market</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participants at the measurement date, as defined in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FDIC</w:t>
            </w:r>
          </w:p>
        </w:tc>
        <w:tc>
          <w:tcPr>
            <w:tcW w:w="8880" w:type="dxa"/>
            <w:vAlign w:val="bottom"/>
          </w:tcPr>
          <w:p>
            <w:pPr>
              <w:ind w:left="20"/>
              <w:spacing w:after="0"/>
              <w:rPr>
                <w:sz w:val="20"/>
                <w:szCs w:val="20"/>
                <w:color w:val="auto"/>
              </w:rPr>
            </w:pPr>
            <w:r>
              <w:rPr>
                <w:rFonts w:ascii="Arial" w:cs="Arial" w:eastAsia="Arial" w:hAnsi="Arial"/>
                <w:sz w:val="18"/>
                <w:szCs w:val="18"/>
                <w:color w:val="auto"/>
              </w:rPr>
              <w:t>Federal Deposit Insurance Corporation</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Reserve</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Board of Governors of the Federal Reserve System</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FHLB</w:t>
            </w:r>
          </w:p>
        </w:tc>
        <w:tc>
          <w:tcPr>
            <w:tcW w:w="8880" w:type="dxa"/>
            <w:vAlign w:val="bottom"/>
          </w:tcPr>
          <w:p>
            <w:pPr>
              <w:ind w:left="20"/>
              <w:spacing w:after="0"/>
              <w:rPr>
                <w:sz w:val="20"/>
                <w:szCs w:val="20"/>
                <w:color w:val="auto"/>
              </w:rPr>
            </w:pPr>
            <w:r>
              <w:rPr>
                <w:rFonts w:ascii="Arial" w:cs="Arial" w:eastAsia="Arial" w:hAnsi="Arial"/>
                <w:sz w:val="18"/>
                <w:szCs w:val="18"/>
                <w:color w:val="auto"/>
              </w:rPr>
              <w:t>Federal Home Loan Bank</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Busey</w:t>
            </w: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First Busey Corporation and its wholly-owned consolidated subsidiaries; also, “Busey,” the “Company,” “we,” “us,” and</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“our”</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w w:val="96"/>
              </w:rPr>
              <w:t>First Busey Risk Management</w:t>
            </w:r>
          </w:p>
        </w:tc>
        <w:tc>
          <w:tcPr>
            <w:tcW w:w="8880" w:type="dxa"/>
            <w:vAlign w:val="bottom"/>
          </w:tcPr>
          <w:p>
            <w:pPr>
              <w:ind w:left="20"/>
              <w:spacing w:after="0"/>
              <w:rPr>
                <w:sz w:val="20"/>
                <w:szCs w:val="20"/>
                <w:color w:val="auto"/>
              </w:rPr>
            </w:pPr>
            <w:r>
              <w:rPr>
                <w:rFonts w:ascii="Arial" w:cs="Arial" w:eastAsia="Arial" w:hAnsi="Arial"/>
                <w:sz w:val="18"/>
                <w:szCs w:val="18"/>
                <w:color w:val="auto"/>
              </w:rPr>
              <w:t>First Busey Risk Management, Inc.</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FirsTech</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FirsTech, Inc.</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FOMC</w:t>
            </w:r>
          </w:p>
        </w:tc>
        <w:tc>
          <w:tcPr>
            <w:tcW w:w="8880" w:type="dxa"/>
            <w:vAlign w:val="bottom"/>
          </w:tcPr>
          <w:p>
            <w:pPr>
              <w:ind w:left="20"/>
              <w:spacing w:after="0"/>
              <w:rPr>
                <w:sz w:val="20"/>
                <w:szCs w:val="20"/>
                <w:color w:val="auto"/>
              </w:rPr>
            </w:pPr>
            <w:r>
              <w:rPr>
                <w:rFonts w:ascii="Arial" w:cs="Arial" w:eastAsia="Arial" w:hAnsi="Arial"/>
                <w:sz w:val="18"/>
                <w:szCs w:val="18"/>
                <w:color w:val="auto"/>
              </w:rPr>
              <w:t>Federal Open Market Committee</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Generally Accepted Accounting Principles</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GSB</w:t>
            </w:r>
          </w:p>
        </w:tc>
        <w:tc>
          <w:tcPr>
            <w:tcW w:w="8880" w:type="dxa"/>
            <w:vAlign w:val="bottom"/>
          </w:tcPr>
          <w:p>
            <w:pPr>
              <w:ind w:left="20"/>
              <w:spacing w:after="0"/>
              <w:rPr>
                <w:sz w:val="20"/>
                <w:szCs w:val="20"/>
                <w:color w:val="auto"/>
              </w:rPr>
            </w:pPr>
            <w:r>
              <w:rPr>
                <w:rFonts w:ascii="Arial" w:cs="Arial" w:eastAsia="Arial" w:hAnsi="Arial"/>
                <w:sz w:val="18"/>
                <w:szCs w:val="18"/>
                <w:color w:val="auto"/>
              </w:rPr>
              <w:t>Glenview State Bank</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Interagency Statement</w:t>
            </w: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Interagency Statement on Loan Modifications and Reporting for Financial Institutions Working with Customers Affected</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the Coronavirus, issued on March 22, 2020, and revised on April 7, 2020</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LIBOR</w:t>
            </w:r>
          </w:p>
        </w:tc>
        <w:tc>
          <w:tcPr>
            <w:tcW w:w="8880" w:type="dxa"/>
            <w:vAlign w:val="bottom"/>
          </w:tcPr>
          <w:p>
            <w:pPr>
              <w:ind w:left="20"/>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LOCOM</w:t>
            </w: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Lower of Cost or Market, an accounting approach under which loans are carried at amortized historical cost less loan</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 and downward market value adjustments, as may be applicable</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8880" w:type="dxa"/>
            <w:vAlign w:val="bottom"/>
          </w:tcPr>
          <w:p>
            <w:pPr>
              <w:ind w:left="20"/>
              <w:spacing w:after="0"/>
              <w:rPr>
                <w:sz w:val="20"/>
                <w:szCs w:val="20"/>
                <w:color w:val="auto"/>
              </w:rPr>
            </w:pPr>
            <w:r>
              <w:rPr>
                <w:rFonts w:ascii="Arial" w:cs="Arial" w:eastAsia="Arial" w:hAnsi="Arial"/>
                <w:sz w:val="18"/>
                <w:szCs w:val="18"/>
                <w:color w:val="auto"/>
              </w:rPr>
              <w:t>Not meaningful</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NMTC</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Markets Tax Credit</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OCI</w:t>
            </w:r>
          </w:p>
        </w:tc>
        <w:tc>
          <w:tcPr>
            <w:tcW w:w="88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43"/>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OREO</w:t>
            </w: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real estate owned</w:t>
            </w:r>
          </w:p>
        </w:tc>
      </w:tr>
      <w:tr>
        <w:trPr>
          <w:trHeight w:val="27"/>
        </w:trPr>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8880" w:type="dxa"/>
            <w:vAlign w:val="bottom"/>
          </w:tcPr>
          <w:p>
            <w:pPr>
              <w:ind w:left="20"/>
              <w:spacing w:after="0"/>
              <w:rPr>
                <w:sz w:val="20"/>
                <w:szCs w:val="20"/>
                <w:color w:val="auto"/>
              </w:rPr>
            </w:pPr>
            <w:r>
              <w:rPr>
                <w:rFonts w:ascii="Arial" w:cs="Arial" w:eastAsia="Arial" w:hAnsi="Arial"/>
                <w:sz w:val="14"/>
                <w:szCs w:val="14"/>
                <w:b w:val="1"/>
                <w:bCs w:val="1"/>
                <w:color w:val="auto"/>
              </w:rPr>
              <w:t>Definition</w:t>
            </w:r>
          </w:p>
        </w:tc>
      </w:tr>
      <w:tr>
        <w:trPr>
          <w:trHeight w:val="39"/>
        </w:trPr>
        <w:tc>
          <w:tcPr>
            <w:tcW w:w="2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80" w:type="dxa"/>
            <w:vAlign w:val="bottom"/>
            <w:tcBorders>
              <w:bottom w:val="single" w:sz="8" w:color="auto"/>
            </w:tcBorders>
          </w:tcPr>
          <w:p>
            <w:pPr>
              <w:spacing w:after="0"/>
              <w:rPr>
                <w:sz w:val="3"/>
                <w:szCs w:val="3"/>
                <w:color w:val="auto"/>
              </w:rPr>
            </w:pPr>
          </w:p>
        </w:tc>
      </w:tr>
      <w:tr>
        <w:trPr>
          <w:trHeight w:val="23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PCD</w:t>
            </w:r>
          </w:p>
        </w:tc>
        <w:tc>
          <w:tcPr>
            <w:tcW w:w="8880" w:type="dxa"/>
            <w:vAlign w:val="bottom"/>
          </w:tcPr>
          <w:p>
            <w:pPr>
              <w:ind w:left="20"/>
              <w:spacing w:after="0"/>
              <w:rPr>
                <w:sz w:val="20"/>
                <w:szCs w:val="20"/>
                <w:color w:val="auto"/>
              </w:rPr>
            </w:pPr>
            <w:r>
              <w:rPr>
                <w:rFonts w:ascii="Arial" w:cs="Arial" w:eastAsia="Arial" w:hAnsi="Arial"/>
                <w:sz w:val="18"/>
                <w:szCs w:val="18"/>
                <w:color w:val="auto"/>
              </w:rPr>
              <w:t>Purchased credit deteriorated</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Paycheck Protection Program</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PSU</w:t>
            </w:r>
          </w:p>
        </w:tc>
        <w:tc>
          <w:tcPr>
            <w:tcW w:w="8880" w:type="dxa"/>
            <w:vAlign w:val="bottom"/>
          </w:tcPr>
          <w:p>
            <w:pPr>
              <w:ind w:left="20"/>
              <w:spacing w:after="0"/>
              <w:rPr>
                <w:sz w:val="20"/>
                <w:szCs w:val="20"/>
                <w:color w:val="auto"/>
              </w:rPr>
            </w:pPr>
            <w:r>
              <w:rPr>
                <w:rFonts w:ascii="Arial" w:cs="Arial" w:eastAsia="Arial" w:hAnsi="Arial"/>
                <w:sz w:val="18"/>
                <w:szCs w:val="18"/>
                <w:color w:val="auto"/>
              </w:rPr>
              <w:t>Performance-based restricted stock unit</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Quarterly Report</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Quarterly report filed with the SEC on Form 10-Q pursuant to Section 13 or 15(d) of the Exchange Act</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RSU</w:t>
            </w:r>
          </w:p>
        </w:tc>
        <w:tc>
          <w:tcPr>
            <w:tcW w:w="8880" w:type="dxa"/>
            <w:vAlign w:val="bottom"/>
          </w:tcPr>
          <w:p>
            <w:pPr>
              <w:ind w:left="20"/>
              <w:spacing w:after="0"/>
              <w:rPr>
                <w:sz w:val="20"/>
                <w:szCs w:val="20"/>
                <w:color w:val="auto"/>
              </w:rPr>
            </w:pPr>
            <w:r>
              <w:rPr>
                <w:rFonts w:ascii="Arial" w:cs="Arial" w:eastAsia="Arial" w:hAnsi="Arial"/>
                <w:sz w:val="18"/>
                <w:szCs w:val="18"/>
                <w:color w:val="auto"/>
              </w:rPr>
              <w:t>Restricted stock unit</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Small Business Administration</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SEC</w:t>
            </w:r>
          </w:p>
        </w:tc>
        <w:tc>
          <w:tcPr>
            <w:tcW w:w="8880" w:type="dxa"/>
            <w:vAlign w:val="bottom"/>
          </w:tcPr>
          <w:p>
            <w:pPr>
              <w:ind w:left="20"/>
              <w:spacing w:after="0"/>
              <w:rPr>
                <w:sz w:val="20"/>
                <w:szCs w:val="20"/>
                <w:color w:val="auto"/>
              </w:rPr>
            </w:pPr>
            <w:r>
              <w:rPr>
                <w:rFonts w:ascii="Arial" w:cs="Arial" w:eastAsia="Arial" w:hAnsi="Arial"/>
                <w:sz w:val="18"/>
                <w:szCs w:val="18"/>
                <w:color w:val="auto"/>
              </w:rPr>
              <w:t>U.S. Securities and Exchange Commission</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SOFR</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Overnight Financing Rate published by the Federal Reserve</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TDR</w:t>
            </w:r>
          </w:p>
        </w:tc>
        <w:tc>
          <w:tcPr>
            <w:tcW w:w="8880" w:type="dxa"/>
            <w:vAlign w:val="bottom"/>
          </w:tcPr>
          <w:p>
            <w:pPr>
              <w:ind w:left="20"/>
              <w:spacing w:after="0"/>
              <w:rPr>
                <w:sz w:val="20"/>
                <w:szCs w:val="20"/>
                <w:color w:val="auto"/>
              </w:rPr>
            </w:pPr>
            <w:r>
              <w:rPr>
                <w:rFonts w:ascii="Arial" w:cs="Arial" w:eastAsia="Arial" w:hAnsi="Arial"/>
                <w:sz w:val="18"/>
                <w:szCs w:val="18"/>
                <w:color w:val="auto"/>
              </w:rPr>
              <w:t>Troubled debt restructuring</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of America</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U.S. Treasury</w:t>
            </w:r>
          </w:p>
        </w:tc>
        <w:tc>
          <w:tcPr>
            <w:tcW w:w="8880" w:type="dxa"/>
            <w:vAlign w:val="bottom"/>
          </w:tcPr>
          <w:p>
            <w:pPr>
              <w:ind w:left="20"/>
              <w:spacing w:after="0"/>
              <w:rPr>
                <w:sz w:val="20"/>
                <w:szCs w:val="20"/>
                <w:color w:val="auto"/>
              </w:rPr>
            </w:pPr>
            <w:r>
              <w:rPr>
                <w:rFonts w:ascii="Arial" w:cs="Arial" w:eastAsia="Arial" w:hAnsi="Arial"/>
                <w:sz w:val="18"/>
                <w:szCs w:val="18"/>
                <w:color w:val="auto"/>
              </w:rPr>
              <w:t>U.S. Department of the Treasury</w:t>
            </w:r>
          </w:p>
        </w:tc>
      </w:tr>
      <w:tr>
        <w:trPr>
          <w:trHeight w:val="931"/>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3220"/>
              <w:spacing w:after="0"/>
              <w:rPr>
                <w:sz w:val="20"/>
                <w:szCs w:val="20"/>
                <w:color w:val="auto"/>
              </w:rPr>
            </w:pPr>
            <w:r>
              <w:rPr>
                <w:rFonts w:ascii="Arial" w:cs="Arial" w:eastAsia="Arial" w:hAnsi="Arial"/>
                <w:sz w:val="18"/>
                <w:szCs w:val="18"/>
                <w:color w:val="auto"/>
              </w:rPr>
              <w:t>4</w:t>
            </w:r>
          </w:p>
        </w:tc>
      </w:tr>
      <w:tr>
        <w:trPr>
          <w:trHeight w:val="291"/>
        </w:trPr>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0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0"/>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53"/>
        </w:trPr>
        <w:tc>
          <w:tcPr>
            <w:tcW w:w="8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due from banks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121,419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102,983</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Interest-bearing deposits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225,730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733,112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 and cash equivalents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347,149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836,095</w:t>
            </w:r>
          </w:p>
        </w:tc>
      </w:tr>
      <w:tr>
        <w:trPr>
          <w:trHeight w:val="203"/>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Debt securities available for sale</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2,547,041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3,981,251</w:t>
            </w: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Debt securities held to maturity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936,328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13,571</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Loans held for sale (2022 at LOCOM, 2021 at fair value)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23,875</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Portfolio loans (net of ACL of $90,722 at September 30, 2022, and $87,887 at December 31, 2021)</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7,579,392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7,101,111</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Premises and equipment,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128,175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136,147</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Right of use assets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10,202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10,533</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317,873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317,873</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intangible assets, net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49,218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58,051</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Cash surrender value of bank owned life insurance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179,533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176,940</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386,590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204,242</w:t>
            </w:r>
          </w:p>
        </w:tc>
      </w:tr>
      <w:tr>
        <w:trPr>
          <w:trHeight w:val="217"/>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12,497,388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12,859,689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5"/>
        </w:trPr>
        <w:tc>
          <w:tcPr>
            <w:tcW w:w="8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1"/>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Deposits: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Noninterest-bearing</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3,628,169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3,670,267</w:t>
            </w:r>
          </w:p>
        </w:tc>
      </w:tr>
      <w:tr>
        <w:trPr>
          <w:trHeight w:val="190"/>
        </w:trPr>
        <w:tc>
          <w:tcPr>
            <w:tcW w:w="8180" w:type="dxa"/>
            <w:vAlign w:val="bottom"/>
          </w:tcPr>
          <w:p>
            <w:pPr>
              <w:ind w:left="520"/>
              <w:spacing w:after="0"/>
              <w:rPr>
                <w:sz w:val="20"/>
                <w:szCs w:val="20"/>
                <w:color w:val="auto"/>
              </w:rPr>
            </w:pPr>
            <w:r>
              <w:rPr>
                <w:rFonts w:ascii="Arial" w:cs="Arial" w:eastAsia="Arial" w:hAnsi="Arial"/>
                <w:sz w:val="14"/>
                <w:szCs w:val="14"/>
                <w:color w:val="auto"/>
              </w:rPr>
              <w:t>Interest-bearing</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6,973,228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7,098,310</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deposits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10,601,397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10,768,577</w:t>
            </w:r>
          </w:p>
        </w:tc>
      </w:tr>
      <w:tr>
        <w:trPr>
          <w:trHeight w:val="203"/>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234,597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270,139</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16,225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17,678</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46,056</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Senior notes, net of unamortized issuance costs</w:t>
            </w: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39,944</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Subordinated notes, net of unamortized issuance costs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221,835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182,773</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Junior subordinated debt owed to unconsolidated trusts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71,765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71,635</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10,311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10,591</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201,670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133,184</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11,390,800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11,540,577</w:t>
            </w:r>
          </w:p>
        </w:tc>
      </w:tr>
      <w:tr>
        <w:trPr>
          <w:trHeight w:val="183"/>
        </w:trPr>
        <w:tc>
          <w:tcPr>
            <w:tcW w:w="8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Outstanding commitments and contingent liabilities (see Notes 9 and 15)</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03"/>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Common stock, ($.001 par value; 100,000,000 shares authorized)</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1,319,921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1,316,984</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147,358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92,463</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AOCI</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(288,995)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(23,758)</w:t>
            </w:r>
          </w:p>
        </w:tc>
      </w:tr>
      <w:tr>
        <w:trPr>
          <w:trHeight w:val="184"/>
        </w:trPr>
        <w:tc>
          <w:tcPr>
            <w:tcW w:w="8180" w:type="dxa"/>
            <w:vAlign w:val="bottom"/>
          </w:tcPr>
          <w:p>
            <w:pPr>
              <w:ind w:left="360"/>
              <w:spacing w:after="0"/>
              <w:rPr>
                <w:sz w:val="20"/>
                <w:szCs w:val="20"/>
                <w:color w:val="auto"/>
              </w:rPr>
            </w:pPr>
            <w:r>
              <w:rPr>
                <w:rFonts w:ascii="Arial" w:cs="Arial" w:eastAsia="Arial" w:hAnsi="Arial"/>
                <w:sz w:val="14"/>
                <w:szCs w:val="14"/>
                <w:color w:val="auto"/>
              </w:rPr>
              <w:t>Total stockholders’ equity before treasury stock</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1,178,342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1,385,747</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3"/>
        </w:trPr>
        <w:tc>
          <w:tcPr>
            <w:tcW w:w="8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Treasury stock at cost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(71,754)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(66,635)</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1,106,588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1,319,112</w:t>
            </w:r>
          </w:p>
        </w:tc>
      </w:tr>
      <w:tr>
        <w:trPr>
          <w:trHeight w:val="217"/>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12,497,388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12,859,689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5"/>
        </w:trPr>
        <w:tc>
          <w:tcPr>
            <w:tcW w:w="8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1"/>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Common shares issued</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58,116,970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58,116,970</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Less treasury shares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(2,884,536)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(2,682,060)</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2"/>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Common shares outstanding</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55,232,434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55,434,910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301" w:right="339" w:bottom="4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447"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39"/>
        </w:trPr>
        <w:tc>
          <w:tcPr>
            <w:tcW w:w="50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Interest and fees on loans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76,081</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65,163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202,530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189,132</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and dividends on investment securities: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0"/>
        </w:trPr>
        <w:tc>
          <w:tcPr>
            <w:tcW w:w="5040" w:type="dxa"/>
            <w:vAlign w:val="bottom"/>
          </w:tcPr>
          <w:p>
            <w:pPr>
              <w:ind w:left="360"/>
              <w:spacing w:after="0"/>
              <w:rPr>
                <w:sz w:val="20"/>
                <w:szCs w:val="20"/>
                <w:color w:val="auto"/>
              </w:rPr>
            </w:pPr>
            <w:r>
              <w:rPr>
                <w:rFonts w:ascii="Arial" w:cs="Arial" w:eastAsia="Arial" w:hAnsi="Arial"/>
                <w:sz w:val="14"/>
                <w:szCs w:val="14"/>
                <w:color w:val="auto"/>
              </w:rPr>
              <w:t>Taxable interest income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17,436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47,370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29,016</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Non-taxable interest income</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2,878</w:t>
            </w:r>
          </w:p>
        </w:tc>
      </w:tr>
      <w:tr>
        <w:trPr>
          <w:trHeight w:val="191"/>
        </w:trPr>
        <w:tc>
          <w:tcPr>
            <w:tcW w:w="5040" w:type="dxa"/>
            <w:vAlign w:val="bottom"/>
          </w:tcPr>
          <w:p>
            <w:pPr>
              <w:ind w:left="180"/>
              <w:spacing w:after="0"/>
              <w:rPr>
                <w:sz w:val="20"/>
                <w:szCs w:val="20"/>
                <w:color w:val="auto"/>
              </w:rPr>
            </w:pPr>
            <w:r>
              <w:rPr>
                <w:rFonts w:ascii="Arial" w:cs="Arial" w:eastAsia="Arial" w:hAnsi="Arial"/>
                <w:sz w:val="14"/>
                <w:szCs w:val="14"/>
                <w:color w:val="auto"/>
              </w:rPr>
              <w:t>Other interest income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1,085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857</w:t>
            </w:r>
          </w:p>
        </w:tc>
      </w:tr>
      <w:tr>
        <w:trPr>
          <w:trHeight w:val="39"/>
        </w:trPr>
        <w:tc>
          <w:tcPr>
            <w:tcW w:w="50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interest income</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95,415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77,864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254,102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221,883</w:t>
            </w:r>
          </w:p>
        </w:tc>
      </w:tr>
      <w:tr>
        <w:trPr>
          <w:trHeight w:val="129"/>
        </w:trPr>
        <w:tc>
          <w:tcPr>
            <w:tcW w:w="50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Deposits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3,565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10,086</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Federal funds purchased and securities sold under agreements to repurchase</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Short-term borrowings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w:t>
            </w:r>
          </w:p>
        </w:tc>
      </w:tr>
      <w:tr>
        <w:trPr>
          <w:trHeight w:val="191"/>
        </w:trPr>
        <w:tc>
          <w:tcPr>
            <w:tcW w:w="5040" w:type="dxa"/>
            <w:vAlign w:val="bottom"/>
          </w:tcPr>
          <w:p>
            <w:pPr>
              <w:ind w:left="180"/>
              <w:spacing w:after="0"/>
              <w:rPr>
                <w:sz w:val="20"/>
                <w:szCs w:val="20"/>
                <w:color w:val="auto"/>
              </w:rPr>
            </w:pPr>
            <w:r>
              <w:rPr>
                <w:rFonts w:ascii="Arial" w:cs="Arial" w:eastAsia="Arial" w:hAnsi="Arial"/>
                <w:sz w:val="14"/>
                <w:szCs w:val="14"/>
                <w:color w:val="auto"/>
              </w:rPr>
              <w:t>Senior notes</w:t>
            </w:r>
          </w:p>
        </w:tc>
        <w:tc>
          <w:tcPr>
            <w:tcW w:w="9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1,199</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Subordinated notes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7,436</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Junior subordinated debt owed to unconsolidated trusts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2,185</w:t>
            </w:r>
          </w:p>
        </w:tc>
      </w:tr>
      <w:tr>
        <w:trPr>
          <w:trHeight w:val="39"/>
        </w:trPr>
        <w:tc>
          <w:tcPr>
            <w:tcW w:w="50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interest expense</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9,110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21,693</w:t>
            </w:r>
          </w:p>
        </w:tc>
      </w:tr>
      <w:tr>
        <w:trPr>
          <w:trHeight w:val="128"/>
        </w:trPr>
        <w:tc>
          <w:tcPr>
            <w:tcW w:w="50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21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86,305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70,755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232,289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200,190</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Provision for credit losses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(10,365)</w:t>
            </w:r>
          </w:p>
        </w:tc>
      </w:tr>
      <w:tr>
        <w:trPr>
          <w:trHeight w:val="39"/>
        </w:trPr>
        <w:tc>
          <w:tcPr>
            <w:tcW w:w="50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 after provision for credit losses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83,941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228,525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210,555</w:t>
            </w:r>
          </w:p>
        </w:tc>
      </w:tr>
      <w:tr>
        <w:trPr>
          <w:trHeight w:val="129"/>
        </w:trPr>
        <w:tc>
          <w:tcPr>
            <w:tcW w:w="50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income</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1"/>
        </w:trPr>
        <w:tc>
          <w:tcPr>
            <w:tcW w:w="5040" w:type="dxa"/>
            <w:vAlign w:val="bottom"/>
          </w:tcPr>
          <w:p>
            <w:pPr>
              <w:ind w:left="180"/>
              <w:spacing w:after="0"/>
              <w:rPr>
                <w:sz w:val="20"/>
                <w:szCs w:val="20"/>
                <w:color w:val="auto"/>
              </w:rPr>
            </w:pPr>
            <w:r>
              <w:rPr>
                <w:rFonts w:ascii="Arial" w:cs="Arial" w:eastAsia="Arial" w:hAnsi="Arial"/>
                <w:sz w:val="14"/>
                <w:szCs w:val="14"/>
                <w:color w:val="auto"/>
              </w:rPr>
              <w:t>Wealth management fees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12,508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42,422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39,335</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Fees for customer services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7,627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26,122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25,936</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Payment technology solutions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5,080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13,771</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Mortgage revenue</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6,153</w:t>
            </w:r>
          </w:p>
        </w:tc>
      </w:tr>
      <w:tr>
        <w:trPr>
          <w:trHeight w:val="191"/>
        </w:trPr>
        <w:tc>
          <w:tcPr>
            <w:tcW w:w="5040" w:type="dxa"/>
            <w:vAlign w:val="bottom"/>
          </w:tcPr>
          <w:p>
            <w:pPr>
              <w:ind w:left="180"/>
              <w:spacing w:after="0"/>
              <w:rPr>
                <w:sz w:val="20"/>
                <w:szCs w:val="20"/>
                <w:color w:val="auto"/>
              </w:rPr>
            </w:pPr>
            <w:r>
              <w:rPr>
                <w:rFonts w:ascii="Arial" w:cs="Arial" w:eastAsia="Arial" w:hAnsi="Arial"/>
                <w:sz w:val="14"/>
                <w:szCs w:val="14"/>
                <w:color w:val="auto"/>
              </w:rPr>
              <w:t>Income on bank owned life insurance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3,439</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Realized net gains (losses) on securities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Unrealized net gains (losses) recognized on equity securities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2,482</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income</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6,485</w:t>
            </w:r>
          </w:p>
        </w:tc>
      </w:tr>
      <w:tr>
        <w:trPr>
          <w:trHeight w:val="184"/>
        </w:trPr>
        <w:tc>
          <w:tcPr>
            <w:tcW w:w="5040" w:type="dxa"/>
            <w:vAlign w:val="bottom"/>
          </w:tcPr>
          <w:p>
            <w:pPr>
              <w:ind w:left="20"/>
              <w:spacing w:after="0"/>
              <w:rPr>
                <w:sz w:val="20"/>
                <w:szCs w:val="20"/>
                <w:color w:val="auto"/>
              </w:rPr>
            </w:pPr>
            <w:r>
              <w:rPr>
                <w:rFonts w:ascii="Arial" w:cs="Arial" w:eastAsia="Arial" w:hAnsi="Arial"/>
                <w:sz w:val="14"/>
                <w:szCs w:val="14"/>
                <w:color w:val="auto"/>
              </w:rPr>
              <w:t>Total noninterest income</w:t>
            </w: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30,933</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33,259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97,724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97,715</w:t>
            </w:r>
          </w:p>
        </w:tc>
      </w:tr>
      <w:tr>
        <w:trPr>
          <w:trHeight w:val="39"/>
        </w:trPr>
        <w:tc>
          <w:tcPr>
            <w:tcW w:w="50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28"/>
        </w:trPr>
        <w:tc>
          <w:tcPr>
            <w:tcW w:w="50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90"/>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Salaries, wages, and employee benefits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39,762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41,949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117,226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107,222</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Data processing</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5,447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15,800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16,881</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occupancy expense of premises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14,492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13,606</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Furniture and equipment expenses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1,799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6,300</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5,617</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Amortization of intangible assets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2,871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8,200</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Interchange expense</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4,360</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Other expense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12,999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38,680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28,425</w:t>
            </w:r>
          </w:p>
        </w:tc>
      </w:tr>
      <w:tr>
        <w:trPr>
          <w:trHeight w:val="39"/>
        </w:trPr>
        <w:tc>
          <w:tcPr>
            <w:tcW w:w="50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noninterest expense</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70,736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73,487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210,204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190,611</w:t>
            </w:r>
          </w:p>
        </w:tc>
      </w:tr>
      <w:tr>
        <w:trPr>
          <w:trHeight w:val="129"/>
        </w:trPr>
        <w:tc>
          <w:tcPr>
            <w:tcW w:w="50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44,138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32,396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116,045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117,659</w:t>
            </w:r>
          </w:p>
        </w:tc>
      </w:tr>
      <w:tr>
        <w:trPr>
          <w:trHeight w:val="191"/>
        </w:trPr>
        <w:tc>
          <w:tcPr>
            <w:tcW w:w="504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8,477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22,121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24,136</w:t>
            </w:r>
          </w:p>
        </w:tc>
      </w:tr>
      <w:tr>
        <w:trPr>
          <w:trHeight w:val="39"/>
        </w:trPr>
        <w:tc>
          <w:tcPr>
            <w:tcW w:w="50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35,661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93,523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5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1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common share</w:t>
            </w: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91"/>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common share</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0.64</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39"/>
        </w:trPr>
        <w:tc>
          <w:tcPr>
            <w:tcW w:w="5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91"/>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Dividends declared per share of common stock</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r>
      <w:tr>
        <w:trPr>
          <w:trHeight w:val="39"/>
        </w:trPr>
        <w:tc>
          <w:tcPr>
            <w:tcW w:w="5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39"/>
        </w:trPr>
        <w:tc>
          <w:tcPr>
            <w:tcW w:w="5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93,523</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OCI:</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Unrealized gains (losses) on debt securities available for sale: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w w:val="90"/>
              </w:rPr>
              <w:t>Net unrealized holding gains (losses) on debt securities available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w w:val="91"/>
              </w:rPr>
              <w:t>for sale, net of taxes of $27,631, $4,902, $84,519, and $14,195,</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(69,306)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(211,988)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(35,606)</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Unrealized gains (losses) on debt securities transferred to held to</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maturity from available for sale, net of taxes of $—, $—,</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$13,812, and $—,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w w:val="94"/>
              </w:rPr>
              <w:t>Reclassification adjustment for realized (gains) losses on debt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w w:val="92"/>
              </w:rPr>
              <w:t>securities available for sale included in net income, net of taxes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of $(21), $(1), $8, and $7, respectively</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Amortization of unrealized losses on securities transferred to</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held to maturity, net of taxes of $(515), $—, $(1,396), and $—,</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040" w:type="dxa"/>
            <w:vAlign w:val="bottom"/>
          </w:tcPr>
          <w:p>
            <w:pPr>
              <w:ind w:left="180"/>
              <w:spacing w:after="0"/>
              <w:rPr>
                <w:sz w:val="20"/>
                <w:szCs w:val="20"/>
                <w:color w:val="auto"/>
              </w:rPr>
            </w:pPr>
            <w:r>
              <w:rPr>
                <w:rFonts w:ascii="Arial" w:cs="Arial" w:eastAsia="Arial" w:hAnsi="Arial"/>
                <w:sz w:val="18"/>
                <w:szCs w:val="18"/>
                <w:color w:val="auto"/>
                <w:w w:val="90"/>
              </w:rPr>
              <w:t>Net change in unrealized gains (losses) on debt securities available</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for sale</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(243,152)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(35,622)</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w w:val="93"/>
              </w:rPr>
              <w:t>Net unrealized holding gains (losses) on cash flow hedges, net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of taxes of $4,061, $2, $8,604, and $(134), respectively</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Reclassification adjustment for realized (gains) losses on cash</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flow hedges included in net income, net of taxes of $(104),</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($82), $199, and ($243),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w w:val="99"/>
              </w:rPr>
              <w:t>Net change in unrealized gains (losses) on cash flow hedges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(9,926)</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AOCI</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(77,888)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(34,675)</w:t>
            </w:r>
          </w:p>
        </w:tc>
      </w:tr>
      <w:tr>
        <w:trPr>
          <w:trHeight w:val="264"/>
        </w:trPr>
        <w:tc>
          <w:tcPr>
            <w:tcW w:w="504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(42,227)</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58,848</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3"/>
              </w:rPr>
              <w:t>Three Months Ended September 30, 2022</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5"/>
                <w:szCs w:val="15"/>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00"/>
        </w:trPr>
        <w:tc>
          <w:tcPr>
            <w:tcW w:w="232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55,335,703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1,317,675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124,685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(211,107)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(69,354)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1,161,957</w:t>
            </w:r>
          </w:p>
        </w:tc>
        <w:tc>
          <w:tcPr>
            <w:tcW w:w="0" w:type="dxa"/>
            <w:vAlign w:val="bottom"/>
          </w:tcPr>
          <w:p>
            <w:pPr>
              <w:spacing w:after="0"/>
              <w:rPr>
                <w:sz w:val="1"/>
                <w:szCs w:val="1"/>
                <w:color w:val="auto"/>
              </w:rPr>
            </w:pPr>
          </w:p>
        </w:tc>
      </w:tr>
      <w:tr>
        <w:trPr>
          <w:trHeight w:val="190"/>
        </w:trPr>
        <w:tc>
          <w:tcPr>
            <w:tcW w:w="23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35,661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35,661</w:t>
            </w: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OCI, net of tax</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(77,888)</w:t>
            </w:r>
          </w:p>
        </w:tc>
        <w:tc>
          <w:tcPr>
            <w:tcW w:w="0" w:type="dxa"/>
            <w:vAlign w:val="bottom"/>
          </w:tcPr>
          <w:p>
            <w:pPr>
              <w:spacing w:after="0"/>
              <w:rPr>
                <w:sz w:val="1"/>
                <w:szCs w:val="1"/>
                <w:color w:val="auto"/>
              </w:rPr>
            </w:pPr>
          </w:p>
        </w:tc>
      </w:tr>
      <w:tr>
        <w:trPr>
          <w:trHeight w:val="190"/>
        </w:trPr>
        <w:tc>
          <w:tcPr>
            <w:tcW w:w="2320" w:type="dxa"/>
            <w:vAlign w:val="bottom"/>
          </w:tcPr>
          <w:p>
            <w:pPr>
              <w:ind w:left="180"/>
              <w:spacing w:after="0"/>
              <w:rPr>
                <w:sz w:val="20"/>
                <w:szCs w:val="20"/>
                <w:color w:val="auto"/>
              </w:rPr>
            </w:pPr>
            <w:r>
              <w:rPr>
                <w:rFonts w:ascii="Arial" w:cs="Arial" w:eastAsia="Arial" w:hAnsi="Arial"/>
                <w:sz w:val="14"/>
                <w:szCs w:val="14"/>
                <w:color w:val="auto"/>
              </w:rPr>
              <w:t>Repurchase of stock</w:t>
            </w:r>
          </w:p>
        </w:tc>
        <w:tc>
          <w:tcPr>
            <w:tcW w:w="1140" w:type="dxa"/>
            <w:vAlign w:val="bottom"/>
          </w:tcPr>
          <w:p>
            <w:pPr>
              <w:jc w:val="right"/>
              <w:spacing w:after="0"/>
              <w:rPr>
                <w:sz w:val="20"/>
                <w:szCs w:val="20"/>
                <w:color w:val="auto"/>
              </w:rPr>
            </w:pPr>
            <w:r>
              <w:rPr>
                <w:rFonts w:ascii="Arial" w:cs="Arial" w:eastAsia="Arial" w:hAnsi="Arial"/>
                <w:sz w:val="14"/>
                <w:szCs w:val="14"/>
                <w:color w:val="auto"/>
              </w:rPr>
              <w:t>(130,000)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(3,088)</w:t>
            </w: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4"/>
              </w:rPr>
              <w:t>Issuance of treasury stock for ESPP</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4"/>
        </w:trPr>
        <w:tc>
          <w:tcPr>
            <w:tcW w:w="2320" w:type="dxa"/>
            <w:vAlign w:val="bottom"/>
          </w:tcPr>
          <w:p>
            <w:pPr>
              <w:ind w:left="180"/>
              <w:spacing w:after="0"/>
              <w:rPr>
                <w:sz w:val="20"/>
                <w:szCs w:val="20"/>
                <w:color w:val="auto"/>
              </w:rPr>
            </w:pPr>
            <w:r>
              <w:rPr>
                <w:rFonts w:ascii="Arial" w:cs="Arial" w:eastAsia="Arial" w:hAnsi="Arial"/>
                <w:sz w:val="14"/>
                <w:szCs w:val="14"/>
                <w:color w:val="auto"/>
              </w:rPr>
              <w:t>Net issuance of treasury stock for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180"/>
              <w:spacing w:after="0"/>
              <w:rPr>
                <w:sz w:val="20"/>
                <w:szCs w:val="20"/>
                <w:color w:val="auto"/>
              </w:rPr>
            </w:pPr>
            <w:r>
              <w:rPr>
                <w:rFonts w:ascii="Arial" w:cs="Arial" w:eastAsia="Arial" w:hAnsi="Arial"/>
                <w:sz w:val="14"/>
                <w:szCs w:val="14"/>
                <w:color w:val="auto"/>
              </w:rPr>
              <w:t>RSU/DSU vesting and related tax</w:t>
            </w:r>
          </w:p>
        </w:tc>
        <w:tc>
          <w:tcPr>
            <w:tcW w:w="1140" w:type="dxa"/>
            <w:vAlign w:val="bottom"/>
          </w:tcPr>
          <w:p>
            <w:pPr>
              <w:jc w:val="right"/>
              <w:spacing w:after="0"/>
              <w:rPr>
                <w:sz w:val="20"/>
                <w:szCs w:val="20"/>
                <w:color w:val="auto"/>
              </w:rPr>
            </w:pPr>
            <w:r>
              <w:rPr>
                <w:rFonts w:ascii="Arial" w:cs="Arial" w:eastAsia="Arial" w:hAnsi="Arial"/>
                <w:sz w:val="14"/>
                <w:szCs w:val="14"/>
                <w:color w:val="auto"/>
              </w:rPr>
              <w:t>15,738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Cash dividends on common stock at</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$0.23 per share</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(12,707)</w:t>
            </w:r>
          </w:p>
        </w:tc>
        <w:tc>
          <w:tcPr>
            <w:tcW w:w="0" w:type="dxa"/>
            <w:vAlign w:val="bottom"/>
          </w:tcPr>
          <w:p>
            <w:pPr>
              <w:spacing w:after="0"/>
              <w:rPr>
                <w:sz w:val="1"/>
                <w:szCs w:val="1"/>
                <w:color w:val="auto"/>
              </w:rPr>
            </w:pPr>
          </w:p>
        </w:tc>
      </w:tr>
      <w:tr>
        <w:trPr>
          <w:trHeight w:val="184"/>
        </w:trPr>
        <w:tc>
          <w:tcPr>
            <w:tcW w:w="2320" w:type="dxa"/>
            <w:vAlign w:val="bottom"/>
          </w:tcPr>
          <w:p>
            <w:pPr>
              <w:ind w:left="180"/>
              <w:spacing w:after="0"/>
              <w:rPr>
                <w:sz w:val="20"/>
                <w:szCs w:val="20"/>
                <w:color w:val="auto"/>
              </w:rPr>
            </w:pPr>
            <w:r>
              <w:rPr>
                <w:rFonts w:ascii="Arial" w:cs="Arial" w:eastAsia="Arial" w:hAnsi="Arial"/>
                <w:sz w:val="14"/>
                <w:szCs w:val="14"/>
                <w:color w:val="auto"/>
                <w:w w:val="93"/>
              </w:rPr>
              <w:t>Stock dividend equivalents on RSUs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180"/>
              <w:spacing w:after="0"/>
              <w:rPr>
                <w:sz w:val="20"/>
                <w:szCs w:val="20"/>
                <w:color w:val="auto"/>
              </w:rPr>
            </w:pPr>
            <w:r>
              <w:rPr>
                <w:rFonts w:ascii="Arial" w:cs="Arial" w:eastAsia="Arial" w:hAnsi="Arial"/>
                <w:sz w:val="14"/>
                <w:szCs w:val="14"/>
                <w:color w:val="auto"/>
              </w:rPr>
              <w:t>at $0.23 per share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Arial" w:cs="Arial" w:eastAsia="Arial" w:hAnsi="Arial"/>
                <w:sz w:val="14"/>
                <w:szCs w:val="14"/>
                <w:color w:val="auto"/>
              </w:rPr>
              <w:t>Balance, September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55,232,434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1,319,921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147,358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(288,995)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(71,754)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1,106,588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1"/>
        </w:trPr>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3"/>
              </w:rPr>
              <w:t>Nine Months Ended September 30, 2022</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5"/>
                <w:szCs w:val="15"/>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00"/>
        </w:trPr>
        <w:tc>
          <w:tcPr>
            <w:tcW w:w="232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2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55,434,910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1,316,984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92,463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(23,758)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(66,635)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1,319,112</w:t>
            </w:r>
          </w:p>
        </w:tc>
        <w:tc>
          <w:tcPr>
            <w:tcW w:w="0" w:type="dxa"/>
            <w:vAlign w:val="bottom"/>
          </w:tcPr>
          <w:p>
            <w:pPr>
              <w:spacing w:after="0"/>
              <w:rPr>
                <w:sz w:val="1"/>
                <w:szCs w:val="1"/>
                <w:color w:val="auto"/>
              </w:rPr>
            </w:pPr>
          </w:p>
        </w:tc>
      </w:tr>
      <w:tr>
        <w:trPr>
          <w:trHeight w:val="190"/>
        </w:trPr>
        <w:tc>
          <w:tcPr>
            <w:tcW w:w="23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93,924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93,924</w:t>
            </w: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OCI, net of tax</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(265,237)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(265,237)</w:t>
            </w:r>
          </w:p>
        </w:tc>
        <w:tc>
          <w:tcPr>
            <w:tcW w:w="0" w:type="dxa"/>
            <w:vAlign w:val="bottom"/>
          </w:tcPr>
          <w:p>
            <w:pPr>
              <w:spacing w:after="0"/>
              <w:rPr>
                <w:sz w:val="1"/>
                <w:szCs w:val="1"/>
                <w:color w:val="auto"/>
              </w:rPr>
            </w:pPr>
          </w:p>
        </w:tc>
      </w:tr>
      <w:tr>
        <w:trPr>
          <w:trHeight w:val="190"/>
        </w:trPr>
        <w:tc>
          <w:tcPr>
            <w:tcW w:w="2320" w:type="dxa"/>
            <w:vAlign w:val="bottom"/>
          </w:tcPr>
          <w:p>
            <w:pPr>
              <w:ind w:left="180"/>
              <w:spacing w:after="0"/>
              <w:rPr>
                <w:sz w:val="20"/>
                <w:szCs w:val="20"/>
                <w:color w:val="auto"/>
              </w:rPr>
            </w:pPr>
            <w:r>
              <w:rPr>
                <w:rFonts w:ascii="Arial" w:cs="Arial" w:eastAsia="Arial" w:hAnsi="Arial"/>
                <w:sz w:val="14"/>
                <w:szCs w:val="14"/>
                <w:color w:val="auto"/>
              </w:rPr>
              <w:t>Repurchase of stock</w:t>
            </w:r>
          </w:p>
        </w:tc>
        <w:tc>
          <w:tcPr>
            <w:tcW w:w="1140" w:type="dxa"/>
            <w:vAlign w:val="bottom"/>
          </w:tcPr>
          <w:p>
            <w:pPr>
              <w:jc w:val="right"/>
              <w:spacing w:after="0"/>
              <w:rPr>
                <w:sz w:val="20"/>
                <w:szCs w:val="20"/>
                <w:color w:val="auto"/>
              </w:rPr>
            </w:pPr>
            <w:r>
              <w:rPr>
                <w:rFonts w:ascii="Arial" w:cs="Arial" w:eastAsia="Arial" w:hAnsi="Arial"/>
                <w:sz w:val="14"/>
                <w:szCs w:val="14"/>
                <w:color w:val="auto"/>
              </w:rPr>
              <w:t>(388,614)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(9,912)</w:t>
            </w: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4"/>
              </w:rPr>
              <w:t>Issuance of treasury stock for ESPP</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50,033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84"/>
        </w:trPr>
        <w:tc>
          <w:tcPr>
            <w:tcW w:w="2320" w:type="dxa"/>
            <w:vAlign w:val="bottom"/>
          </w:tcPr>
          <w:p>
            <w:pPr>
              <w:ind w:left="180"/>
              <w:spacing w:after="0"/>
              <w:rPr>
                <w:sz w:val="20"/>
                <w:szCs w:val="20"/>
                <w:color w:val="auto"/>
              </w:rPr>
            </w:pPr>
            <w:r>
              <w:rPr>
                <w:rFonts w:ascii="Arial" w:cs="Arial" w:eastAsia="Arial" w:hAnsi="Arial"/>
                <w:sz w:val="14"/>
                <w:szCs w:val="14"/>
                <w:color w:val="auto"/>
              </w:rPr>
              <w:t>Net issuance of treasury stock for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180"/>
              <w:spacing w:after="0"/>
              <w:rPr>
                <w:sz w:val="20"/>
                <w:szCs w:val="20"/>
                <w:color w:val="auto"/>
              </w:rPr>
            </w:pPr>
            <w:r>
              <w:rPr>
                <w:rFonts w:ascii="Arial" w:cs="Arial" w:eastAsia="Arial" w:hAnsi="Arial"/>
                <w:sz w:val="14"/>
                <w:szCs w:val="14"/>
                <w:color w:val="auto"/>
              </w:rPr>
              <w:t>RSU/DSU vesting and related tax</w:t>
            </w:r>
          </w:p>
        </w:tc>
        <w:tc>
          <w:tcPr>
            <w:tcW w:w="1140" w:type="dxa"/>
            <w:vAlign w:val="bottom"/>
          </w:tcPr>
          <w:p>
            <w:pPr>
              <w:jc w:val="right"/>
              <w:spacing w:after="0"/>
              <w:rPr>
                <w:sz w:val="20"/>
                <w:szCs w:val="20"/>
                <w:color w:val="auto"/>
              </w:rPr>
            </w:pPr>
            <w:r>
              <w:rPr>
                <w:rFonts w:ascii="Arial" w:cs="Arial" w:eastAsia="Arial" w:hAnsi="Arial"/>
                <w:sz w:val="14"/>
                <w:szCs w:val="14"/>
                <w:color w:val="auto"/>
              </w:rPr>
              <w:t>136,105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Cash dividends on common stock at</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$0.69 per share</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(38,159)</w:t>
            </w:r>
          </w:p>
        </w:tc>
        <w:tc>
          <w:tcPr>
            <w:tcW w:w="0" w:type="dxa"/>
            <w:vAlign w:val="bottom"/>
          </w:tcPr>
          <w:p>
            <w:pPr>
              <w:spacing w:after="0"/>
              <w:rPr>
                <w:sz w:val="1"/>
                <w:szCs w:val="1"/>
                <w:color w:val="auto"/>
              </w:rPr>
            </w:pPr>
          </w:p>
        </w:tc>
      </w:tr>
      <w:tr>
        <w:trPr>
          <w:trHeight w:val="184"/>
        </w:trPr>
        <w:tc>
          <w:tcPr>
            <w:tcW w:w="2320" w:type="dxa"/>
            <w:vAlign w:val="bottom"/>
          </w:tcPr>
          <w:p>
            <w:pPr>
              <w:ind w:left="180"/>
              <w:spacing w:after="0"/>
              <w:rPr>
                <w:sz w:val="20"/>
                <w:szCs w:val="20"/>
                <w:color w:val="auto"/>
              </w:rPr>
            </w:pPr>
            <w:r>
              <w:rPr>
                <w:rFonts w:ascii="Arial" w:cs="Arial" w:eastAsia="Arial" w:hAnsi="Arial"/>
                <w:sz w:val="14"/>
                <w:szCs w:val="14"/>
                <w:color w:val="auto"/>
                <w:w w:val="93"/>
              </w:rPr>
              <w:t>Stock dividend equivalents on RSUs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180"/>
              <w:spacing w:after="0"/>
              <w:rPr>
                <w:sz w:val="20"/>
                <w:szCs w:val="20"/>
                <w:color w:val="auto"/>
              </w:rPr>
            </w:pPr>
            <w:r>
              <w:rPr>
                <w:rFonts w:ascii="Arial" w:cs="Arial" w:eastAsia="Arial" w:hAnsi="Arial"/>
                <w:sz w:val="14"/>
                <w:szCs w:val="14"/>
                <w:color w:val="auto"/>
              </w:rPr>
              <w:t>at $0.69 per share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6,721</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Arial" w:cs="Arial" w:eastAsia="Arial" w:hAnsi="Arial"/>
                <w:sz w:val="14"/>
                <w:szCs w:val="14"/>
                <w:color w:val="auto"/>
              </w:rPr>
              <w:t>Balance, September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55,232,434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1,319,921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147,358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(288,995)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(71,754)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1,106,588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6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00"/>
        </w:trPr>
        <w:tc>
          <w:tcPr>
            <w:tcW w:w="210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56,330,616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1,316,716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(44,734)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1,345,691</w:t>
            </w:r>
          </w:p>
        </w:tc>
        <w:tc>
          <w:tcPr>
            <w:tcW w:w="0" w:type="dxa"/>
            <w:vAlign w:val="bottom"/>
          </w:tcPr>
          <w:p>
            <w:pPr>
              <w:spacing w:after="0"/>
              <w:rPr>
                <w:sz w:val="1"/>
                <w:szCs w:val="1"/>
                <w:color w:val="auto"/>
              </w:rPr>
            </w:pPr>
          </w:p>
        </w:tc>
      </w:tr>
      <w:tr>
        <w:trPr>
          <w:trHeight w:val="190"/>
        </w:trPr>
        <w:tc>
          <w:tcPr>
            <w:tcW w:w="21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25,941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25,941</w:t>
            </w:r>
          </w:p>
        </w:tc>
        <w:tc>
          <w:tcPr>
            <w:tcW w:w="0" w:type="dxa"/>
            <w:vAlign w:val="bottom"/>
          </w:tcPr>
          <w:p>
            <w:pPr>
              <w:spacing w:after="0"/>
              <w:rPr>
                <w:sz w:val="1"/>
                <w:szCs w:val="1"/>
                <w:color w:val="auto"/>
              </w:rPr>
            </w:pPr>
          </w:p>
        </w:tc>
      </w:tr>
      <w:tr>
        <w:trPr>
          <w:trHeight w:val="39"/>
        </w:trPr>
        <w:tc>
          <w:tcPr>
            <w:tcW w:w="2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OCI, net of tax</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(12,091)</w:t>
            </w:r>
          </w:p>
        </w:tc>
        <w:tc>
          <w:tcPr>
            <w:tcW w:w="0" w:type="dxa"/>
            <w:vAlign w:val="bottom"/>
          </w:tcPr>
          <w:p>
            <w:pPr>
              <w:spacing w:after="0"/>
              <w:rPr>
                <w:sz w:val="1"/>
                <w:szCs w:val="1"/>
                <w:color w:val="auto"/>
              </w:rPr>
            </w:pPr>
          </w:p>
        </w:tc>
      </w:tr>
      <w:tr>
        <w:trPr>
          <w:trHeight w:val="184"/>
        </w:trPr>
        <w:tc>
          <w:tcPr>
            <w:tcW w:w="2100" w:type="dxa"/>
            <w:vAlign w:val="bottom"/>
          </w:tcPr>
          <w:p>
            <w:pPr>
              <w:ind w:left="180"/>
              <w:spacing w:after="0"/>
              <w:rPr>
                <w:sz w:val="20"/>
                <w:szCs w:val="20"/>
                <w:color w:val="auto"/>
              </w:rPr>
            </w:pPr>
            <w:r>
              <w:rPr>
                <w:rFonts w:ascii="Arial" w:cs="Arial" w:eastAsia="Arial" w:hAnsi="Arial"/>
                <w:sz w:val="14"/>
                <w:szCs w:val="14"/>
                <w:color w:val="auto"/>
                <w:w w:val="99"/>
              </w:rPr>
              <w:t>Stock issued in acquisition, net</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of stock issuance costs</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39"/>
        </w:trPr>
        <w:tc>
          <w:tcPr>
            <w:tcW w:w="2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 of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(625,000)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(14,790)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(14,790)</w:t>
            </w:r>
          </w:p>
        </w:tc>
        <w:tc>
          <w:tcPr>
            <w:tcW w:w="0" w:type="dxa"/>
            <w:vAlign w:val="bottom"/>
          </w:tcPr>
          <w:p>
            <w:pPr>
              <w:spacing w:after="0"/>
              <w:rPr>
                <w:sz w:val="1"/>
                <w:szCs w:val="1"/>
                <w:color w:val="auto"/>
              </w:rPr>
            </w:pPr>
          </w:p>
        </w:tc>
      </w:tr>
      <w:tr>
        <w:trPr>
          <w:trHeight w:val="184"/>
        </w:trPr>
        <w:tc>
          <w:tcPr>
            <w:tcW w:w="2100" w:type="dxa"/>
            <w:vAlign w:val="bottom"/>
          </w:tcPr>
          <w:p>
            <w:pPr>
              <w:ind w:left="180"/>
              <w:spacing w:after="0"/>
              <w:rPr>
                <w:sz w:val="20"/>
                <w:szCs w:val="20"/>
                <w:color w:val="auto"/>
              </w:rPr>
            </w:pPr>
            <w:r>
              <w:rPr>
                <w:rFonts w:ascii="Arial" w:cs="Arial" w:eastAsia="Arial" w:hAnsi="Arial"/>
                <w:sz w:val="14"/>
                <w:szCs w:val="14"/>
                <w:color w:val="auto"/>
              </w:rPr>
              <w:t>Issuance of treasury stock for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ESPP</w:t>
            </w:r>
          </w:p>
        </w:tc>
        <w:tc>
          <w:tcPr>
            <w:tcW w:w="1140" w:type="dxa"/>
            <w:vAlign w:val="bottom"/>
          </w:tcPr>
          <w:p>
            <w:pPr>
              <w:jc w:val="right"/>
              <w:spacing w:after="0"/>
              <w:rPr>
                <w:sz w:val="20"/>
                <w:szCs w:val="20"/>
                <w:color w:val="auto"/>
              </w:rPr>
            </w:pPr>
            <w:r>
              <w:rPr>
                <w:rFonts w:ascii="Arial" w:cs="Arial" w:eastAsia="Arial" w:hAnsi="Arial"/>
                <w:sz w:val="14"/>
                <w:szCs w:val="14"/>
                <w:color w:val="auto"/>
              </w:rPr>
              <w:t>14,658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39"/>
        </w:trPr>
        <w:tc>
          <w:tcPr>
            <w:tcW w:w="2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issuance of treasury stock</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 RSU/DSU vesting and</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106,710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188"/>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related tax</w:t>
            </w:r>
          </w:p>
        </w:tc>
        <w:tc>
          <w:tcPr>
            <w:tcW w:w="1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180"/>
              <w:spacing w:after="0"/>
              <w:rPr>
                <w:sz w:val="20"/>
                <w:szCs w:val="20"/>
                <w:color w:val="auto"/>
              </w:rPr>
            </w:pPr>
            <w:r>
              <w:rPr>
                <w:rFonts w:ascii="Arial" w:cs="Arial" w:eastAsia="Arial" w:hAnsi="Arial"/>
                <w:sz w:val="14"/>
                <w:szCs w:val="14"/>
                <w:color w:val="auto"/>
              </w:rPr>
              <w:t>Cash dividends on common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stock at $0.23 per share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(12,956)</w:t>
            </w:r>
          </w:p>
        </w:tc>
        <w:tc>
          <w:tcPr>
            <w:tcW w:w="0" w:type="dxa"/>
            <w:vAlign w:val="bottom"/>
          </w:tcPr>
          <w:p>
            <w:pPr>
              <w:spacing w:after="0"/>
              <w:rPr>
                <w:sz w:val="1"/>
                <w:szCs w:val="1"/>
                <w:color w:val="auto"/>
              </w:rPr>
            </w:pPr>
          </w:p>
        </w:tc>
      </w:tr>
      <w:tr>
        <w:trPr>
          <w:trHeight w:val="39"/>
        </w:trPr>
        <w:tc>
          <w:tcPr>
            <w:tcW w:w="2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dividend equivalents on</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RSUs at $0.23 per share</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1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39"/>
        </w:trPr>
        <w:tc>
          <w:tcPr>
            <w:tcW w:w="2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55,826,984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1,315,038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(56,297)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1,333,076</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2"/>
              </w:rPr>
              <w:t>Nine Months Ended September 30, 2021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00"/>
        </w:trPr>
        <w:tc>
          <w:tcPr>
            <w:tcW w:w="210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2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54,404,379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1,253,360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20,830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33,309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(37,486)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1,270,069</w:t>
            </w:r>
          </w:p>
        </w:tc>
        <w:tc>
          <w:tcPr>
            <w:tcW w:w="0" w:type="dxa"/>
            <w:vAlign w:val="bottom"/>
          </w:tcPr>
          <w:p>
            <w:pPr>
              <w:spacing w:after="0"/>
              <w:rPr>
                <w:sz w:val="1"/>
                <w:szCs w:val="1"/>
                <w:color w:val="auto"/>
              </w:rPr>
            </w:pPr>
          </w:p>
        </w:tc>
      </w:tr>
      <w:tr>
        <w:trPr>
          <w:trHeight w:val="191"/>
        </w:trPr>
        <w:tc>
          <w:tcPr>
            <w:tcW w:w="21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93,523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93,523</w:t>
            </w:r>
          </w:p>
        </w:tc>
        <w:tc>
          <w:tcPr>
            <w:tcW w:w="0" w:type="dxa"/>
            <w:vAlign w:val="bottom"/>
          </w:tcPr>
          <w:p>
            <w:pPr>
              <w:spacing w:after="0"/>
              <w:rPr>
                <w:sz w:val="1"/>
                <w:szCs w:val="1"/>
                <w:color w:val="auto"/>
              </w:rPr>
            </w:pPr>
          </w:p>
        </w:tc>
      </w:tr>
      <w:tr>
        <w:trPr>
          <w:trHeight w:val="39"/>
        </w:trPr>
        <w:tc>
          <w:tcPr>
            <w:tcW w:w="210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OCI, net of tax</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(34,675)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(34,675)</w:t>
            </w:r>
          </w:p>
        </w:tc>
        <w:tc>
          <w:tcPr>
            <w:tcW w:w="0" w:type="dxa"/>
            <w:vAlign w:val="bottom"/>
          </w:tcPr>
          <w:p>
            <w:pPr>
              <w:spacing w:after="0"/>
              <w:rPr>
                <w:sz w:val="1"/>
                <w:szCs w:val="1"/>
                <w:color w:val="auto"/>
              </w:rPr>
            </w:pPr>
          </w:p>
        </w:tc>
      </w:tr>
      <w:tr>
        <w:trPr>
          <w:trHeight w:val="184"/>
        </w:trPr>
        <w:tc>
          <w:tcPr>
            <w:tcW w:w="2100" w:type="dxa"/>
            <w:vAlign w:val="bottom"/>
          </w:tcPr>
          <w:p>
            <w:pPr>
              <w:ind w:left="180"/>
              <w:spacing w:after="0"/>
              <w:rPr>
                <w:sz w:val="20"/>
                <w:szCs w:val="20"/>
                <w:color w:val="auto"/>
              </w:rPr>
            </w:pPr>
            <w:r>
              <w:rPr>
                <w:rFonts w:ascii="Arial" w:cs="Arial" w:eastAsia="Arial" w:hAnsi="Arial"/>
                <w:sz w:val="14"/>
                <w:szCs w:val="14"/>
                <w:color w:val="auto"/>
                <w:w w:val="99"/>
              </w:rPr>
              <w:t>Stock issued in acquisition, net</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of stock issuance costs</w:t>
            </w:r>
          </w:p>
        </w:tc>
        <w:tc>
          <w:tcPr>
            <w:tcW w:w="1140" w:type="dxa"/>
            <w:vAlign w:val="bottom"/>
          </w:tcPr>
          <w:p>
            <w:pPr>
              <w:jc w:val="right"/>
              <w:spacing w:after="0"/>
              <w:rPr>
                <w:sz w:val="20"/>
                <w:szCs w:val="20"/>
                <w:color w:val="auto"/>
              </w:rPr>
            </w:pPr>
            <w:r>
              <w:rPr>
                <w:rFonts w:ascii="Arial" w:cs="Arial" w:eastAsia="Arial" w:hAnsi="Arial"/>
                <w:sz w:val="14"/>
                <w:szCs w:val="14"/>
                <w:color w:val="auto"/>
              </w:rPr>
              <w:t>2,206,237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58,953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58,955</w:t>
            </w:r>
          </w:p>
        </w:tc>
        <w:tc>
          <w:tcPr>
            <w:tcW w:w="0" w:type="dxa"/>
            <w:vAlign w:val="bottom"/>
          </w:tcPr>
          <w:p>
            <w:pPr>
              <w:spacing w:after="0"/>
              <w:rPr>
                <w:sz w:val="1"/>
                <w:szCs w:val="1"/>
                <w:color w:val="auto"/>
              </w:rPr>
            </w:pPr>
          </w:p>
        </w:tc>
      </w:tr>
      <w:tr>
        <w:trPr>
          <w:trHeight w:val="39"/>
        </w:trPr>
        <w:tc>
          <w:tcPr>
            <w:tcW w:w="2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 of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(905,000)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(22,038)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(22,038)</w:t>
            </w:r>
          </w:p>
        </w:tc>
        <w:tc>
          <w:tcPr>
            <w:tcW w:w="0" w:type="dxa"/>
            <w:vAlign w:val="bottom"/>
          </w:tcPr>
          <w:p>
            <w:pPr>
              <w:spacing w:after="0"/>
              <w:rPr>
                <w:sz w:val="1"/>
                <w:szCs w:val="1"/>
                <w:color w:val="auto"/>
              </w:rPr>
            </w:pPr>
          </w:p>
        </w:tc>
      </w:tr>
      <w:tr>
        <w:trPr>
          <w:trHeight w:val="184"/>
        </w:trPr>
        <w:tc>
          <w:tcPr>
            <w:tcW w:w="2100" w:type="dxa"/>
            <w:vAlign w:val="bottom"/>
          </w:tcPr>
          <w:p>
            <w:pPr>
              <w:ind w:left="180"/>
              <w:spacing w:after="0"/>
              <w:rPr>
                <w:sz w:val="20"/>
                <w:szCs w:val="20"/>
                <w:color w:val="auto"/>
              </w:rPr>
            </w:pPr>
            <w:r>
              <w:rPr>
                <w:rFonts w:ascii="Arial" w:cs="Arial" w:eastAsia="Arial" w:hAnsi="Arial"/>
                <w:sz w:val="14"/>
                <w:szCs w:val="14"/>
                <w:color w:val="auto"/>
              </w:rPr>
              <w:t>Issuance of treasury stock for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ESPP</w:t>
            </w:r>
          </w:p>
        </w:tc>
        <w:tc>
          <w:tcPr>
            <w:tcW w:w="1140" w:type="dxa"/>
            <w:vAlign w:val="bottom"/>
          </w:tcPr>
          <w:p>
            <w:pPr>
              <w:jc w:val="right"/>
              <w:spacing w:after="0"/>
              <w:rPr>
                <w:sz w:val="20"/>
                <w:szCs w:val="20"/>
                <w:color w:val="auto"/>
              </w:rPr>
            </w:pPr>
            <w:r>
              <w:rPr>
                <w:rFonts w:ascii="Arial" w:cs="Arial" w:eastAsia="Arial" w:hAnsi="Arial"/>
                <w:sz w:val="14"/>
                <w:szCs w:val="14"/>
                <w:color w:val="auto"/>
              </w:rPr>
              <w:t>14,658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39"/>
        </w:trPr>
        <w:tc>
          <w:tcPr>
            <w:tcW w:w="2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issuance of treasury stock</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 RSU/DSU vesting and</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106,710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188"/>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related tax</w:t>
            </w:r>
          </w:p>
        </w:tc>
        <w:tc>
          <w:tcPr>
            <w:tcW w:w="1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180"/>
              <w:spacing w:after="0"/>
              <w:rPr>
                <w:sz w:val="20"/>
                <w:szCs w:val="20"/>
                <w:color w:val="auto"/>
              </w:rPr>
            </w:pPr>
            <w:r>
              <w:rPr>
                <w:rFonts w:ascii="Arial" w:cs="Arial" w:eastAsia="Arial" w:hAnsi="Arial"/>
                <w:sz w:val="14"/>
                <w:szCs w:val="14"/>
                <w:color w:val="auto"/>
              </w:rPr>
              <w:t>Cash dividends on common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stock at $0.69 per share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(37,953)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(37,953)</w:t>
            </w:r>
          </w:p>
        </w:tc>
        <w:tc>
          <w:tcPr>
            <w:tcW w:w="0" w:type="dxa"/>
            <w:vAlign w:val="bottom"/>
          </w:tcPr>
          <w:p>
            <w:pPr>
              <w:spacing w:after="0"/>
              <w:rPr>
                <w:sz w:val="1"/>
                <w:szCs w:val="1"/>
                <w:color w:val="auto"/>
              </w:rPr>
            </w:pPr>
          </w:p>
        </w:tc>
      </w:tr>
      <w:tr>
        <w:trPr>
          <w:trHeight w:val="39"/>
        </w:trPr>
        <w:tc>
          <w:tcPr>
            <w:tcW w:w="2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dividend equivalents on</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RSUs at $0.69 per share</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1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5,776</w:t>
            </w:r>
          </w:p>
        </w:tc>
        <w:tc>
          <w:tcPr>
            <w:tcW w:w="0" w:type="dxa"/>
            <w:vAlign w:val="bottom"/>
          </w:tcPr>
          <w:p>
            <w:pPr>
              <w:spacing w:after="0"/>
              <w:rPr>
                <w:sz w:val="1"/>
                <w:szCs w:val="1"/>
                <w:color w:val="auto"/>
              </w:rPr>
            </w:pPr>
          </w:p>
        </w:tc>
      </w:tr>
      <w:tr>
        <w:trPr>
          <w:trHeight w:val="39"/>
        </w:trPr>
        <w:tc>
          <w:tcPr>
            <w:tcW w:w="2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55,826,984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1,315,038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(56,297)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1,333,076</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Provided by (Used in)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93,924</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93,523</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Provision for credit losses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(10,365)</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8,200</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Amortization of mortgage servicing rights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4,202</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NMTC</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4,308</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Depreciation and amortization of premises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8,723</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amortization (accretion) on portfolio loans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(4,860)</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Net amortization (accretion) of premium (discount) on investment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15,820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17,263</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amortization (accretion) of premium (discount) on time deposits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(929)</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Net amortization (accretion) of premium (discount) on FHLB advances and other borrowings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Impairment of OREO and other repossessed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Impairment of fixed assets held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Impairment of mortgage servicing rights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Impairment of leases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Unrealized (gains) losses recognized on equity securities, net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(2,482)</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(Gain) loss on sales of equity securities,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loss on sales of debt securities, net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(Gain) loss on sales of loans,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(8,202)</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loss on sales of OREO</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(Gain) loss on sales of premises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(1,007)</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loss on life insurance proceeds</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(Increase) decrease in cash surrender value of bank 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(2,946)</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Provision for deferred income taxes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2,326</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5,776</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Mortgage loans originated for sale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(214,096)</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Proceeds from sales of mortgage loans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84,732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244,356</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(Increase) decrease in other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(45,575)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(17,099)</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Increase (decrease) in other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(23,829)</w:t>
            </w:r>
          </w:p>
        </w:tc>
      </w:tr>
      <w:tr>
        <w:trPr>
          <w:trHeight w:val="39"/>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118,018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102,496</w:t>
            </w:r>
          </w:p>
        </w:tc>
      </w:tr>
      <w:tr>
        <w:trPr>
          <w:trHeight w:val="196"/>
        </w:trPr>
        <w:tc>
          <w:tcPr>
            <w:tcW w:w="8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Purchases of equity securities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(14,820)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(11,017)</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Purchases of debt securities available for sale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(279,831)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(2,048,554)</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sales of equity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15,418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7,254</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sales of debt securities available for sale</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290,955</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paydowns and maturities of debt securities held to maturity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51,552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paydowns and maturities of debt securities available for sale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370,274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641,754</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the redemption of FHLB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cash received in (paid for) acquisitions (see Note 2)</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228,279</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Net (increase) decrease in loans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(484,701)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114,729</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paid for premiums on bank-owned life insurance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3,232</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Purchases of premises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(4,041)</w:t>
            </w: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disposition of premises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6,519</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sales of OREO</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1,452</w:t>
            </w: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8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(338,927)</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(769,556)</w:t>
            </w:r>
          </w:p>
        </w:tc>
      </w:tr>
      <w:tr>
        <w:trPr>
          <w:trHeight w:val="39"/>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Net increase (decrease) in deposits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(166,862)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816,551</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change in federal funds purchased and securities sold under agreements to repurchase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48,977</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FHLB advances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Repayment of FHLB advances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(4,492)</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other borrowings, net of debt issuance costs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98,094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72,500</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Repayment of other borrowings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(109,000)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(15,500)</w:t>
            </w: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Cash dividends paid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(37,953)</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 of treasury stock</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(22,038)</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Cash paid for withholding taxes on stock-based payments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(888)</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treasury stock for ESPP</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Common stock issuance costs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39"/>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(268,037)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862,368</w:t>
            </w:r>
          </w:p>
        </w:tc>
      </w:tr>
      <w:tr>
        <w:trPr>
          <w:trHeight w:val="250"/>
        </w:trPr>
        <w:tc>
          <w:tcPr>
            <w:tcW w:w="8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(488,946)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195,308</w:t>
            </w: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beginning of period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836,095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688,537</w:t>
            </w:r>
          </w:p>
        </w:tc>
      </w:tr>
      <w:tr>
        <w:trPr>
          <w:trHeight w:val="39"/>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ending of period</w:t>
            </w:r>
          </w:p>
        </w:tc>
        <w:tc>
          <w:tcPr>
            <w:tcW w:w="8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883,845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3"/>
        </w:trPr>
        <w:tc>
          <w:tcPr>
            <w:tcW w:w="8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191"/>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payments for:</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19,465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16,257</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30,506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19,586</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OREO acquired in settlement of loans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Transfer of debt securities available for sale to held to maturity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985,199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First Busey Corporation, a Nevada corporation organized in 1980, is a $12.5 billion financial holding company headquartered in Champaign, Illinois. Our common stock is traded on The Nasdaq Global Select Market under the symbol “BUSE.”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and reports its business in three segments: Banking, FirsTech, and Wealth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Banking</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Banking operating segment provides a full range of banking services to individual and corporate customers through the Company’s wholly-owned bank subsidiary, Busey Bank, with 58 banking centers in Illinois; the St. Louis, Missouri metropolitan area; southwest Florida; and Indianapolis, Indiana.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FirsTech</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FirsTech operating segment provides comprehensive and innovative payment technology solutions that include, but are not limited to, text-based mobile bill pay;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Wealth Management</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Wealth Management operating segment provides a full range of asset management, investment, brokerage, fiduciary, philanthropic advisory, tax preparation, and farm management services to individuals, businesses, and foundations.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consolidated financial statements and related notes should be read in conjunction with the audited consolidated financial statements included in our 2021 Annual Report. These interim unaudited consolidated financial statements serve to update our 2021 Annual Report and may not include all information and notes necessary to constitute a complete set of financial statements.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debt securities available for sale, fair value of assets acquired and liabilities assumed in business combinations, goodwill, income taxes, and the determination of the ACL.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2022, the Company elected to account for all newly originated loans held for sale at LOCOM. Prior to this change, the Company accounted for loans held for sale at fair value. This change did not have a material impact on our results of operations during the three or nine months ended September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Adopted Accounting Standards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ASU 2021-10 </w:t>
      </w:r>
      <w:r>
        <w:rPr>
          <w:rFonts w:ascii="Arial" w:cs="Arial" w:eastAsia="Arial" w:hAnsi="Arial"/>
          <w:sz w:val="16"/>
          <w:szCs w:val="16"/>
          <w:i w:val="1"/>
          <w:iCs w:val="1"/>
          <w:color w:val="auto"/>
        </w:rPr>
        <w:t>“Government Assistance (Topic 832): Disclosures by Business Entities about Government Assistance”</w:t>
      </w:r>
      <w:r>
        <w:rPr>
          <w:rFonts w:ascii="Arial" w:cs="Arial" w:eastAsia="Arial" w:hAnsi="Arial"/>
          <w:sz w:val="16"/>
          <w:szCs w:val="16"/>
          <w:color w:val="auto"/>
        </w:rPr>
        <w:t xml:space="preserve"> establishes disclosure requirements for transactions with a government that have been accounted for by analogizing to a grant or contribution accounting model. Disclosures required under this standard include 1) the types of transactions, 2) the accounting for those transactions, and 3) the effect of those transactions on the consolidated financial statements. This update was effective for annual periods beginning January 1, 2022, and applies prospectively to all transactions within the scope of the amendments that are reflected in financial statements at the date of initial application and new transactions that are entered into after the date of initial application. Adoption of this standard did not have a material impact on First Busey’s financial position or results of operations.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ASU 2021-05 </w:t>
      </w:r>
      <w:r>
        <w:rPr>
          <w:rFonts w:ascii="Arial" w:cs="Arial" w:eastAsia="Arial" w:hAnsi="Arial"/>
          <w:sz w:val="16"/>
          <w:szCs w:val="16"/>
          <w:i w:val="1"/>
          <w:iCs w:val="1"/>
          <w:color w:val="auto"/>
        </w:rPr>
        <w:t>“Leases (Topic 842): Lessors—Certain Leases with Variable Lease Payments”</w:t>
      </w:r>
      <w:r>
        <w:rPr>
          <w:rFonts w:ascii="Arial" w:cs="Arial" w:eastAsia="Arial" w:hAnsi="Arial"/>
          <w:sz w:val="16"/>
          <w:szCs w:val="16"/>
          <w:color w:val="auto"/>
        </w:rPr>
        <w:t xml:space="preserve"> amends the lessor’s classification of certain leases under ASC Topic 842. Under this updated guidance, leases that would otherwise be classified as a sales-type or direct financing lease must be classified by a lessor as an operating lease when the following conditions are met: 1) the contract includes variable lease payments that do not depend on an index or rate and</w:t>
      </w:r>
    </w:p>
    <w:p>
      <w:pPr>
        <w:spacing w:after="0" w:line="2" w:lineRule="exact"/>
        <w:rPr>
          <w:sz w:val="20"/>
          <w:szCs w:val="20"/>
          <w:color w:val="auto"/>
        </w:rPr>
      </w:pPr>
    </w:p>
    <w:p>
      <w:pPr>
        <w:jc w:val="both"/>
        <w:ind w:firstLine="8"/>
        <w:spacing w:after="0" w:line="255"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classification as a sales-type or direct financing lease would result in recognition of a selling loss at lease commencement. This guidance was effective for First Busey beginning January 1, 2022, and was applied on a prospective basis. Adoption of this standard did not have a material impact on the Company’s financial position or results of operations.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ASU 2021-04 </w:t>
      </w:r>
      <w:r>
        <w:rPr>
          <w:rFonts w:ascii="Arial" w:cs="Arial" w:eastAsia="Arial" w:hAnsi="Arial"/>
          <w:sz w:val="17"/>
          <w:szCs w:val="17"/>
          <w:i w:val="1"/>
          <w:iCs w:val="1"/>
          <w:color w:val="auto"/>
        </w:rPr>
        <w:t>“Earnings Per Share (Topic 260), Debt—Modifications and Extinguishments (Subtopic 470-50), Compensation—Stock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718), and Derivatives and Hedging—Contracts in Entity’s Own Equity (Subtopic 815-40): Issuer’s Accounting for Certain Modifications or Exchanges of Freestanding Equity-Classified Written Call Options” </w:t>
      </w:r>
      <w:r>
        <w:rPr>
          <w:rFonts w:ascii="Arial" w:cs="Arial" w:eastAsia="Arial" w:hAnsi="Arial"/>
          <w:sz w:val="17"/>
          <w:szCs w:val="17"/>
          <w:color w:val="auto"/>
        </w:rPr>
        <w:t>clarifies how an issuer should account for modifications or exchanges of equity-classified written call options (i.e. a warrant to purchase the issuer’s common stock). This accounting standard requires the issuer to treat a modification of an equity-classified warrant that does not cause the warrant to become liability-classified as an exchange of the original warrant for a new warrant. This guidance applies whether the modification is structured as an amendment to the terms and conditions of the warrant or as termination of the original warrant and issuance of a new warrant. This guidance was effective for First Busey beginning January 1, 2022, and was applied on a prospective basis. Adoption of this standard did not have a material impact on the Company’s financial position or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ASU 2022-03 </w:t>
      </w:r>
      <w:r>
        <w:rPr>
          <w:rFonts w:ascii="Arial" w:cs="Arial" w:eastAsia="Arial" w:hAnsi="Arial"/>
          <w:sz w:val="18"/>
          <w:szCs w:val="18"/>
          <w:i w:val="1"/>
          <w:iCs w:val="1"/>
          <w:color w:val="auto"/>
        </w:rPr>
        <w:t>“Fair Value Measurements (Topic 820): Fair Value Measurement of Equity Securities Subject to Contractual Sale Restrictions”</w:t>
      </w:r>
      <w:r>
        <w:rPr>
          <w:rFonts w:ascii="Arial" w:cs="Arial" w:eastAsia="Arial" w:hAnsi="Arial"/>
          <w:sz w:val="18"/>
          <w:szCs w:val="18"/>
          <w:color w:val="auto"/>
        </w:rPr>
        <w:t xml:space="preserve"> clarifies that contractual restrictions on the sale of equity securities are not considered in measuring the fair value of those equity securities, and further that contractual sale restrictions cannot be recognized and measured as a separate unit of account. This standard applies prospectively, and is effective for First Busey beginning January 1, 2024. Early adoption is permitted. First Busey is currently evaluating the potential effect on the Company’s financial position and results of operations.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ASU 2022-02 </w:t>
      </w:r>
      <w:r>
        <w:rPr>
          <w:rFonts w:ascii="Arial" w:cs="Arial" w:eastAsia="Arial" w:hAnsi="Arial"/>
          <w:sz w:val="18"/>
          <w:szCs w:val="18"/>
          <w:i w:val="1"/>
          <w:iCs w:val="1"/>
          <w:color w:val="auto"/>
        </w:rPr>
        <w:t>“Financial Instruments—Credit Losses (Topic 326): Troubled Debt Restructurings and Vintage Disclosures”</w:t>
      </w:r>
      <w:r>
        <w:rPr>
          <w:rFonts w:ascii="Arial" w:cs="Arial" w:eastAsia="Arial" w:hAnsi="Arial"/>
          <w:sz w:val="18"/>
          <w:szCs w:val="18"/>
          <w:color w:val="auto"/>
        </w:rPr>
        <w:t xml:space="preserve"> eliminates the TDR accounting model for creditors that have already adopted CECL. In lieu of the TDR accounting model, loan refinancing and restructuring guidance in ASC Subtopic 310-20 “Investments—Debt Securities” will apply to all loan modifications, including those made for borrowers experiencing financial difficulty. This standard also enhances disclosure requirements related to certain loan modifications. Additionally, this standard introduces new requirements to disclose gross write-off information in the vintage disclosures of financing receivables by credit quality indicator and class of financing receivable by year of origination. This standard applies prospectively. For the transition method related to the recognition and measurement of TDRs, there is an option to apply a modified retrospective transition method, resulting in a cumulative-effect adjustment to retained earnings in the period of adoption. This standard is effective for First Busey beginning January 1, 2023. Early adoption is permitted. First Busey is currently evaluating the potential effect on the Company’s financial position and results of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ASU 2022-01 </w:t>
      </w:r>
      <w:r>
        <w:rPr>
          <w:rFonts w:ascii="Arial" w:cs="Arial" w:eastAsia="Arial" w:hAnsi="Arial"/>
          <w:sz w:val="16"/>
          <w:szCs w:val="16"/>
          <w:i w:val="1"/>
          <w:iCs w:val="1"/>
          <w:color w:val="auto"/>
        </w:rPr>
        <w:t>“Derivatives and Hedging (Topic 815): Fair Value Hedging—Portfolio Layer Method”</w:t>
      </w:r>
      <w:r>
        <w:rPr>
          <w:rFonts w:ascii="Arial" w:cs="Arial" w:eastAsia="Arial" w:hAnsi="Arial"/>
          <w:sz w:val="16"/>
          <w:szCs w:val="16"/>
          <w:color w:val="auto"/>
        </w:rPr>
        <w:t xml:space="preserve"> replaces the current last-of-layer hedge accounting method with an expanded portfolio layer method that permits multiple hedged layers of a single closed portfolio. The scope of the portfolio layer method is also expanded to include non-prepayable financial assets. This update also provides additional guidance on the accounting for and disclosure of hedge basis adjustments that are applicable to the portfolio layer method, and specifies how hedge basis adjustments should be considered when determining credit losses for the assets included in the closed portfolio. Amendments related to hedge basis adjustments which are included in this standard apply on a modified retrospective basis by means of a cumulative-effect adjustment to the opening balance of retained earnings on the initial application date. Amendments related to disclosure which are included in this standard may be applied on a prospective basis from the initial application date, or on a retrospective basis to each prior period presented after the date of adoption of the amendments in ASU 2017-12 “Derivatives and Hedging (Topic 815): Targeted Improvements to Accounting for Hedging Activities.” This standard is effective for First Busey beginning January 1, 2023, and may be early adopted. First Busey is currently evaluating the potential effect on the Company’s financial position and results of operations.</w:t>
      </w:r>
    </w:p>
    <w:p>
      <w:pPr>
        <w:spacing w:after="0" w:line="1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ASU 2021-08 </w:t>
      </w:r>
      <w:r>
        <w:rPr>
          <w:rFonts w:ascii="Arial" w:cs="Arial" w:eastAsia="Arial" w:hAnsi="Arial"/>
          <w:sz w:val="17"/>
          <w:szCs w:val="17"/>
          <w:i w:val="1"/>
          <w:iCs w:val="1"/>
          <w:color w:val="auto"/>
        </w:rPr>
        <w:t>“Business Combinations (Topic 805): Accounting for Contract Assets and Contract Liabilities from Contracts with Customers”</w:t>
      </w:r>
      <w:r>
        <w:rPr>
          <w:rFonts w:ascii="Arial" w:cs="Arial" w:eastAsia="Arial" w:hAnsi="Arial"/>
          <w:sz w:val="17"/>
          <w:szCs w:val="17"/>
          <w:color w:val="auto"/>
        </w:rPr>
        <w:t xml:space="preserve"> requires measurement and recognition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for contract assets and contract liabilities acquired in a business combination. This update is effective for First Busey beginning January 1, 2023, and may be adopted early. This standard applies prospectively to all business combinations that occur on or after the date it is adopted and, if applicable, retrospectively to all business combinations for which the acquisition date occurs on or after the beginning of the fiscal year that includes the interim period of early application. First Busey is currently evaluating the potential effect on the Company’s financial position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the COVID-19 pandemic, First Busey operated as an essential community resource, providing approximately $1.1 billion in payroll assistance for small businesses and select nonprofits through low-interest, 100% government-guaranteed loans as part of the PPP. First Busey had $1.5 million in PPP loans outstanding, with an amortized cost of $1.4 million, as of September 30, 2022. In comparison, First Busey had $76.9 million in PPP loans outstanding, with an amortized cost of $75.0 million, as of December 31,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unaudited consolidated financial statements included in this Quarterly Report were issued. Early in the fourth quarter of 2022, we implemented a targeted restructuring and efficiency optimization plan that is expected to generate annual salary and benefits savings of $4.0 million to $4.4 million. We also expect to incur one-time severance-related costs associated with this initiative of $1.1 million to $1.3 million, most of which are expected to be realized in the fourth quarter of 2022. We expect to largely reinvest the anticipated savings to support ongoing growth initiatives across our franchise over the next several quarters. Other than this item, there were no significant subsequent events for the quarter ended September 30, 2022, through the filing date of these unaudited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Cummins-American Corp.</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Effective May 31, 2021, the Company completed its acquisition of CAC, the holding company for GSB. The partnership enhanced the Company’s existing deposit, commercial banking, and wealth management presence in the Chicago-Naperville-Elgin, IL-IN-WI Metropolitan Statistical Area. GSB’s results of operations were included in the Company’s results of operations beginning June 1, 2021. First Busey operated GSB as a separate banking subsidiary until August 14, 2021, when it was merged with and into Busey Bank. At that time, all GSB banking centers became branches of Busey Bank.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definitive agreement, each share of CAC common stock issued and outstanding as of the effective date was converted into the right to receive 444.4783 shares of First Busey common stock and $14,173.96 in cash, which reflects adjustments made to the cash consideration in accordance with the terms of the definitive agreement. The fair value of the common shares of First Busey issued as part of the consideration paid to the holders of CAC common stock was determined on the basis of the closing price of First Busey’s common stock on May 28, 2021, the last trading day immediately preceding the acquisition date of May 31, 2021. As additional consideration provided to CAC’s shareholders in the merger, CAC paid a special dividend to its shareholders in the amount of $60.0 million, or $12,087.58 per share of CAC common stock, on May 28, 2021.</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was recorded at estimated fair values on the date of acquisition. Fair values were subject to refinement for up to one year after the closing date, as additional information regarding the closing date fair values became available, and were final as of May 31, 2022. The Company did not record any fair value adjustments during 2022.</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the total consideration paid for CAC exceeded the estimated fair value of net assets acquired, goodwill of $6.3 million was recorded as a result of the acquisition. The amount of goodwill recognized as a result of this transaction was fully tax deductible for federal income tax purposes in accordance with the Company’s election pursuant to Section 338(h)(10) of the Internal Revenue Code. Goodwill recorded for this transaction reflects synergies expected from the acquisition and expansion within the Chicago-Naperville-Elgin, IL-IN-WI Metropolitan Statistical Area, and was assigned to the Banking operating segment.</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2022, First Busey did not incur any pre-tax acquisition expenses related to the acquisition of CAC. During the nine months ended September 30, 2022, First Busey incurred $0.8 million in pre-tax acquisition expenses related to the acquisition of CAC, comprised primarily of compensation expense and data processing expense.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Fair values of the assets acquired and liabilities assumed, as well as the fair value of consideration transferred, were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CAC</w:t>
            </w:r>
          </w:p>
        </w:tc>
      </w:tr>
      <w:tr>
        <w:trPr>
          <w:trHeight w:val="230"/>
        </w:trPr>
        <w:tc>
          <w:tcPr>
            <w:tcW w:w="9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rPr>
              <w:t>May 31, 2021</w:t>
            </w:r>
          </w:p>
        </w:tc>
      </w:tr>
      <w:tr>
        <w:trPr>
          <w:trHeight w:val="39"/>
        </w:trPr>
        <w:tc>
          <w:tcPr>
            <w:tcW w:w="9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298,637</w:t>
            </w:r>
          </w:p>
        </w:tc>
      </w:tr>
      <w:tr>
        <w:trPr>
          <w:trHeight w:val="27"/>
        </w:trPr>
        <w:tc>
          <w:tcPr>
            <w:tcW w:w="9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702,367</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Portfolio loans, net of ACL</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430,470</w:t>
            </w:r>
          </w:p>
        </w:tc>
      </w:tr>
      <w:tr>
        <w:trPr>
          <w:trHeight w:val="27"/>
        </w:trPr>
        <w:tc>
          <w:tcPr>
            <w:tcW w:w="9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Premises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17,034</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17,340</w:t>
            </w:r>
          </w:p>
        </w:tc>
      </w:tr>
      <w:tr>
        <w:trPr>
          <w:trHeight w:val="27"/>
        </w:trPr>
        <w:tc>
          <w:tcPr>
            <w:tcW w:w="9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8,176</w:t>
            </w:r>
          </w:p>
        </w:tc>
      </w:tr>
      <w:tr>
        <w:trPr>
          <w:trHeight w:val="27"/>
        </w:trPr>
        <w:tc>
          <w:tcPr>
            <w:tcW w:w="9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1,474,653</w:t>
            </w:r>
          </w:p>
        </w:tc>
      </w:tr>
      <w:tr>
        <w:trPr>
          <w:trHeight w:val="250"/>
        </w:trPr>
        <w:tc>
          <w:tcPr>
            <w:tcW w:w="97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1,315,671</w:t>
            </w:r>
          </w:p>
        </w:tc>
      </w:tr>
      <w:tr>
        <w:trPr>
          <w:trHeight w:val="27"/>
        </w:trPr>
        <w:tc>
          <w:tcPr>
            <w:tcW w:w="9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16,651</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19,205</w:t>
            </w:r>
          </w:p>
        </w:tc>
      </w:tr>
      <w:tr>
        <w:trPr>
          <w:trHeight w:val="27"/>
        </w:trPr>
        <w:tc>
          <w:tcPr>
            <w:tcW w:w="9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1,351,527</w:t>
            </w:r>
          </w:p>
        </w:tc>
      </w:tr>
      <w:tr>
        <w:trPr>
          <w:trHeight w:val="250"/>
        </w:trPr>
        <w:tc>
          <w:tcPr>
            <w:tcW w:w="97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95"/>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paid: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70,358</w:t>
            </w:r>
          </w:p>
        </w:tc>
      </w:tr>
      <w:tr>
        <w:trPr>
          <w:trHeight w:val="27"/>
        </w:trPr>
        <w:tc>
          <w:tcPr>
            <w:tcW w:w="9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59,105</w:t>
            </w:r>
          </w:p>
        </w:tc>
      </w:tr>
      <w:tr>
        <w:trPr>
          <w:trHeight w:val="263"/>
        </w:trPr>
        <w:tc>
          <w:tcPr>
            <w:tcW w:w="9760" w:type="dxa"/>
            <w:vAlign w:val="bottom"/>
          </w:tcPr>
          <w:p>
            <w:pPr>
              <w:ind w:left="20"/>
              <w:spacing w:after="0"/>
              <w:rPr>
                <w:sz w:val="20"/>
                <w:szCs w:val="20"/>
                <w:color w:val="auto"/>
              </w:rPr>
            </w:pPr>
            <w:r>
              <w:rPr>
                <w:rFonts w:ascii="Arial" w:cs="Arial" w:eastAsia="Arial" w:hAnsi="Arial"/>
                <w:sz w:val="18"/>
                <w:szCs w:val="18"/>
                <w:color w:val="auto"/>
              </w:rPr>
              <w:t>Total consideration paid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129,463</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9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70"/>
        </w:trPr>
        <w:tc>
          <w:tcPr>
            <w:tcW w:w="9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w:t>
            </w:r>
          </w:p>
        </w:tc>
      </w:tr>
      <w:tr>
        <w:trPr>
          <w:trHeight w:val="20"/>
        </w:trPr>
        <w:tc>
          <w:tcPr>
            <w:tcW w:w="9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PCD financial assets was $60.5 million on the date of acquisition. Gross contractual amounts receivable relating to the PCD financial assets was $65.2 million. The Company estimated, on the date of acquisition, that $4.2 million of the contractual cash flows specific to the PCD financial assets will not be collected.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Debt Securities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tables below provide the amortized cost, unrealized gains and losses, and fair values of debt securities summarized by major category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As of September 30,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6"/>
                <w:szCs w:val="16"/>
                <w:color w:val="auto"/>
              </w:rPr>
            </w:pPr>
          </w:p>
        </w:tc>
        <w:tc>
          <w:tcPr>
            <w:tcW w:w="1660" w:type="dxa"/>
            <w:vAlign w:val="bottom"/>
            <w:gridSpan w:val="3"/>
          </w:tcPr>
          <w:p>
            <w:pPr>
              <w:jc w:val="center"/>
              <w:ind w:left="834"/>
              <w:spacing w:after="0"/>
              <w:rPr>
                <w:sz w:val="20"/>
                <w:szCs w:val="20"/>
                <w:color w:val="auto"/>
              </w:rPr>
            </w:pPr>
            <w:r>
              <w:rPr>
                <w:rFonts w:ascii="Arial" w:cs="Arial" w:eastAsia="Arial" w:hAnsi="Arial"/>
                <w:sz w:val="14"/>
                <w:szCs w:val="14"/>
                <w:b w:val="1"/>
                <w:bCs w:val="1"/>
                <w:color w:val="auto"/>
                <w:w w:val="93"/>
              </w:rPr>
              <w:t>Unrealized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center"/>
              <w:ind w:right="2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Gains</w:t>
            </w:r>
          </w:p>
        </w:tc>
        <w:tc>
          <w:tcPr>
            <w:tcW w:w="320" w:type="dxa"/>
            <w:vAlign w:val="bottom"/>
          </w:tcPr>
          <w:p>
            <w:pPr>
              <w:spacing w:after="0"/>
              <w:rPr>
                <w:sz w:val="2"/>
                <w:szCs w:val="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Losses</w:t>
            </w:r>
          </w:p>
        </w:tc>
        <w:tc>
          <w:tcPr>
            <w:tcW w:w="340" w:type="dxa"/>
            <w:vAlign w:val="bottom"/>
          </w:tcPr>
          <w:p>
            <w:pPr>
              <w:spacing w:after="0"/>
              <w:rPr>
                <w:sz w:val="2"/>
                <w:szCs w:val="2"/>
                <w:color w:val="auto"/>
              </w:rPr>
            </w:pPr>
          </w:p>
        </w:tc>
        <w:tc>
          <w:tcPr>
            <w:tcW w:w="1140" w:type="dxa"/>
            <w:vAlign w:val="bottom"/>
            <w:vMerge w:val="restart"/>
          </w:tcPr>
          <w:p>
            <w:pPr>
              <w:jc w:val="center"/>
              <w:ind w:right="25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line="20" w:lineRule="exact"/>
              <w:rPr>
                <w:sz w:val="1"/>
                <w:szCs w:val="1"/>
                <w:color w:val="auto"/>
              </w:rPr>
            </w:pPr>
          </w:p>
        </w:tc>
      </w:tr>
      <w:tr>
        <w:trPr>
          <w:trHeight w:val="192"/>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145,495</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140,842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 of U.S. government corporations and agencies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24,933</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298,653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270,835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490,076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466,524</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98,719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87,751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1,538,308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1,304,314</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279,310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251,842</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securities available for sale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2,875,848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2,547,041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486,116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(60,341)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425,775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450,212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383,110</w:t>
            </w:r>
          </w:p>
        </w:tc>
        <w:tc>
          <w:tcPr>
            <w:tcW w:w="0" w:type="dxa"/>
            <w:vAlign w:val="bottom"/>
          </w:tcPr>
          <w:p>
            <w:pPr>
              <w:spacing w:after="0"/>
              <w:rPr>
                <w:sz w:val="1"/>
                <w:szCs w:val="1"/>
                <w:color w:val="auto"/>
              </w:rPr>
            </w:pP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color w:val="auto"/>
              </w:rPr>
              <w:t>Total debt securities held to maturity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936,328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(127,443)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808,885</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1"/>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As of December 31,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6"/>
                <w:szCs w:val="16"/>
                <w:color w:val="auto"/>
              </w:rPr>
            </w:pPr>
          </w:p>
        </w:tc>
        <w:tc>
          <w:tcPr>
            <w:tcW w:w="1660" w:type="dxa"/>
            <w:vAlign w:val="bottom"/>
            <w:gridSpan w:val="3"/>
          </w:tcPr>
          <w:p>
            <w:pPr>
              <w:jc w:val="center"/>
              <w:ind w:left="834"/>
              <w:spacing w:after="0"/>
              <w:rPr>
                <w:sz w:val="20"/>
                <w:szCs w:val="20"/>
                <w:color w:val="auto"/>
              </w:rPr>
            </w:pPr>
            <w:r>
              <w:rPr>
                <w:rFonts w:ascii="Arial" w:cs="Arial" w:eastAsia="Arial" w:hAnsi="Arial"/>
                <w:sz w:val="14"/>
                <w:szCs w:val="14"/>
                <w:b w:val="1"/>
                <w:bCs w:val="1"/>
                <w:color w:val="auto"/>
                <w:w w:val="93"/>
              </w:rPr>
              <w:t>Unrealized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center"/>
              <w:ind w:right="2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Gains</w:t>
            </w:r>
          </w:p>
        </w:tc>
        <w:tc>
          <w:tcPr>
            <w:tcW w:w="3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Losses</w:t>
            </w: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39"/>
        </w:trPr>
        <w:tc>
          <w:tcPr>
            <w:tcW w:w="5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166,768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165,762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 of U.S. government corporations and agencies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37,579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38,470</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300,602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306,869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492,055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492,186</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625,339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614,998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2,095,104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2,069,313</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296,076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293,653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securities available for sale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4,013,523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3,981,251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debt securities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As of September 30, 2022</w:t>
            </w:r>
          </w:p>
        </w:tc>
      </w:tr>
      <w:tr>
        <w:trPr>
          <w:trHeight w:val="39"/>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5"/>
                <w:szCs w:val="15"/>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Fair</w:t>
            </w: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6"/>
                <w:szCs w:val="16"/>
                <w:color w:val="auto"/>
              </w:rPr>
            </w:pPr>
          </w:p>
        </w:tc>
        <w:tc>
          <w:tcPr>
            <w:tcW w:w="1140" w:type="dxa"/>
            <w:vAlign w:val="bottom"/>
          </w:tcPr>
          <w:p>
            <w:pPr>
              <w:jc w:val="right"/>
              <w:ind w:right="473"/>
              <w:spacing w:after="0"/>
              <w:rPr>
                <w:sz w:val="20"/>
                <w:szCs w:val="20"/>
                <w:color w:val="auto"/>
              </w:rPr>
            </w:pPr>
            <w:r>
              <w:rPr>
                <w:rFonts w:ascii="Arial" w:cs="Arial" w:eastAsia="Arial" w:hAnsi="Arial"/>
                <w:sz w:val="14"/>
                <w:szCs w:val="14"/>
                <w:b w:val="1"/>
                <w:bCs w:val="1"/>
                <w:color w:val="auto"/>
              </w:rPr>
              <w:t>Value</w:t>
            </w:r>
          </w:p>
        </w:tc>
      </w:tr>
      <w:tr>
        <w:trPr>
          <w:trHeight w:val="39"/>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Due in one year or less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176,516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174,227</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one year through five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379,095</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319,381</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ten years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1,934,992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1,674,338</w:t>
            </w:r>
          </w:p>
        </w:tc>
      </w:tr>
      <w:tr>
        <w:trPr>
          <w:trHeight w:val="264"/>
        </w:trPr>
        <w:tc>
          <w:tcPr>
            <w:tcW w:w="8180" w:type="dxa"/>
            <w:vAlign w:val="bottom"/>
          </w:tcPr>
          <w:p>
            <w:pPr>
              <w:ind w:left="20"/>
              <w:spacing w:after="0"/>
              <w:rPr>
                <w:sz w:val="20"/>
                <w:szCs w:val="20"/>
                <w:color w:val="auto"/>
              </w:rPr>
            </w:pPr>
            <w:r>
              <w:rPr>
                <w:rFonts w:ascii="Arial" w:cs="Arial" w:eastAsia="Arial" w:hAnsi="Arial"/>
                <w:sz w:val="18"/>
                <w:szCs w:val="18"/>
                <w:color w:val="auto"/>
              </w:rPr>
              <w:t>Debt securities available for sale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2,875,848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2,547,041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one year through five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65,516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58,346</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ten years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823,851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706,801</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Debt securities held to maturity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936,328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808,885</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debt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84"/>
        </w:trPr>
        <w:tc>
          <w:tcPr>
            <w:tcW w:w="24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r>
      <w:tr>
        <w:trPr>
          <w:trHeight w:val="39"/>
        </w:trPr>
        <w:tc>
          <w:tcPr>
            <w:tcW w:w="2460" w:type="dxa"/>
            <w:vAlign w:val="bottom"/>
            <w:tcBorders>
              <w:bottom w:val="single" w:sz="8" w:color="CCEEFF"/>
            </w:tcBorders>
          </w:tcPr>
          <w:p>
            <w:pPr>
              <w:spacing w:after="0"/>
              <w:rPr>
                <w:sz w:val="3"/>
                <w:szCs w:val="3"/>
                <w:color w:val="auto"/>
              </w:rPr>
            </w:pPr>
          </w:p>
        </w:tc>
        <w:tc>
          <w:tcPr>
            <w:tcW w:w="26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3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Realized gains and losses on debt securities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Gross gains on debt securities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7"/>
        </w:trPr>
        <w:tc>
          <w:tcPr>
            <w:tcW w:w="2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(losses) on debt securities</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(410)</w:t>
            </w:r>
          </w:p>
        </w:tc>
      </w:tr>
      <w:tr>
        <w:trPr>
          <w:trHeight w:val="26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Realized net gains (losses) on debt securities</w:t>
            </w:r>
            <w:r>
              <w:rPr>
                <w:rFonts w:ascii="Arial" w:cs="Arial" w:eastAsia="Arial" w:hAnsi="Arial"/>
                <w:sz w:val="23"/>
                <w:szCs w:val="23"/>
                <w:color w:val="auto"/>
                <w:vertAlign w:val="superscript"/>
              </w:rPr>
              <w:t>1</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15"/>
        </w:trPr>
        <w:tc>
          <w:tcPr>
            <w:tcW w:w="2460" w:type="dxa"/>
            <w:vAlign w:val="bottom"/>
            <w:tcBorders>
              <w:bottom w:val="single" w:sz="8" w:color="auto"/>
            </w:tcBorders>
          </w:tcPr>
          <w:p>
            <w:pPr>
              <w:spacing w:after="0"/>
              <w:rPr>
                <w:sz w:val="10"/>
                <w:szCs w:val="10"/>
                <w:color w:val="auto"/>
              </w:rPr>
            </w:pPr>
          </w:p>
        </w:tc>
        <w:tc>
          <w:tcPr>
            <w:tcW w:w="2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r>
    </w:tbl>
    <w:p>
      <w:pPr>
        <w:spacing w:after="0" w:line="10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Net gains (losses) on sales of securities reported in the unaudited Consolidated Statements of Income include sales of equity securities, excluded in this table.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securities with carrying amounts of $675.8 million on September 30, 2022, and $708.9 million on December 31, 2021, were pledged as collateral for public deposits, securities sold under agreements to repurchase, and for other purposes as required.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 in an unrealized loss position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As of September 30, 2022</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5"/>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8"/>
          </w:tcPr>
          <w:p>
            <w:pPr>
              <w:ind w:left="38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12 months or more</w:t>
            </w:r>
          </w:p>
        </w:tc>
        <w:tc>
          <w:tcPr>
            <w:tcW w:w="280" w:type="dxa"/>
            <w:vAlign w:val="bottom"/>
          </w:tcPr>
          <w:p>
            <w:pPr>
              <w:spacing w:after="0"/>
              <w:rPr>
                <w:sz w:val="16"/>
                <w:szCs w:val="16"/>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5"/>
                <w:szCs w:val="15"/>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39"/>
        </w:trPr>
        <w:tc>
          <w:tcPr>
            <w:tcW w:w="3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138,775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140,842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U.S. government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corporations and agencies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3360" w:type="dxa"/>
            <w:vAlign w:val="bottom"/>
          </w:tcPr>
          <w:p>
            <w:pPr>
              <w:ind w:left="180"/>
              <w:spacing w:after="0"/>
              <w:rPr>
                <w:sz w:val="20"/>
                <w:szCs w:val="20"/>
                <w:color w:val="auto"/>
              </w:rPr>
            </w:pPr>
            <w:r>
              <w:rPr>
                <w:rFonts w:ascii="Arial" w:cs="Arial" w:eastAsia="Arial" w:hAnsi="Arial"/>
                <w:sz w:val="18"/>
                <w:szCs w:val="18"/>
                <w:color w:val="auto"/>
              </w:rPr>
              <w:t>Obligations of states and political</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color w:val="auto"/>
              </w:rPr>
              <w:t>subdivisions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220,960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262,739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(27,853)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(23,552)</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w w:val="98"/>
              </w:rPr>
              <w:t>Commercial mortgage-backed securities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1,304,187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(233,995)</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248,874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(27,488)</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Debt securities available for sale with gross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1,393,540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1,139,006</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(195,800)</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2,532,546</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(328,867)</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w w:val="98"/>
              </w:rPr>
              <w:t>Commercial mortgage-backed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109,085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316,690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(44,749)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425,775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(60,341)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162,575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(67,102)</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8"/>
                <w:szCs w:val="18"/>
                <w:color w:val="auto"/>
                <w:w w:val="99"/>
              </w:rPr>
              <w:t>Debt securities held to maturity with gross</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271,660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(44,835)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gridSpan w:val="2"/>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537,225</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(82,608)</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808,885</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(127,443)</w:t>
            </w:r>
          </w:p>
        </w:tc>
        <w:tc>
          <w:tcPr>
            <w:tcW w:w="0" w:type="dxa"/>
            <w:vAlign w:val="bottom"/>
          </w:tcPr>
          <w:p>
            <w:pPr>
              <w:spacing w:after="0"/>
              <w:rPr>
                <w:sz w:val="1"/>
                <w:szCs w:val="1"/>
                <w:color w:val="auto"/>
              </w:rPr>
            </w:pPr>
          </w:p>
        </w:tc>
      </w:tr>
      <w:tr>
        <w:trPr>
          <w:trHeight w:val="235"/>
        </w:trPr>
        <w:tc>
          <w:tcPr>
            <w:tcW w:w="3360" w:type="dxa"/>
            <w:vAlign w:val="bottom"/>
          </w:tcPr>
          <w:p>
            <w:pPr>
              <w:ind w:left="20"/>
              <w:spacing w:after="0"/>
              <w:rPr>
                <w:sz w:val="20"/>
                <w:szCs w:val="20"/>
                <w:color w:val="auto"/>
              </w:rPr>
            </w:pPr>
            <w:r>
              <w:rPr>
                <w:rFonts w:ascii="Arial" w:cs="Arial" w:eastAsia="Arial" w:hAnsi="Arial"/>
                <w:sz w:val="18"/>
                <w:szCs w:val="18"/>
                <w:color w:val="auto"/>
              </w:rPr>
              <w:t>unrealized losses</w:t>
            </w: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gridSpan w:val="2"/>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gridSpan w:val="2"/>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As of December 31, 2021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8"/>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5"/>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8"/>
          </w:tcPr>
          <w:p>
            <w:pPr>
              <w:ind w:left="38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12 months or more</w:t>
            </w:r>
          </w:p>
        </w:tc>
        <w:tc>
          <w:tcPr>
            <w:tcW w:w="280" w:type="dxa"/>
            <w:vAlign w:val="bottom"/>
          </w:tcPr>
          <w:p>
            <w:pPr>
              <w:spacing w:after="0"/>
              <w:rPr>
                <w:sz w:val="16"/>
                <w:szCs w:val="16"/>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5"/>
                <w:szCs w:val="15"/>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39"/>
        </w:trPr>
        <w:tc>
          <w:tcPr>
            <w:tcW w:w="3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163,653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163,653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subdivisions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92,680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Commercial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(13,766)</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1,700,187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1,720,725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(34,680)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241,153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8"/>
                <w:szCs w:val="18"/>
                <w:color w:val="auto"/>
                <w:w w:val="96"/>
              </w:rPr>
              <w:t>Debt securities available for sale with gross</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2,676,734</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(49,847)</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106,443</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2,783,177</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(54,654)</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unrealized losses</w:t>
            </w: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about debt securities in an unrealized loss position is presented in the tables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As of September 30, 2022</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6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Available for Sale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Held to Maturity</w:t>
            </w:r>
          </w:p>
        </w:tc>
        <w:tc>
          <w:tcPr>
            <w:tcW w:w="380" w:type="dxa"/>
            <w:vAlign w:val="bottom"/>
          </w:tcPr>
          <w:p>
            <w:pPr>
              <w:spacing w:after="0"/>
              <w:rPr>
                <w:sz w:val="16"/>
                <w:szCs w:val="16"/>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39"/>
        </w:trPr>
        <w:tc>
          <w:tcPr>
            <w:tcW w:w="6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with gross unrealized losses,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2,532,546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808,885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3,341,431</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Gross unrealized losses on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328,867</w:t>
            </w:r>
          </w:p>
        </w:tc>
        <w:tc>
          <w:tcPr>
            <w:tcW w:w="80" w:type="dxa"/>
            <w:vAlign w:val="bottom"/>
          </w:tcPr>
          <w:p>
            <w:pPr>
              <w:spacing w:after="0"/>
              <w:rPr>
                <w:sz w:val="21"/>
                <w:szCs w:val="21"/>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127,443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456,310</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Ratio of gross unrealized losses to debt securities with gross unrealized losses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70"/>
        </w:trPr>
        <w:tc>
          <w:tcPr>
            <w:tcW w:w="6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Count of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1,145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1,200</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Count of debt securities in an unrealized loss position</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1,164</w:t>
            </w:r>
          </w:p>
        </w:tc>
      </w:tr>
      <w:tr>
        <w:trPr>
          <w:trHeight w:val="555"/>
        </w:trPr>
        <w:tc>
          <w:tcPr>
            <w:tcW w:w="6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w w:val="94"/>
              </w:rPr>
              <w:t>As of December 31, 2021</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
        </w:trPr>
        <w:tc>
          <w:tcPr>
            <w:tcW w:w="6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Available for Sale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Held to Maturity</w:t>
            </w:r>
          </w:p>
        </w:tc>
        <w:tc>
          <w:tcPr>
            <w:tcW w:w="380" w:type="dxa"/>
            <w:vAlign w:val="bottom"/>
          </w:tcPr>
          <w:p>
            <w:pPr>
              <w:spacing w:after="0"/>
              <w:rPr>
                <w:sz w:val="16"/>
                <w:szCs w:val="16"/>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39"/>
        </w:trPr>
        <w:tc>
          <w:tcPr>
            <w:tcW w:w="62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with gross unrealized losses, fair value</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2,783,177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2,783,177</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Gross unrealized losses on debt securities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54,654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54,654</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Ratio of gross unrealized losses to debt securities with gross unrealized losses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70"/>
        </w:trPr>
        <w:tc>
          <w:tcPr>
            <w:tcW w:w="6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Count of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1,252</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Count of debt securities in an unrealized loss position</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373</w:t>
            </w: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Unrealized losses were related to changes in market interest rates and market conditions that do not represent credit-related impairments. The Company does not intend to sell securities that are in an unrealized loss position, and it is more likely than not that the Company will recover the amortized cost prior to being required to sell the debt securities. Full collection of the amounts due according to the contractual terms of the debt securities is expected; therefore, no ACL was recorded in relation to debt securities, and the impairment related to noncredit factors is recognized in AOCI, net of applicable taxes. As of September 30, 2022, the Company did not hold general obligation bonds of any single issuer, the aggregate of which exceeded 10% of the Company’s stockholders’ equity.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Portfolio Loans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Categories</w:t>
      </w:r>
    </w:p>
    <w:p>
      <w:pPr>
        <w:spacing w:after="0" w:line="19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Company’s lending can be summarized into five primary categories: commercial loans, commercial real estate loans, real estate construction loans, retail real estate loans, and retail other loans. Distributions of the loan portfolio by loan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1,945,893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1,943,886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3,119,807</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385,996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1,512,976</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226,333</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portfolio loans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7,670,114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7,188,998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(87,887)</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Portfolio loans,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7,579,392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7,101,111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deferred loan origination costs included in the balances above were $13.7 million as of September 30, 2022, compared to $9.0 million as of December 31, 2021. Net accretable purchase accounting adjustments included in the balances above reduced loans by $6.4 million as of September 30, 2022, and $8.8 million as of December 31, 2021. Commercial balances include loans originated under the PPP with an amortized cost of $1.4 million as of September 30, 2022, and $75.0 million as of December 31,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retail real estate loans purchased during the three or nine months ended September 30, 2022. There were also no retail real estate loans purchased during the three months ended September 30, 2021. The Company purchased $32.2 million of retail real estate loans during the nine months ended September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Grading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A description of the general characteristics of each grade is as follows:</w:t>
      </w:r>
    </w:p>
    <w:p>
      <w:pPr>
        <w:spacing w:after="0" w:line="208"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 This category includes loans that are all considered acceptable credits, ranging from investment or near investment grade, to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who exhibit credit fundamentals that meet or exceed industry standards.</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 This category includes loans that warrant a higher-than-average level of monitoring to ensure that weaknesses do not cause the inability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to perform as expected. These loans are not necessarily a problem due to other inherent strengths of the credit, such as guarantor strength, but have above average concern and monitoring.</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 This category is for “Other Assets Specially Mentioned” loans that have potential weaknesses, which may, if not checked or</w:t>
      </w:r>
      <w:r>
        <w:rPr>
          <w:rFonts w:ascii="Arial" w:cs="Arial" w:eastAsia="Arial" w:hAnsi="Arial"/>
          <w:sz w:val="18"/>
          <w:szCs w:val="18"/>
          <w:i w:val="1"/>
          <w:iCs w:val="1"/>
          <w:color w:val="auto"/>
        </w:rPr>
        <w:t xml:space="preserve"> </w:t>
      </w:r>
      <w:r>
        <w:rPr>
          <w:rFonts w:ascii="Arial" w:cs="Arial" w:eastAsia="Arial" w:hAnsi="Arial"/>
          <w:sz w:val="18"/>
          <w:szCs w:val="18"/>
          <w:color w:val="auto"/>
        </w:rPr>
        <w:t>corrected, weaken the asset or inadequately protect the Company’s credit position at some future date.</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 This category includes “Substandard” loans, determined in accordance with regulatory guidelines, for which the accrual of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3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Substandard non-accrual </w:t>
      </w:r>
      <w:r>
        <w:rPr>
          <w:rFonts w:ascii="Arial" w:cs="Arial" w:eastAsia="Arial" w:hAnsi="Arial"/>
          <w:sz w:val="18"/>
          <w:szCs w:val="18"/>
          <w:color w:val="auto"/>
        </w:rPr>
        <w:t>– This category includes loans that have all the characteristics of a “Substandard” loan with additional factors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in full highly questionable and improbable. Such loans are placed on non-accrual status and may be dependent on collateral with a value that is difficult to determine.</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risk grades segregated by category of portfolio loans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September 30, 2022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3"/>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Special</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Pass</w:t>
            </w:r>
          </w:p>
        </w:tc>
        <w:tc>
          <w:tcPr>
            <w:tcW w:w="26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Watch</w:t>
            </w:r>
          </w:p>
        </w:tc>
        <w:tc>
          <w:tcPr>
            <w:tcW w:w="24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Mention</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Non-accrual</w:t>
            </w:r>
          </w:p>
        </w:tc>
        <w:tc>
          <w:tcPr>
            <w:tcW w:w="280" w:type="dxa"/>
            <w:vAlign w:val="bottom"/>
          </w:tcPr>
          <w:p>
            <w:pPr>
              <w:spacing w:after="0"/>
              <w:rPr>
                <w:sz w:val="16"/>
                <w:szCs w:val="16"/>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39"/>
        </w:trPr>
        <w:tc>
          <w:tcPr>
            <w:tcW w:w="3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1,707,528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135,254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58,189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38,695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1,945,893</w:t>
            </w: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2,889,804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3,278,684</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475,099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499,560</w:t>
            </w: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1,643,099</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302,878</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portfolio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7,000,893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465,504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103,006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7,670,114</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02"/>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
        </w:trPr>
        <w:tc>
          <w:tcPr>
            <w:tcW w:w="3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3"/>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Special</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Pass</w:t>
            </w:r>
          </w:p>
        </w:tc>
        <w:tc>
          <w:tcPr>
            <w:tcW w:w="26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Watch</w:t>
            </w:r>
          </w:p>
        </w:tc>
        <w:tc>
          <w:tcPr>
            <w:tcW w:w="24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Mention</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Non-accrual</w:t>
            </w:r>
          </w:p>
        </w:tc>
        <w:tc>
          <w:tcPr>
            <w:tcW w:w="280" w:type="dxa"/>
            <w:vAlign w:val="bottom"/>
          </w:tcPr>
          <w:p>
            <w:pPr>
              <w:spacing w:after="0"/>
              <w:rPr>
                <w:sz w:val="16"/>
                <w:szCs w:val="16"/>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39"/>
        </w:trPr>
        <w:tc>
          <w:tcPr>
            <w:tcW w:w="3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1,747,756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93,582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69,427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1,943,886</w:t>
            </w: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3,119,807</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385,996</w:t>
            </w: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1,491,845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1,512,976</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226,333</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portfolio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6,518,101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463,053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7,188,998</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0"/>
        </w:trPr>
        <w:tc>
          <w:tcPr>
            <w:tcW w:w="3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Risk grades of portfolio loans, further sorted by origination year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ind w:left="80"/>
              <w:spacing w:after="0"/>
              <w:rPr>
                <w:sz w:val="20"/>
                <w:szCs w:val="20"/>
                <w:color w:val="auto"/>
              </w:rPr>
            </w:pPr>
            <w:r>
              <w:rPr>
                <w:rFonts w:ascii="Arial" w:cs="Arial" w:eastAsia="Arial" w:hAnsi="Arial"/>
                <w:sz w:val="14"/>
                <w:szCs w:val="14"/>
                <w:b w:val="1"/>
                <w:bCs w:val="1"/>
                <w:color w:val="auto"/>
              </w:rPr>
              <w:t>As of September 30, 2022</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gridSpan w:val="11"/>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40" w:type="dxa"/>
            <w:vAlign w:val="bottom"/>
            <w:gridSpan w:val="11"/>
          </w:tcPr>
          <w:p>
            <w:pPr>
              <w:ind w:left="280"/>
              <w:spacing w:after="0"/>
              <w:rPr>
                <w:sz w:val="20"/>
                <w:szCs w:val="20"/>
                <w:color w:val="auto"/>
              </w:rPr>
            </w:pPr>
            <w:r>
              <w:rPr>
                <w:rFonts w:ascii="Arial" w:cs="Arial" w:eastAsia="Arial" w:hAnsi="Arial"/>
                <w:sz w:val="14"/>
                <w:szCs w:val="14"/>
                <w:b w:val="1"/>
                <w:bCs w:val="1"/>
                <w:color w:val="auto"/>
              </w:rPr>
              <w:t>Term Loans Amortized Cost Basis by Origination Year</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Revolving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Risk Grade Ratings</w:t>
            </w:r>
          </w:p>
        </w:tc>
        <w:tc>
          <w:tcPr>
            <w:tcW w:w="20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403,643</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315,433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145,695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60,284</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53,197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149,627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579,649</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1,707,528</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71,983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135,254</w:t>
            </w: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58,189</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38,695</w:t>
            </w:r>
          </w:p>
        </w:tc>
        <w:tc>
          <w:tcPr>
            <w:tcW w:w="0" w:type="dxa"/>
            <w:vAlign w:val="bottom"/>
          </w:tcPr>
          <w:p>
            <w:pPr>
              <w:spacing w:after="0"/>
              <w:rPr>
                <w:sz w:val="1"/>
                <w:szCs w:val="1"/>
                <w:color w:val="auto"/>
              </w:rPr>
            </w:pPr>
          </w:p>
        </w:tc>
      </w:tr>
      <w:tr>
        <w:trPr>
          <w:trHeight w:val="236"/>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6,227</w:t>
            </w:r>
          </w:p>
        </w:tc>
        <w:tc>
          <w:tcPr>
            <w:tcW w:w="0" w:type="dxa"/>
            <w:vAlign w:val="bottom"/>
          </w:tcPr>
          <w:p>
            <w:pPr>
              <w:spacing w:after="0"/>
              <w:rPr>
                <w:sz w:val="1"/>
                <w:szCs w:val="1"/>
                <w:color w:val="auto"/>
              </w:rPr>
            </w:pPr>
          </w:p>
        </w:tc>
      </w:tr>
      <w:tr>
        <w:trPr>
          <w:trHeight w:val="237"/>
        </w:trPr>
        <w:tc>
          <w:tcPr>
            <w:tcW w:w="2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commercial</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442,155</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339,425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152,284</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76,870</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58,136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175,909</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701,114</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1,945,893</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real estate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765,398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880,522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501,085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332,768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171,177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222,947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2,889,804</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95,446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299,638</w:t>
            </w: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42,728</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40,722</w:t>
            </w:r>
          </w:p>
        </w:tc>
        <w:tc>
          <w:tcPr>
            <w:tcW w:w="0" w:type="dxa"/>
            <w:vAlign w:val="bottom"/>
          </w:tcPr>
          <w:p>
            <w:pPr>
              <w:spacing w:after="0"/>
              <w:rPr>
                <w:sz w:val="1"/>
                <w:szCs w:val="1"/>
                <w:color w:val="auto"/>
              </w:rPr>
            </w:pPr>
          </w:p>
        </w:tc>
      </w:tr>
      <w:tr>
        <w:trPr>
          <w:trHeight w:val="236"/>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5,792</w:t>
            </w:r>
          </w:p>
        </w:tc>
        <w:tc>
          <w:tcPr>
            <w:tcW w:w="0" w:type="dxa"/>
            <w:vAlign w:val="bottom"/>
          </w:tcPr>
          <w:p>
            <w:pPr>
              <w:spacing w:after="0"/>
              <w:rPr>
                <w:sz w:val="1"/>
                <w:szCs w:val="1"/>
                <w:color w:val="auto"/>
              </w:rPr>
            </w:pPr>
          </w:p>
        </w:tc>
      </w:tr>
      <w:tr>
        <w:trPr>
          <w:trHeight w:val="237"/>
        </w:trPr>
        <w:tc>
          <w:tcPr>
            <w:tcW w:w="2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commercial real estate</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852,634</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946,788</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568,020</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431,572</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209,054</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248,108</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22,508</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3,278,684</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Real estate construction</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176,071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191,006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84,748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17,743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475,099</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22,011</w:t>
            </w: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37"/>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6"/>
        </w:trPr>
        <w:tc>
          <w:tcPr>
            <w:tcW w:w="2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real estate construction</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181,571</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194,672</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88,065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12,105</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17,743</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499,560</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Retail real estate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344,033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464,066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180,543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79,304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58,925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281,430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217,401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1,625,702</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w:t>
            </w: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2,087</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c>
          <w:tcPr>
            <w:tcW w:w="0" w:type="dxa"/>
            <w:vAlign w:val="bottom"/>
          </w:tcPr>
          <w:p>
            <w:pPr>
              <w:spacing w:after="0"/>
              <w:rPr>
                <w:sz w:val="1"/>
                <w:szCs w:val="1"/>
                <w:color w:val="auto"/>
              </w:rPr>
            </w:pPr>
          </w:p>
        </w:tc>
      </w:tr>
      <w:tr>
        <w:trPr>
          <w:trHeight w:val="237"/>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3,240</w:t>
            </w:r>
          </w:p>
        </w:tc>
        <w:tc>
          <w:tcPr>
            <w:tcW w:w="0" w:type="dxa"/>
            <w:vAlign w:val="bottom"/>
          </w:tcPr>
          <w:p>
            <w:pPr>
              <w:spacing w:after="0"/>
              <w:rPr>
                <w:sz w:val="1"/>
                <w:szCs w:val="1"/>
                <w:color w:val="auto"/>
              </w:rPr>
            </w:pPr>
          </w:p>
        </w:tc>
      </w:tr>
      <w:tr>
        <w:trPr>
          <w:trHeight w:val="236"/>
        </w:trPr>
        <w:tc>
          <w:tcPr>
            <w:tcW w:w="2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retail real estate</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347,062</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468,406</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182,735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80,855</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60,603</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285,350</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218,088</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1,643,099</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Retail other</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121,375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93,540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302,760</w:t>
            </w:r>
          </w:p>
        </w:tc>
        <w:tc>
          <w:tcPr>
            <w:tcW w:w="0" w:type="dxa"/>
            <w:vAlign w:val="bottom"/>
          </w:tcPr>
          <w:p>
            <w:pPr>
              <w:spacing w:after="0"/>
              <w:rPr>
                <w:sz w:val="1"/>
                <w:szCs w:val="1"/>
                <w:color w:val="auto"/>
              </w:rPr>
            </w:pPr>
          </w:p>
        </w:tc>
      </w:tr>
      <w:tr>
        <w:trPr>
          <w:trHeight w:val="246"/>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6"/>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Total retail other</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121,389</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47,225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15,909</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93,540</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302,878</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loans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1,944,811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1,996,516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1,006,106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617,311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337,492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714,885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1,052,993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7,670,114</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100"/>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gridSpan w:val="11"/>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60" w:type="dxa"/>
            <w:vAlign w:val="bottom"/>
            <w:gridSpan w:val="11"/>
          </w:tcPr>
          <w:p>
            <w:pPr>
              <w:ind w:left="300"/>
              <w:spacing w:after="0"/>
              <w:rPr>
                <w:sz w:val="20"/>
                <w:szCs w:val="20"/>
                <w:color w:val="auto"/>
              </w:rPr>
            </w:pPr>
            <w:r>
              <w:rPr>
                <w:rFonts w:ascii="Arial" w:cs="Arial" w:eastAsia="Arial" w:hAnsi="Arial"/>
                <w:sz w:val="14"/>
                <w:szCs w:val="14"/>
                <w:b w:val="1"/>
                <w:bCs w:val="1"/>
                <w:color w:val="auto"/>
              </w:rPr>
              <w:t>Term Loans Amortized Cost Basis by Origination Year</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Revolving</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Risk Grade Ratings</w:t>
            </w:r>
          </w:p>
        </w:tc>
        <w:tc>
          <w:tcPr>
            <w:tcW w:w="20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Loans</w:t>
            </w: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512,729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228,811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107,877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84,873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74,351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122,418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616,697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1,747,756</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93,582</w:t>
            </w: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32,846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69,427</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26,117</w:t>
            </w:r>
          </w:p>
        </w:tc>
        <w:tc>
          <w:tcPr>
            <w:tcW w:w="0" w:type="dxa"/>
            <w:vAlign w:val="bottom"/>
          </w:tcPr>
          <w:p>
            <w:pPr>
              <w:spacing w:after="0"/>
              <w:rPr>
                <w:sz w:val="1"/>
                <w:szCs w:val="1"/>
                <w:color w:val="auto"/>
              </w:rPr>
            </w:pPr>
          </w:p>
        </w:tc>
      </w:tr>
      <w:tr>
        <w:trPr>
          <w:trHeight w:val="237"/>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7,004</w:t>
            </w:r>
          </w:p>
        </w:tc>
        <w:tc>
          <w:tcPr>
            <w:tcW w:w="0" w:type="dxa"/>
            <w:vAlign w:val="bottom"/>
          </w:tcPr>
          <w:p>
            <w:pPr>
              <w:spacing w:after="0"/>
              <w:rPr>
                <w:sz w:val="1"/>
                <w:szCs w:val="1"/>
                <w:color w:val="auto"/>
              </w:rPr>
            </w:pPr>
          </w:p>
        </w:tc>
      </w:tr>
      <w:tr>
        <w:trPr>
          <w:trHeight w:val="237"/>
        </w:trPr>
        <w:tc>
          <w:tcPr>
            <w:tcW w:w="2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commercial</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541,359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239,348</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131,390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95,813</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83,947</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142,640</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709,389</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1,943,886</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real estate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969,548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637,550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425,850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235,928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200,373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198,002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2,682,441</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343,304</w:t>
            </w: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49,695</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38,394</w:t>
            </w:r>
          </w:p>
        </w:tc>
        <w:tc>
          <w:tcPr>
            <w:tcW w:w="0" w:type="dxa"/>
            <w:vAlign w:val="bottom"/>
          </w:tcPr>
          <w:p>
            <w:pPr>
              <w:spacing w:after="0"/>
              <w:rPr>
                <w:sz w:val="1"/>
                <w:szCs w:val="1"/>
                <w:color w:val="auto"/>
              </w:rPr>
            </w:pPr>
          </w:p>
        </w:tc>
      </w:tr>
      <w:tr>
        <w:trPr>
          <w:trHeight w:val="237"/>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5,973</w:t>
            </w:r>
          </w:p>
        </w:tc>
        <w:tc>
          <w:tcPr>
            <w:tcW w:w="0" w:type="dxa"/>
            <w:vAlign w:val="bottom"/>
          </w:tcPr>
          <w:p>
            <w:pPr>
              <w:spacing w:after="0"/>
              <w:rPr>
                <w:sz w:val="1"/>
                <w:szCs w:val="1"/>
                <w:color w:val="auto"/>
              </w:rPr>
            </w:pPr>
          </w:p>
        </w:tc>
      </w:tr>
      <w:tr>
        <w:trPr>
          <w:trHeight w:val="237"/>
        </w:trPr>
        <w:tc>
          <w:tcPr>
            <w:tcW w:w="2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commercial real estate</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1,051,764</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687,392</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557,336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307,458</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257,419</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240,922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3,119,807</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Real estate construction</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202,082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123,491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31,927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369,797</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6"/>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real estate construction</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209,968</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130,050</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31,987</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3,155</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7,181</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385,996</w:t>
            </w: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Retail real estate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Pass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1,491,845</w:t>
            </w: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12,374</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3,867</w:t>
            </w:r>
          </w:p>
        </w:tc>
        <w:tc>
          <w:tcPr>
            <w:tcW w:w="0" w:type="dxa"/>
            <w:vAlign w:val="bottom"/>
          </w:tcPr>
          <w:p>
            <w:pPr>
              <w:spacing w:after="0"/>
              <w:rPr>
                <w:sz w:val="1"/>
                <w:szCs w:val="1"/>
                <w:color w:val="auto"/>
              </w:rPr>
            </w:pPr>
          </w:p>
        </w:tc>
      </w:tr>
      <w:tr>
        <w:trPr>
          <w:trHeight w:val="246"/>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retail real estate</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531,210</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217,850</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98,409</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80,557</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83,213</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285,279</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216,458</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1,512,976</w:t>
            </w: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Retail other</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Pass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226,262</w:t>
            </w:r>
          </w:p>
        </w:tc>
        <w:tc>
          <w:tcPr>
            <w:tcW w:w="0" w:type="dxa"/>
            <w:vAlign w:val="bottom"/>
          </w:tcPr>
          <w:p>
            <w:pPr>
              <w:spacing w:after="0"/>
              <w:rPr>
                <w:sz w:val="1"/>
                <w:szCs w:val="1"/>
                <w:color w:val="auto"/>
              </w:rPr>
            </w:pPr>
          </w:p>
        </w:tc>
      </w:tr>
      <w:tr>
        <w:trPr>
          <w:trHeight w:val="237"/>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6"/>
        </w:trPr>
        <w:tc>
          <w:tcPr>
            <w:tcW w:w="23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retail other</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59,400</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22,315</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16,203</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7,193</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93,770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226,333</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loans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2,393,701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1,296,955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845,248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671,510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1,044,314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7,188,998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Past Due and Non-accrual Loans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analysis of the amortized cost basis of portfolio loans that are past due and still accruing, or on a non-accrual status, is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500"/>
              <w:spacing w:after="0"/>
              <w:rPr>
                <w:sz w:val="20"/>
                <w:szCs w:val="20"/>
                <w:color w:val="auto"/>
              </w:rPr>
            </w:pPr>
            <w:r>
              <w:rPr>
                <w:rFonts w:ascii="Arial" w:cs="Arial" w:eastAsia="Arial" w:hAnsi="Arial"/>
                <w:sz w:val="14"/>
                <w:szCs w:val="14"/>
                <w:b w:val="1"/>
                <w:bCs w:val="1"/>
                <w:color w:val="auto"/>
              </w:rPr>
              <w:t>As of September 30, 2022</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6"/>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1"/>
              </w:rPr>
              <w:t>Loans past due, still accruing</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30-59 Days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60-89 Days</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90+Days</w:t>
            </w:r>
          </w:p>
        </w:tc>
        <w:tc>
          <w:tcPr>
            <w:tcW w:w="24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39"/>
        </w:trPr>
        <w:tc>
          <w:tcPr>
            <w:tcW w:w="5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Past due and non-accrual loans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past due and non-accrual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520"/>
              <w:spacing w:after="0"/>
              <w:rPr>
                <w:sz w:val="20"/>
                <w:szCs w:val="20"/>
                <w:color w:val="auto"/>
              </w:rPr>
            </w:pPr>
            <w:r>
              <w:rPr>
                <w:rFonts w:ascii="Arial" w:cs="Arial" w:eastAsia="Arial" w:hAnsi="Arial"/>
                <w:sz w:val="14"/>
                <w:szCs w:val="14"/>
                <w:b w:val="1"/>
                <w:bCs w:val="1"/>
                <w:color w:val="auto"/>
              </w:rPr>
              <w:t>As of December 31, 2021</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6"/>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1"/>
              </w:rPr>
              <w:t>Loans past due, still accruing</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30-59 Days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60-89 Days</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90+Days</w:t>
            </w:r>
          </w:p>
        </w:tc>
        <w:tc>
          <w:tcPr>
            <w:tcW w:w="24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39"/>
        </w:trPr>
        <w:tc>
          <w:tcPr>
            <w:tcW w:w="5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Past due and non-accrual loans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363</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past due and non-accrual loans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Gross interest income recorded on 90+ days past due loans, and that would have been recorded on non-accrual loans if they had been accruing interest in accordance with their original terms, was $0.3 million and $0.8 million for the three and nine months ended September 30, 2022, respectively. Gross interest income recorded on 90+ days past due loans, and that would have been recorded on non-accrual loans if they had been accruing interest in accordance with their original terms, was $0.3 million and $1.2 million for the three and nine months ended September 30, 2021, respectively. The amount of interest collected on those loans and recognized on a cash basis that was included in interest income was insignificant for the three months ended September 30, 2022, and was $0.4 million for the nine months ended September 30, 2022. The amount of interest collected on those loans and recognized on a cash basis that was included in interest income was $0.4 million for the three and nine months ended September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TDR loan balances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4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60"/>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0"/>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2021</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TDRs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In compliance with modified terms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1,801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30 – 89 days past due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Non-performing TDRs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TDRs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Loans that were newly designated as TDRs during the periods presented,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0" w:type="dxa"/>
            <w:vAlign w:val="bottom"/>
            <w:gridSpan w:val="7"/>
          </w:tcPr>
          <w:p>
            <w:pPr>
              <w:jc w:val="center"/>
              <w:ind w:right="142"/>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Nine Months Ended September 30, 2022</w:t>
            </w:r>
          </w:p>
        </w:tc>
        <w:tc>
          <w:tcPr>
            <w:tcW w:w="0" w:type="dxa"/>
            <w:vAlign w:val="bottom"/>
          </w:tcPr>
          <w:p>
            <w:pPr>
              <w:spacing w:after="0"/>
              <w:rPr>
                <w:sz w:val="1"/>
                <w:szCs w:val="1"/>
                <w:color w:val="auto"/>
              </w:rPr>
            </w:pPr>
          </w:p>
        </w:tc>
      </w:tr>
      <w:tr>
        <w:trPr>
          <w:trHeight w:val="39"/>
        </w:trPr>
        <w:tc>
          <w:tcPr>
            <w:tcW w:w="19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4"/>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Recorded Investment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rPr>
              <w:t>Recorded Investment</w:t>
            </w:r>
          </w:p>
        </w:tc>
        <w:tc>
          <w:tcPr>
            <w:tcW w:w="0" w:type="dxa"/>
            <w:vAlign w:val="bottom"/>
          </w:tcPr>
          <w:p>
            <w:pPr>
              <w:spacing w:after="0"/>
              <w:rPr>
                <w:sz w:val="1"/>
                <w:szCs w:val="1"/>
                <w:color w:val="auto"/>
              </w:rPr>
            </w:pPr>
          </w:p>
        </w:tc>
      </w:tr>
      <w:tr>
        <w:trPr>
          <w:trHeight w:val="39"/>
        </w:trPr>
        <w:tc>
          <w:tcPr>
            <w:tcW w:w="1960" w:type="dxa"/>
            <w:vAlign w:val="bottom"/>
          </w:tcPr>
          <w:p>
            <w:pPr>
              <w:spacing w:after="0"/>
              <w:rPr>
                <w:sz w:val="3"/>
                <w:szCs w:val="3"/>
                <w:color w:val="auto"/>
              </w:rPr>
            </w:pPr>
          </w:p>
        </w:tc>
        <w:tc>
          <w:tcPr>
            <w:tcW w:w="1160" w:type="dxa"/>
            <w:vAlign w:val="bottom"/>
            <w:gridSpan w:val="2"/>
            <w:vMerge w:val="restart"/>
          </w:tcPr>
          <w:p>
            <w:pPr>
              <w:jc w:val="center"/>
              <w:ind w:left="208"/>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04"/>
              <w:spacing w:after="0"/>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02"/>
              <w:spacing w:after="0"/>
              <w:rPr>
                <w:sz w:val="20"/>
                <w:szCs w:val="20"/>
                <w:color w:val="auto"/>
              </w:rPr>
            </w:pPr>
            <w:r>
              <w:rPr>
                <w:rFonts w:ascii="Arial" w:cs="Arial" w:eastAsia="Arial" w:hAnsi="Arial"/>
                <w:sz w:val="14"/>
                <w:szCs w:val="14"/>
                <w:b w:val="1"/>
                <w:bCs w:val="1"/>
                <w:color w:val="auto"/>
                <w:w w:val="92"/>
              </w:rPr>
              <w:t>Payment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4"/>
                <w:szCs w:val="14"/>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28"/>
        </w:trPr>
        <w:tc>
          <w:tcPr>
            <w:tcW w:w="19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4"/>
                <w:szCs w:val="14"/>
                <w:b w:val="1"/>
                <w:bCs w:val="1"/>
                <w:color w:val="auto"/>
                <w:w w:val="91"/>
              </w:rPr>
              <w:t>Contracts</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94"/>
              </w:rPr>
              <w:t>Modification</w:t>
            </w:r>
            <w:r>
              <w:rPr>
                <w:rFonts w:ascii="Arial" w:cs="Arial" w:eastAsia="Arial" w:hAnsi="Arial"/>
                <w:sz w:val="18"/>
                <w:szCs w:val="18"/>
                <w:b w:val="1"/>
                <w:bCs w:val="1"/>
                <w:color w:val="auto"/>
                <w:w w:val="94"/>
                <w:vertAlign w:val="superscript"/>
              </w:rPr>
              <w:t>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ind w:left="182"/>
              <w:spacing w:after="0"/>
              <w:rPr>
                <w:sz w:val="20"/>
                <w:szCs w:val="20"/>
                <w:color w:val="auto"/>
              </w:rPr>
            </w:pPr>
            <w:r>
              <w:rPr>
                <w:rFonts w:ascii="Arial" w:cs="Arial" w:eastAsia="Arial" w:hAnsi="Arial"/>
                <w:sz w:val="14"/>
                <w:szCs w:val="14"/>
                <w:b w:val="1"/>
                <w:bCs w:val="1"/>
                <w:color w:val="auto"/>
                <w:w w:val="94"/>
              </w:rPr>
              <w:t>Modification</w:t>
            </w:r>
            <w:r>
              <w:rPr>
                <w:rFonts w:ascii="Arial" w:cs="Arial" w:eastAsia="Arial" w:hAnsi="Arial"/>
                <w:sz w:val="18"/>
                <w:szCs w:val="18"/>
                <w:b w:val="1"/>
                <w:bCs w:val="1"/>
                <w:color w:val="auto"/>
                <w:w w:val="94"/>
                <w:vertAlign w:val="superscript"/>
              </w:rPr>
              <w:t>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Modification</w:t>
            </w:r>
            <w:r>
              <w:rPr>
                <w:rFonts w:ascii="Arial" w:cs="Arial" w:eastAsia="Arial" w:hAnsi="Arial"/>
                <w:sz w:val="18"/>
                <w:szCs w:val="18"/>
                <w:b w:val="1"/>
                <w:bCs w:val="1"/>
                <w:color w:val="auto"/>
                <w:w w:val="94"/>
                <w:vertAlign w:val="superscript"/>
              </w:rPr>
              <w:t>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Modification</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0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488"/>
        </w:trPr>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gridSpan w:val="7"/>
          </w:tcPr>
          <w:p>
            <w:pPr>
              <w:jc w:val="center"/>
              <w:ind w:right="142"/>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Nine Months Ended September 30, 2021</w:t>
            </w:r>
          </w:p>
        </w:tc>
        <w:tc>
          <w:tcPr>
            <w:tcW w:w="0" w:type="dxa"/>
            <w:vAlign w:val="bottom"/>
          </w:tcPr>
          <w:p>
            <w:pPr>
              <w:spacing w:after="0"/>
              <w:rPr>
                <w:sz w:val="1"/>
                <w:szCs w:val="1"/>
                <w:color w:val="auto"/>
              </w:rPr>
            </w:pPr>
          </w:p>
        </w:tc>
      </w:tr>
      <w:tr>
        <w:trPr>
          <w:trHeight w:val="39"/>
        </w:trPr>
        <w:tc>
          <w:tcPr>
            <w:tcW w:w="19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4"/>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Recorded Investment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rPr>
              <w:t>Recorded Investment</w:t>
            </w:r>
          </w:p>
        </w:tc>
        <w:tc>
          <w:tcPr>
            <w:tcW w:w="0" w:type="dxa"/>
            <w:vAlign w:val="bottom"/>
          </w:tcPr>
          <w:p>
            <w:pPr>
              <w:spacing w:after="0"/>
              <w:rPr>
                <w:sz w:val="1"/>
                <w:szCs w:val="1"/>
                <w:color w:val="auto"/>
              </w:rPr>
            </w:pPr>
          </w:p>
        </w:tc>
      </w:tr>
      <w:tr>
        <w:trPr>
          <w:trHeight w:val="39"/>
        </w:trPr>
        <w:tc>
          <w:tcPr>
            <w:tcW w:w="1960" w:type="dxa"/>
            <w:vAlign w:val="bottom"/>
          </w:tcPr>
          <w:p>
            <w:pPr>
              <w:spacing w:after="0"/>
              <w:rPr>
                <w:sz w:val="3"/>
                <w:szCs w:val="3"/>
                <w:color w:val="auto"/>
              </w:rPr>
            </w:pPr>
          </w:p>
        </w:tc>
        <w:tc>
          <w:tcPr>
            <w:tcW w:w="1160" w:type="dxa"/>
            <w:vAlign w:val="bottom"/>
            <w:gridSpan w:val="2"/>
            <w:vMerge w:val="restart"/>
          </w:tcPr>
          <w:p>
            <w:pPr>
              <w:jc w:val="center"/>
              <w:ind w:left="208"/>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04"/>
              <w:spacing w:after="0"/>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02"/>
              <w:spacing w:after="0"/>
              <w:rPr>
                <w:sz w:val="20"/>
                <w:szCs w:val="20"/>
                <w:color w:val="auto"/>
              </w:rPr>
            </w:pPr>
            <w:r>
              <w:rPr>
                <w:rFonts w:ascii="Arial" w:cs="Arial" w:eastAsia="Arial" w:hAnsi="Arial"/>
                <w:sz w:val="14"/>
                <w:szCs w:val="14"/>
                <w:b w:val="1"/>
                <w:bCs w:val="1"/>
                <w:color w:val="auto"/>
                <w:w w:val="92"/>
              </w:rPr>
              <w:t>Payment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4"/>
                <w:szCs w:val="14"/>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28"/>
        </w:trPr>
        <w:tc>
          <w:tcPr>
            <w:tcW w:w="19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4"/>
                <w:szCs w:val="14"/>
                <w:b w:val="1"/>
                <w:bCs w:val="1"/>
                <w:color w:val="auto"/>
                <w:w w:val="91"/>
              </w:rPr>
              <w:t>Contracts</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94"/>
              </w:rPr>
              <w:t>Modification</w:t>
            </w:r>
            <w:r>
              <w:rPr>
                <w:rFonts w:ascii="Arial" w:cs="Arial" w:eastAsia="Arial" w:hAnsi="Arial"/>
                <w:sz w:val="18"/>
                <w:szCs w:val="18"/>
                <w:b w:val="1"/>
                <w:bCs w:val="1"/>
                <w:color w:val="auto"/>
                <w:w w:val="94"/>
                <w:vertAlign w:val="superscript"/>
              </w:rPr>
              <w:t>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ind w:left="182"/>
              <w:spacing w:after="0"/>
              <w:rPr>
                <w:sz w:val="20"/>
                <w:szCs w:val="20"/>
                <w:color w:val="auto"/>
              </w:rPr>
            </w:pPr>
            <w:r>
              <w:rPr>
                <w:rFonts w:ascii="Arial" w:cs="Arial" w:eastAsia="Arial" w:hAnsi="Arial"/>
                <w:sz w:val="14"/>
                <w:szCs w:val="14"/>
                <w:b w:val="1"/>
                <w:bCs w:val="1"/>
                <w:color w:val="auto"/>
                <w:w w:val="94"/>
              </w:rPr>
              <w:t>Modification</w:t>
            </w:r>
            <w:r>
              <w:rPr>
                <w:rFonts w:ascii="Arial" w:cs="Arial" w:eastAsia="Arial" w:hAnsi="Arial"/>
                <w:sz w:val="18"/>
                <w:szCs w:val="18"/>
                <w:b w:val="1"/>
                <w:bCs w:val="1"/>
                <w:color w:val="auto"/>
                <w:w w:val="94"/>
                <w:vertAlign w:val="superscript"/>
              </w:rPr>
              <w:t>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Modification</w:t>
            </w:r>
            <w:r>
              <w:rPr>
                <w:rFonts w:ascii="Arial" w:cs="Arial" w:eastAsia="Arial" w:hAnsi="Arial"/>
                <w:sz w:val="18"/>
                <w:szCs w:val="18"/>
                <w:b w:val="1"/>
                <w:bCs w:val="1"/>
                <w:color w:val="auto"/>
                <w:w w:val="94"/>
                <w:vertAlign w:val="superscript"/>
              </w:rPr>
              <w:t>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Modification</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0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444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9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TDRs may include multiple concessions; those that include an interest rate concession and payment concession are shown in the rate modification column.</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TDRs entered into during the 12 months ended September 30, 2022, or 2021, that had subsequent defaults during the three or nine months ended September 30, 2022, or 2021. A default occurs when a loan is 90 days or more past due or transferred to non-accrual.</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interest income that would have been recorded in the three and nine months ended September 30, 2022, and 2021, if TDRs had performed in accordance with their original terms compared with their modified terms, was insignificant.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Dependent Loans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The Company had $14.8 million and $7.9 million of collateral dependent loans secured by real estate or business assets as of September 30, 2022, and December 31, 2021,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Foreclosures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the Company had $1.0 million of residential real estate in the process of foreclosure. The Company follows Federal Housing Finance Agency guidelines on single-family foreclosures and real estate owned evictions on portfolio loans.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Modified Under the CARES Act or Interagency Statement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CARES Act provided financial institutions the option to temporarily suspend certain requirements under GAAP related to TDRs for a limited period of time to account for the effects of COVID-19. Federal regulatory agencies, in consultation with FASB, also issued an Interagency Statement to encourage financial institutions to work with borrowers affected by COVID-19, and to update guidance which allowed banks to modify loans of customers stressed by COVID-19 without having to classify the loan as a TDR. The Company’s TDR loan totals do not include the following modified loans with payment deferrals that fall under the CARES Act or Interagency Statement, which suspended GAAP requirements related to TDR classification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160" w:type="dxa"/>
            <w:vAlign w:val="bottom"/>
            <w:gridSpan w:val="6"/>
          </w:tcPr>
          <w:p>
            <w:pPr>
              <w:ind w:left="760"/>
              <w:spacing w:after="0"/>
              <w:rPr>
                <w:sz w:val="20"/>
                <w:szCs w:val="20"/>
                <w:color w:val="auto"/>
              </w:rPr>
            </w:pPr>
            <w:r>
              <w:rPr>
                <w:rFonts w:ascii="Arial" w:cs="Arial" w:eastAsia="Arial" w:hAnsi="Arial"/>
                <w:sz w:val="14"/>
                <w:szCs w:val="14"/>
                <w:b w:val="1"/>
                <w:bCs w:val="1"/>
                <w:color w:val="auto"/>
              </w:rPr>
              <w:t>As of September 30, 2022</w:t>
            </w:r>
          </w:p>
        </w:tc>
        <w:tc>
          <w:tcPr>
            <w:tcW w:w="3060" w:type="dxa"/>
            <w:vAlign w:val="bottom"/>
            <w:gridSpan w:val="4"/>
          </w:tcPr>
          <w:p>
            <w:pPr>
              <w:jc w:val="right"/>
              <w:ind w:right="697"/>
              <w:spacing w:after="0"/>
              <w:rPr>
                <w:sz w:val="20"/>
                <w:szCs w:val="20"/>
                <w:color w:val="auto"/>
              </w:rPr>
            </w:pPr>
            <w:r>
              <w:rPr>
                <w:rFonts w:ascii="Arial" w:cs="Arial" w:eastAsia="Arial" w:hAnsi="Arial"/>
                <w:sz w:val="14"/>
                <w:szCs w:val="14"/>
                <w:b w:val="1"/>
                <w:bCs w:val="1"/>
                <w:color w:val="auto"/>
              </w:rPr>
              <w:t>As of December 31, 2021</w:t>
            </w:r>
          </w:p>
        </w:tc>
      </w:tr>
      <w:tr>
        <w:trPr>
          <w:trHeight w:val="39"/>
        </w:trPr>
        <w:tc>
          <w:tcPr>
            <w:tcW w:w="50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3"/>
        </w:trPr>
        <w:tc>
          <w:tcPr>
            <w:tcW w:w="5020" w:type="dxa"/>
            <w:vAlign w:val="bottom"/>
          </w:tcPr>
          <w:p>
            <w:pPr>
              <w:spacing w:after="0"/>
              <w:rPr>
                <w:sz w:val="15"/>
                <w:szCs w:val="15"/>
                <w:color w:val="auto"/>
              </w:rPr>
            </w:pPr>
          </w:p>
        </w:tc>
        <w:tc>
          <w:tcPr>
            <w:tcW w:w="122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Recorded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5"/>
                <w:szCs w:val="15"/>
                <w:color w:val="auto"/>
              </w:rPr>
            </w:pPr>
          </w:p>
        </w:tc>
        <w:tc>
          <w:tcPr>
            <w:tcW w:w="1240" w:type="dxa"/>
            <w:vAlign w:val="bottom"/>
          </w:tcPr>
          <w:p>
            <w:pPr>
              <w:jc w:val="right"/>
              <w:ind w:right="357"/>
              <w:spacing w:after="0"/>
              <w:rPr>
                <w:sz w:val="20"/>
                <w:szCs w:val="20"/>
                <w:color w:val="auto"/>
              </w:rPr>
            </w:pPr>
            <w:r>
              <w:rPr>
                <w:rFonts w:ascii="Arial" w:cs="Arial" w:eastAsia="Arial" w:hAnsi="Arial"/>
                <w:sz w:val="14"/>
                <w:szCs w:val="14"/>
                <w:b w:val="1"/>
                <w:bCs w:val="1"/>
                <w:color w:val="auto"/>
              </w:rPr>
              <w:t>Recorded</w:t>
            </w:r>
          </w:p>
        </w:tc>
      </w:tr>
      <w:tr>
        <w:trPr>
          <w:trHeight w:val="186"/>
        </w:trPr>
        <w:tc>
          <w:tcPr>
            <w:tcW w:w="5020" w:type="dxa"/>
            <w:vAlign w:val="bottom"/>
          </w:tcPr>
          <w:p>
            <w:pPr>
              <w:spacing w:after="0"/>
              <w:rPr>
                <w:sz w:val="16"/>
                <w:szCs w:val="16"/>
                <w:color w:val="auto"/>
              </w:rPr>
            </w:pPr>
          </w:p>
        </w:tc>
        <w:tc>
          <w:tcPr>
            <w:tcW w:w="122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Contracts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240" w:type="dxa"/>
            <w:vAlign w:val="bottom"/>
          </w:tcPr>
          <w:p>
            <w:pPr>
              <w:spacing w:after="0"/>
              <w:rPr>
                <w:sz w:val="16"/>
                <w:szCs w:val="16"/>
                <w:color w:val="auto"/>
              </w:rPr>
            </w:pPr>
          </w:p>
        </w:tc>
        <w:tc>
          <w:tcPr>
            <w:tcW w:w="1240" w:type="dxa"/>
            <w:vAlign w:val="bottom"/>
          </w:tcPr>
          <w:p>
            <w:pPr>
              <w:jc w:val="right"/>
              <w:ind w:right="317"/>
              <w:spacing w:after="0"/>
              <w:rPr>
                <w:sz w:val="20"/>
                <w:szCs w:val="20"/>
                <w:color w:val="auto"/>
              </w:rPr>
            </w:pPr>
            <w:r>
              <w:rPr>
                <w:rFonts w:ascii="Arial" w:cs="Arial" w:eastAsia="Arial" w:hAnsi="Arial"/>
                <w:sz w:val="14"/>
                <w:szCs w:val="14"/>
                <w:b w:val="1"/>
                <w:bCs w:val="1"/>
                <w:color w:val="auto"/>
              </w:rPr>
              <w:t>Investment</w:t>
            </w:r>
          </w:p>
        </w:tc>
      </w:tr>
      <w:tr>
        <w:trPr>
          <w:trHeight w:val="39"/>
        </w:trPr>
        <w:tc>
          <w:tcPr>
            <w:tcW w:w="5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COVID-19 loan modifications</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Commercial loans: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Interest-only deferrals</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128,730</w:t>
            </w: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Retail loans: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Mortgage and personal loan deferrals</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color w:val="auto"/>
              </w:rPr>
              <w:t>Total COVID-19 loans modifications</w:t>
            </w:r>
          </w:p>
        </w:tc>
        <w:tc>
          <w:tcPr>
            <w:tcW w:w="12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128,867</w:t>
            </w:r>
          </w:p>
        </w:tc>
      </w:tr>
      <w:tr>
        <w:trPr>
          <w:trHeight w:val="21"/>
        </w:trPr>
        <w:tc>
          <w:tcPr>
            <w:tcW w:w="50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Evaluated Individually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evaluates loans with disparate risk characteristics on an individual basis. The following tables provide details of loans evaluated individually, segregated by category. The unpaid principal balance represents customer outstanding contractual principal balances excluding any partial charge-offs. Recorded investment represents the amortized cost of customer balances net of any partial charge-offs recognized on the loan.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500"/>
              <w:spacing w:after="0"/>
              <w:rPr>
                <w:sz w:val="20"/>
                <w:szCs w:val="20"/>
                <w:color w:val="auto"/>
              </w:rPr>
            </w:pPr>
            <w:r>
              <w:rPr>
                <w:rFonts w:ascii="Arial" w:cs="Arial" w:eastAsia="Arial" w:hAnsi="Arial"/>
                <w:sz w:val="14"/>
                <w:szCs w:val="14"/>
                <w:b w:val="1"/>
                <w:bCs w:val="1"/>
                <w:color w:val="auto"/>
              </w:rPr>
              <w:t>As of September 30, 2022</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9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Unpaid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Recorded Investment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39"/>
        </w:trPr>
        <w:tc>
          <w:tcPr>
            <w:tcW w:w="1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98"/>
              </w:rPr>
              <w:t>With No</w:t>
            </w:r>
          </w:p>
        </w:tc>
        <w:tc>
          <w:tcPr>
            <w:tcW w:w="26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With</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3"/>
                <w:szCs w:val="13"/>
                <w:color w:val="auto"/>
              </w:rPr>
            </w:pPr>
          </w:p>
        </w:tc>
        <w:tc>
          <w:tcPr>
            <w:tcW w:w="1220" w:type="dxa"/>
            <w:vAlign w:val="bottom"/>
          </w:tcPr>
          <w:p>
            <w:pPr>
              <w:jc w:val="center"/>
              <w:ind w:right="177"/>
              <w:spacing w:after="0" w:line="160"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200"/>
        </w:trPr>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Allowance</w:t>
            </w:r>
          </w:p>
        </w:tc>
        <w:tc>
          <w:tcPr>
            <w:tcW w:w="34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Pr>
          <w:p>
            <w:pPr>
              <w:spacing w:after="0"/>
              <w:rPr>
                <w:sz w:val="17"/>
                <w:szCs w:val="17"/>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39"/>
        </w:trPr>
        <w:tc>
          <w:tcPr>
            <w:tcW w:w="1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19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Loans evaluated</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individually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9,455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5,892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Commercial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43"/>
        </w:trPr>
        <w:tc>
          <w:tcPr>
            <w:tcW w:w="1980" w:type="dxa"/>
            <w:vAlign w:val="bottom"/>
          </w:tcPr>
          <w:p>
            <w:pPr>
              <w:ind w:left="180"/>
              <w:spacing w:after="0"/>
              <w:rPr>
                <w:sz w:val="20"/>
                <w:szCs w:val="20"/>
                <w:color w:val="auto"/>
              </w:rPr>
            </w:pPr>
            <w:r>
              <w:rPr>
                <w:rFonts w:ascii="Arial" w:cs="Arial" w:eastAsia="Arial" w:hAnsi="Arial"/>
                <w:sz w:val="18"/>
                <w:szCs w:val="18"/>
                <w:color w:val="auto"/>
                <w:w w:val="92"/>
              </w:rPr>
              <w:t>Real estate construction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09"/>
        </w:trPr>
        <w:tc>
          <w:tcPr>
            <w:tcW w:w="1980" w:type="dxa"/>
            <w:vAlign w:val="bottom"/>
          </w:tcPr>
          <w:p>
            <w:pPr>
              <w:ind w:left="20"/>
              <w:spacing w:after="0"/>
              <w:rPr>
                <w:sz w:val="20"/>
                <w:szCs w:val="20"/>
                <w:color w:val="auto"/>
              </w:rPr>
            </w:pPr>
            <w:r>
              <w:rPr>
                <w:rFonts w:ascii="Arial" w:cs="Arial" w:eastAsia="Arial" w:hAnsi="Arial"/>
                <w:sz w:val="18"/>
                <w:szCs w:val="18"/>
                <w:color w:val="auto"/>
              </w:rPr>
              <w:t>Total loans evaluated</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19,465</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9,952</w:t>
            </w:r>
          </w:p>
        </w:tc>
        <w:tc>
          <w:tcPr>
            <w:tcW w:w="8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14,506</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4,831</w:t>
            </w:r>
          </w:p>
        </w:tc>
        <w:tc>
          <w:tcPr>
            <w:tcW w:w="8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15,496</w:t>
            </w:r>
          </w:p>
        </w:tc>
        <w:tc>
          <w:tcPr>
            <w:tcW w:w="0" w:type="dxa"/>
            <w:vAlign w:val="bottom"/>
          </w:tcPr>
          <w:p>
            <w:pPr>
              <w:spacing w:after="0"/>
              <w:rPr>
                <w:sz w:val="1"/>
                <w:szCs w:val="1"/>
                <w:color w:val="auto"/>
              </w:rPr>
            </w:pPr>
          </w:p>
        </w:tc>
      </w:tr>
      <w:tr>
        <w:trPr>
          <w:trHeight w:val="235"/>
        </w:trPr>
        <w:tc>
          <w:tcPr>
            <w:tcW w:w="1980" w:type="dxa"/>
            <w:vAlign w:val="bottom"/>
          </w:tcPr>
          <w:p>
            <w:pPr>
              <w:ind w:left="20"/>
              <w:spacing w:after="0"/>
              <w:rPr>
                <w:sz w:val="20"/>
                <w:szCs w:val="20"/>
                <w:color w:val="auto"/>
              </w:rPr>
            </w:pPr>
            <w:r>
              <w:rPr>
                <w:rFonts w:ascii="Arial" w:cs="Arial" w:eastAsia="Arial" w:hAnsi="Arial"/>
                <w:sz w:val="18"/>
                <w:szCs w:val="18"/>
                <w:color w:val="auto"/>
              </w:rPr>
              <w:t>individually</w:t>
            </w:r>
          </w:p>
        </w:tc>
        <w:tc>
          <w:tcPr>
            <w:tcW w:w="2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56"/>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520"/>
              <w:spacing w:after="0"/>
              <w:rPr>
                <w:sz w:val="20"/>
                <w:szCs w:val="20"/>
                <w:color w:val="auto"/>
              </w:rPr>
            </w:pPr>
            <w:r>
              <w:rPr>
                <w:rFonts w:ascii="Arial" w:cs="Arial" w:eastAsia="Arial" w:hAnsi="Arial"/>
                <w:sz w:val="14"/>
                <w:szCs w:val="14"/>
                <w:b w:val="1"/>
                <w:bCs w:val="1"/>
                <w:color w:val="auto"/>
              </w:rPr>
              <w:t>As of December 31, 2021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9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Unpaid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Recorded Investment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39"/>
        </w:trPr>
        <w:tc>
          <w:tcPr>
            <w:tcW w:w="1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With No</w:t>
            </w: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With</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5"/>
                <w:szCs w:val="15"/>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Allowance</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39"/>
        </w:trPr>
        <w:tc>
          <w:tcPr>
            <w:tcW w:w="1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19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Loans evaluated</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individually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10,247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6,490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3,564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8,791</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Commercial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43"/>
        </w:trPr>
        <w:tc>
          <w:tcPr>
            <w:tcW w:w="1980" w:type="dxa"/>
            <w:vAlign w:val="bottom"/>
          </w:tcPr>
          <w:p>
            <w:pPr>
              <w:ind w:left="180"/>
              <w:spacing w:after="0"/>
              <w:rPr>
                <w:sz w:val="20"/>
                <w:szCs w:val="20"/>
                <w:color w:val="auto"/>
              </w:rPr>
            </w:pPr>
            <w:r>
              <w:rPr>
                <w:rFonts w:ascii="Arial" w:cs="Arial" w:eastAsia="Arial" w:hAnsi="Arial"/>
                <w:sz w:val="18"/>
                <w:szCs w:val="18"/>
                <w:color w:val="auto"/>
                <w:w w:val="92"/>
              </w:rPr>
              <w:t>Real estate construction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09"/>
        </w:trPr>
        <w:tc>
          <w:tcPr>
            <w:tcW w:w="1980" w:type="dxa"/>
            <w:vAlign w:val="bottom"/>
          </w:tcPr>
          <w:p>
            <w:pPr>
              <w:ind w:left="20"/>
              <w:spacing w:after="0"/>
              <w:rPr>
                <w:sz w:val="20"/>
                <w:szCs w:val="20"/>
                <w:color w:val="auto"/>
              </w:rPr>
            </w:pPr>
            <w:r>
              <w:rPr>
                <w:rFonts w:ascii="Arial" w:cs="Arial" w:eastAsia="Arial" w:hAnsi="Arial"/>
                <w:sz w:val="18"/>
                <w:szCs w:val="18"/>
                <w:color w:val="auto"/>
              </w:rPr>
              <w:t>Total loans evaluated</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19,489</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6,515</w:t>
            </w:r>
          </w:p>
        </w:tc>
        <w:tc>
          <w:tcPr>
            <w:tcW w:w="8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3,589</w:t>
            </w:r>
          </w:p>
        </w:tc>
        <w:tc>
          <w:tcPr>
            <w:tcW w:w="8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19,556</w:t>
            </w:r>
          </w:p>
        </w:tc>
        <w:tc>
          <w:tcPr>
            <w:tcW w:w="0" w:type="dxa"/>
            <w:vAlign w:val="bottom"/>
          </w:tcPr>
          <w:p>
            <w:pPr>
              <w:spacing w:after="0"/>
              <w:rPr>
                <w:sz w:val="1"/>
                <w:szCs w:val="1"/>
                <w:color w:val="auto"/>
              </w:rPr>
            </w:pPr>
          </w:p>
        </w:tc>
      </w:tr>
      <w:tr>
        <w:trPr>
          <w:trHeight w:val="235"/>
        </w:trPr>
        <w:tc>
          <w:tcPr>
            <w:tcW w:w="1980" w:type="dxa"/>
            <w:vAlign w:val="bottom"/>
          </w:tcPr>
          <w:p>
            <w:pPr>
              <w:ind w:left="20"/>
              <w:spacing w:after="0"/>
              <w:rPr>
                <w:sz w:val="20"/>
                <w:szCs w:val="20"/>
                <w:color w:val="auto"/>
              </w:rPr>
            </w:pPr>
            <w:r>
              <w:rPr>
                <w:rFonts w:ascii="Arial" w:cs="Arial" w:eastAsia="Arial" w:hAnsi="Arial"/>
                <w:sz w:val="18"/>
                <w:szCs w:val="18"/>
                <w:color w:val="auto"/>
              </w:rPr>
              <w:t>individually</w:t>
            </w:r>
          </w:p>
        </w:tc>
        <w:tc>
          <w:tcPr>
            <w:tcW w:w="2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Due to the continued economic uncertainty in the markets in which the Company operates, in particular the levels of delinquencies, the Company will continue to utilize a forecast period of 12 months with an immediate reversion to historical loss rates beyond this forecast period in its ACL estimate. PPP loans were excluded from the ACL calculation as they are 100% government guaranteed.</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tables summarize activity in the ACL. Allocation of a portion of the ACL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Retail</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Construction</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 Other</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balance,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88,757</w:t>
            </w:r>
          </w:p>
        </w:tc>
        <w:tc>
          <w:tcPr>
            <w:tcW w:w="0" w:type="dxa"/>
            <w:vAlign w:val="bottom"/>
          </w:tcPr>
          <w:p>
            <w:pPr>
              <w:spacing w:after="0"/>
              <w:rPr>
                <w:sz w:val="1"/>
                <w:szCs w:val="1"/>
                <w:color w:val="auto"/>
              </w:rPr>
            </w:pPr>
          </w:p>
        </w:tc>
      </w:tr>
      <w:tr>
        <w:trPr>
          <w:trHeight w:val="229"/>
        </w:trPr>
        <w:tc>
          <w:tcPr>
            <w:tcW w:w="2000" w:type="dxa"/>
            <w:vAlign w:val="bottom"/>
          </w:tcPr>
          <w:p>
            <w:pPr>
              <w:ind w:left="180"/>
              <w:spacing w:after="0"/>
              <w:rPr>
                <w:sz w:val="20"/>
                <w:szCs w:val="20"/>
                <w:color w:val="auto"/>
              </w:rPr>
            </w:pPr>
            <w:r>
              <w:rPr>
                <w:rFonts w:ascii="Arial" w:cs="Arial" w:eastAsia="Arial" w:hAnsi="Arial"/>
                <w:sz w:val="18"/>
                <w:szCs w:val="18"/>
                <w:color w:val="auto"/>
              </w:rPr>
              <w:t>Provision for credit</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Charged-off</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200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balance,</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23,695</w:t>
            </w:r>
          </w:p>
        </w:tc>
        <w:tc>
          <w:tcPr>
            <w:tcW w:w="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37,799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90,722</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 September 30, 2022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3"/>
                <w:szCs w:val="13"/>
                <w:color w:val="auto"/>
              </w:rPr>
            </w:pPr>
          </w:p>
        </w:tc>
        <w:tc>
          <w:tcPr>
            <w:tcW w:w="138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2"/>
              </w:rPr>
              <w:t>Real Estate</w:t>
            </w: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9"/>
              </w:rPr>
              <w:t>Retail</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Construction</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 Other</w:t>
            </w:r>
          </w:p>
        </w:tc>
        <w:tc>
          <w:tcPr>
            <w:tcW w:w="360" w:type="dxa"/>
            <w:vAlign w:val="bottom"/>
          </w:tcPr>
          <w:p>
            <w:pPr>
              <w:spacing w:after="0"/>
              <w:rPr>
                <w:sz w:val="17"/>
                <w:szCs w:val="17"/>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balance,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87,887</w:t>
            </w:r>
          </w:p>
        </w:tc>
        <w:tc>
          <w:tcPr>
            <w:tcW w:w="0" w:type="dxa"/>
            <w:vAlign w:val="bottom"/>
          </w:tcPr>
          <w:p>
            <w:pPr>
              <w:spacing w:after="0"/>
              <w:rPr>
                <w:sz w:val="1"/>
                <w:szCs w:val="1"/>
                <w:color w:val="auto"/>
              </w:rPr>
            </w:pPr>
          </w:p>
        </w:tc>
      </w:tr>
      <w:tr>
        <w:trPr>
          <w:trHeight w:val="229"/>
        </w:trPr>
        <w:tc>
          <w:tcPr>
            <w:tcW w:w="2000" w:type="dxa"/>
            <w:vAlign w:val="bottom"/>
          </w:tcPr>
          <w:p>
            <w:pPr>
              <w:ind w:left="180"/>
              <w:spacing w:after="0"/>
              <w:rPr>
                <w:sz w:val="20"/>
                <w:szCs w:val="20"/>
                <w:color w:val="auto"/>
              </w:rPr>
            </w:pPr>
            <w:r>
              <w:rPr>
                <w:rFonts w:ascii="Arial" w:cs="Arial" w:eastAsia="Arial" w:hAnsi="Arial"/>
                <w:sz w:val="18"/>
                <w:szCs w:val="18"/>
                <w:color w:val="auto"/>
              </w:rPr>
              <w:t>Provision for credit</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Charged-off</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43"/>
        </w:trPr>
        <w:tc>
          <w:tcPr>
            <w:tcW w:w="200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balance,</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23,695</w:t>
            </w:r>
          </w:p>
        </w:tc>
        <w:tc>
          <w:tcPr>
            <w:tcW w:w="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37,799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90,722</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Retail</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12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Construction</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 Other</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balance,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24,356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95,410</w:t>
            </w:r>
          </w:p>
        </w:tc>
        <w:tc>
          <w:tcPr>
            <w:tcW w:w="0" w:type="dxa"/>
            <w:vAlign w:val="bottom"/>
          </w:tcPr>
          <w:p>
            <w:pPr>
              <w:spacing w:after="0"/>
              <w:rPr>
                <w:sz w:val="1"/>
                <w:szCs w:val="1"/>
                <w:color w:val="auto"/>
              </w:rPr>
            </w:pPr>
          </w:p>
        </w:tc>
      </w:tr>
      <w:tr>
        <w:trPr>
          <w:trHeight w:val="229"/>
        </w:trPr>
        <w:tc>
          <w:tcPr>
            <w:tcW w:w="2000" w:type="dxa"/>
            <w:vAlign w:val="bottom"/>
          </w:tcPr>
          <w:p>
            <w:pPr>
              <w:ind w:left="140"/>
              <w:spacing w:after="0"/>
              <w:rPr>
                <w:sz w:val="20"/>
                <w:szCs w:val="20"/>
                <w:color w:val="auto"/>
              </w:rPr>
            </w:pPr>
            <w:r>
              <w:rPr>
                <w:rFonts w:ascii="Arial" w:cs="Arial" w:eastAsia="Arial" w:hAnsi="Arial"/>
                <w:sz w:val="18"/>
                <w:szCs w:val="18"/>
                <w:color w:val="auto"/>
              </w:rPr>
              <w:t>Provision for credit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4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Charged-off</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43"/>
        </w:trPr>
        <w:tc>
          <w:tcPr>
            <w:tcW w:w="2000" w:type="dxa"/>
            <w:vAlign w:val="bottom"/>
          </w:tcPr>
          <w:p>
            <w:pPr>
              <w:ind w:left="1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balance,</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24,406</w:t>
            </w:r>
          </w:p>
        </w:tc>
        <w:tc>
          <w:tcPr>
            <w:tcW w:w="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39,831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92,802</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Retail</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12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Construction</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 Other</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balance,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23,866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270"/>
        </w:trPr>
        <w:tc>
          <w:tcPr>
            <w:tcW w:w="2000" w:type="dxa"/>
            <w:vAlign w:val="bottom"/>
          </w:tcPr>
          <w:p>
            <w:pPr>
              <w:ind w:left="140"/>
              <w:spacing w:after="0"/>
              <w:rPr>
                <w:sz w:val="20"/>
                <w:szCs w:val="20"/>
                <w:color w:val="auto"/>
              </w:rPr>
            </w:pPr>
            <w:r>
              <w:rPr>
                <w:rFonts w:ascii="Arial" w:cs="Arial" w:eastAsia="Arial" w:hAnsi="Arial"/>
                <w:sz w:val="18"/>
                <w:szCs w:val="18"/>
                <w:color w:val="auto"/>
              </w:rPr>
              <w:t>Day 1 PCD</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3,546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credit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losses</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0" w:type="dxa"/>
            <w:vAlign w:val="bottom"/>
          </w:tcPr>
          <w:p>
            <w:pPr>
              <w:spacing w:after="0"/>
              <w:rPr>
                <w:sz w:val="1"/>
                <w:szCs w:val="1"/>
                <w:color w:val="auto"/>
              </w:rPr>
            </w:pPr>
          </w:p>
        </w:tc>
      </w:tr>
      <w:tr>
        <w:trPr>
          <w:trHeight w:val="243"/>
        </w:trPr>
        <w:tc>
          <w:tcPr>
            <w:tcW w:w="2000" w:type="dxa"/>
            <w:vAlign w:val="bottom"/>
          </w:tcPr>
          <w:p>
            <w:pPr>
              <w:ind w:left="140"/>
              <w:spacing w:after="0"/>
              <w:rPr>
                <w:sz w:val="20"/>
                <w:szCs w:val="20"/>
                <w:color w:val="auto"/>
              </w:rPr>
            </w:pPr>
            <w:r>
              <w:rPr>
                <w:rFonts w:ascii="Arial" w:cs="Arial" w:eastAsia="Arial" w:hAnsi="Arial"/>
                <w:sz w:val="18"/>
                <w:szCs w:val="18"/>
                <w:color w:val="auto"/>
              </w:rPr>
              <w:t>Charged-off</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Recoveries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09"/>
        </w:trPr>
        <w:tc>
          <w:tcPr>
            <w:tcW w:w="2000" w:type="dxa"/>
            <w:vAlign w:val="bottom"/>
          </w:tcPr>
          <w:p>
            <w:pPr>
              <w:ind w:left="20"/>
              <w:spacing w:after="0"/>
              <w:rPr>
                <w:sz w:val="20"/>
                <w:szCs w:val="20"/>
                <w:color w:val="auto"/>
              </w:rPr>
            </w:pPr>
            <w:r>
              <w:rPr>
                <w:rFonts w:ascii="Arial" w:cs="Arial" w:eastAsia="Arial" w:hAnsi="Arial"/>
                <w:sz w:val="18"/>
                <w:szCs w:val="18"/>
                <w:color w:val="auto"/>
              </w:rPr>
              <w:t>ACL balance,</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color w:val="auto"/>
              </w:rPr>
              <w:t>24,406</w:t>
            </w:r>
          </w:p>
        </w:tc>
        <w:tc>
          <w:tcPr>
            <w:tcW w:w="8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39,831</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92,802</w:t>
            </w:r>
          </w:p>
        </w:tc>
        <w:tc>
          <w:tcPr>
            <w:tcW w:w="0" w:type="dxa"/>
            <w:vAlign w:val="bottom"/>
          </w:tcPr>
          <w:p>
            <w:pPr>
              <w:spacing w:after="0"/>
              <w:rPr>
                <w:sz w:val="1"/>
                <w:szCs w:val="1"/>
                <w:color w:val="auto"/>
              </w:rPr>
            </w:pPr>
          </w:p>
        </w:tc>
      </w:tr>
      <w:tr>
        <w:trPr>
          <w:trHeight w:val="235"/>
        </w:trPr>
        <w:tc>
          <w:tcPr>
            <w:tcW w:w="200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2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The Day 1 PCD is attributable to the CAC acquisition in the second quarter of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tables present the ACL and amortized cost of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460"/>
              <w:spacing w:after="0"/>
              <w:rPr>
                <w:sz w:val="20"/>
                <w:szCs w:val="20"/>
                <w:color w:val="auto"/>
              </w:rPr>
            </w:pPr>
            <w:r>
              <w:rPr>
                <w:rFonts w:ascii="Arial" w:cs="Arial" w:eastAsia="Arial" w:hAnsi="Arial"/>
                <w:sz w:val="14"/>
                <w:szCs w:val="14"/>
                <w:b w:val="1"/>
                <w:bCs w:val="1"/>
                <w:color w:val="auto"/>
              </w:rPr>
              <w:t>As of September 30, 2022</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9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gridSpan w:val="6"/>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Portfolio Loans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6"/>
          </w:tcPr>
          <w:p>
            <w:pPr>
              <w:jc w:val="center"/>
              <w:ind w:left="777"/>
              <w:spacing w:after="0"/>
              <w:rPr>
                <w:sz w:val="20"/>
                <w:szCs w:val="20"/>
                <w:color w:val="auto"/>
              </w:rPr>
            </w:pPr>
            <w:r>
              <w:rPr>
                <w:rFonts w:ascii="Arial" w:cs="Arial" w:eastAsia="Arial" w:hAnsi="Arial"/>
                <w:sz w:val="14"/>
                <w:szCs w:val="14"/>
                <w:b w:val="1"/>
                <w:bCs w:val="1"/>
                <w:color w:val="auto"/>
                <w:w w:val="95"/>
              </w:rPr>
              <w:t>ACL Attributed to Portfolio Loans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9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Individually</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Collectively</w:t>
            </w:r>
          </w:p>
        </w:tc>
        <w:tc>
          <w:tcPr>
            <w:tcW w:w="2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Individually</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Evaluated for</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Evaluated for</w:t>
            </w:r>
          </w:p>
        </w:tc>
        <w:tc>
          <w:tcPr>
            <w:tcW w:w="280" w:type="dxa"/>
            <w:vAlign w:val="bottom"/>
          </w:tcPr>
          <w:p>
            <w:pPr>
              <w:spacing w:after="0"/>
              <w:rPr>
                <w:sz w:val="15"/>
                <w:szCs w:val="15"/>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Evaluated for</w:t>
            </w: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Evaluated for</w:t>
            </w:r>
          </w:p>
        </w:tc>
        <w:tc>
          <w:tcPr>
            <w:tcW w:w="400" w:type="dxa"/>
            <w:vAlign w:val="bottom"/>
          </w:tcPr>
          <w:p>
            <w:pPr>
              <w:spacing w:after="0"/>
              <w:rPr>
                <w:sz w:val="15"/>
                <w:szCs w:val="15"/>
                <w:color w:val="auto"/>
              </w:rPr>
            </w:pPr>
          </w:p>
        </w:tc>
        <w:tc>
          <w:tcPr>
            <w:tcW w:w="106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Impairment</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Impairment</w:t>
            </w: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Impairment</w:t>
            </w:r>
          </w:p>
        </w:tc>
        <w:tc>
          <w:tcPr>
            <w:tcW w:w="4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7"/>
              </w:rPr>
              <w:t>Portfolio loan category</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1,939,454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1,945,893</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23,695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3,278,684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37,799</w:t>
            </w: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w w:val="91"/>
              </w:rPr>
              <w:t>Real estate construction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499,305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499,560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1,643,099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302,878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Portfolio loans and related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7,655,608</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7,670,114</w:t>
            </w:r>
          </w:p>
        </w:tc>
        <w:tc>
          <w:tcPr>
            <w:tcW w:w="8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85,891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90,722</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w:t>
            </w: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54"/>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20" w:type="dxa"/>
            <w:vAlign w:val="bottom"/>
            <w:gridSpan w:val="4"/>
          </w:tcPr>
          <w:p>
            <w:pPr>
              <w:jc w:val="right"/>
              <w:ind w:right="637"/>
              <w:spacing w:after="0"/>
              <w:rPr>
                <w:sz w:val="20"/>
                <w:szCs w:val="20"/>
                <w:color w:val="auto"/>
              </w:rPr>
            </w:pPr>
            <w:r>
              <w:rPr>
                <w:rFonts w:ascii="Arial" w:cs="Arial" w:eastAsia="Arial" w:hAnsi="Arial"/>
                <w:sz w:val="14"/>
                <w:szCs w:val="14"/>
                <w:b w:val="1"/>
                <w:bCs w:val="1"/>
                <w:color w:val="auto"/>
              </w:rPr>
              <w:t>As of December 31, 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Portfolio Loans</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9"/>
          </w:tcPr>
          <w:p>
            <w:pPr>
              <w:jc w:val="center"/>
              <w:ind w:left="897"/>
              <w:spacing w:after="0"/>
              <w:rPr>
                <w:sz w:val="20"/>
                <w:szCs w:val="20"/>
                <w:color w:val="auto"/>
              </w:rPr>
            </w:pPr>
            <w:r>
              <w:rPr>
                <w:rFonts w:ascii="Arial" w:cs="Arial" w:eastAsia="Arial" w:hAnsi="Arial"/>
                <w:sz w:val="14"/>
                <w:szCs w:val="14"/>
                <w:b w:val="1"/>
                <w:bCs w:val="1"/>
                <w:color w:val="auto"/>
                <w:w w:val="95"/>
              </w:rPr>
              <w:t>ACL Attributed to Portfolio Loans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Individually</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Collectively</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Individually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Evaluated for</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Evaluated for</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Evaluated for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Evaluated for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Impairment</w:t>
            </w: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Impairment</w:t>
            </w:r>
          </w:p>
        </w:tc>
        <w:tc>
          <w:tcPr>
            <w:tcW w:w="56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rPr>
              <w:t>Impairment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Impairment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9"/>
        </w:trPr>
        <w:tc>
          <w:tcPr>
            <w:tcW w:w="20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 category</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1,936,898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1,943,886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20,291</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3,564</w:t>
            </w:r>
          </w:p>
        </w:tc>
        <w:tc>
          <w:tcPr>
            <w:tcW w:w="40" w:type="dxa"/>
            <w:vAlign w:val="bottom"/>
          </w:tcPr>
          <w:p>
            <w:pPr>
              <w:spacing w:after="0"/>
              <w:rPr>
                <w:sz w:val="21"/>
                <w:szCs w:val="21"/>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23,855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3,119,807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38,249</w:t>
            </w: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Arial" w:cs="Arial" w:eastAsia="Arial" w:hAnsi="Arial"/>
                <w:sz w:val="18"/>
                <w:szCs w:val="18"/>
                <w:color w:val="auto"/>
                <w:w w:val="99"/>
              </w:rPr>
              <w:t>Real estate construction</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385,724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385,996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1,512,976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17,589</w:t>
            </w: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Arial" w:cs="Arial" w:eastAsia="Arial" w:hAnsi="Arial"/>
                <w:sz w:val="18"/>
                <w:szCs w:val="18"/>
                <w:color w:val="auto"/>
              </w:rPr>
              <w:t>Retail other</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Portfolio loans and related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7,173,618</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7,188,998</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84,298</w:t>
            </w: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40" w:type="dxa"/>
            <w:vAlign w:val="bottom"/>
            <w:shd w:val="clear" w:color="auto" w:fill="CCEEFF"/>
          </w:tcPr>
          <w:p>
            <w:pPr>
              <w:spacing w:after="0"/>
              <w:rPr>
                <w:sz w:val="18"/>
                <w:szCs w:val="18"/>
                <w:color w:val="auto"/>
              </w:rPr>
            </w:pPr>
          </w:p>
        </w:tc>
        <w:tc>
          <w:tcPr>
            <w:tcW w:w="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87,887</w:t>
            </w:r>
          </w:p>
        </w:tc>
        <w:tc>
          <w:tcPr>
            <w:tcW w:w="0" w:type="dxa"/>
            <w:vAlign w:val="bottom"/>
          </w:tcPr>
          <w:p>
            <w:pPr>
              <w:spacing w:after="0"/>
              <w:rPr>
                <w:sz w:val="1"/>
                <w:szCs w:val="1"/>
                <w:color w:val="auto"/>
              </w:rPr>
            </w:pPr>
          </w:p>
        </w:tc>
      </w:tr>
      <w:tr>
        <w:trPr>
          <w:trHeight w:val="25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w:t>
            </w:r>
          </w:p>
        </w:tc>
        <w:tc>
          <w:tcPr>
            <w:tcW w:w="20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80" w:type="dxa"/>
            <w:vAlign w:val="bottom"/>
            <w:gridSpan w:val="3"/>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gridSpan w:val="3"/>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Deposits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160" w:type="dxa"/>
            <w:vAlign w:val="bottom"/>
            <w:gridSpan w:val="7"/>
          </w:tcPr>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As of</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20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Deposits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gridSpan w:val="4"/>
          </w:tcPr>
          <w:p>
            <w:pPr>
              <w:ind w:left="260"/>
              <w:spacing w:after="0"/>
              <w:rPr>
                <w:sz w:val="20"/>
                <w:szCs w:val="20"/>
                <w:color w:val="auto"/>
              </w:rPr>
            </w:pPr>
            <w:r>
              <w:rPr>
                <w:rFonts w:ascii="Arial" w:cs="Arial" w:eastAsia="Arial" w:hAnsi="Arial"/>
                <w:sz w:val="18"/>
                <w:szCs w:val="18"/>
                <w:color w:val="auto"/>
              </w:rPr>
              <w:t>Demand deposits, noninterest-bearing</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3,628,169</w:t>
            </w:r>
          </w:p>
        </w:tc>
        <w:tc>
          <w:tcPr>
            <w:tcW w:w="40" w:type="dxa"/>
            <w:vAlign w:val="bottom"/>
          </w:tcPr>
          <w:p>
            <w:pPr>
              <w:spacing w:after="0"/>
              <w:rPr>
                <w:sz w:val="21"/>
                <w:szCs w:val="21"/>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3,670,267</w:t>
            </w:r>
          </w:p>
        </w:tc>
        <w:tc>
          <w:tcPr>
            <w:tcW w:w="0" w:type="dxa"/>
            <w:vAlign w:val="bottom"/>
          </w:tcPr>
          <w:p>
            <w:pPr>
              <w:spacing w:after="0"/>
              <w:rPr>
                <w:sz w:val="1"/>
                <w:szCs w:val="1"/>
                <w:color w:val="auto"/>
              </w:rPr>
            </w:pPr>
          </w:p>
        </w:tc>
      </w:tr>
      <w:tr>
        <w:trPr>
          <w:trHeight w:val="27"/>
        </w:trPr>
        <w:tc>
          <w:tcPr>
            <w:tcW w:w="362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Interest-bearing transaction deposits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2,952,414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2,720,417</w:t>
            </w:r>
          </w:p>
        </w:tc>
        <w:tc>
          <w:tcPr>
            <w:tcW w:w="0" w:type="dxa"/>
            <w:vAlign w:val="bottom"/>
          </w:tcPr>
          <w:p>
            <w:pPr>
              <w:spacing w:after="0"/>
              <w:rPr>
                <w:sz w:val="1"/>
                <w:szCs w:val="1"/>
                <w:color w:val="auto"/>
              </w:rPr>
            </w:pPr>
          </w:p>
        </w:tc>
      </w:tr>
      <w:tr>
        <w:trPr>
          <w:trHeight w:val="243"/>
        </w:trPr>
        <w:tc>
          <w:tcPr>
            <w:tcW w:w="3620" w:type="dxa"/>
            <w:vAlign w:val="bottom"/>
            <w:gridSpan w:val="4"/>
          </w:tcPr>
          <w:p>
            <w:pPr>
              <w:ind w:left="260"/>
              <w:spacing w:after="0"/>
              <w:rPr>
                <w:sz w:val="20"/>
                <w:szCs w:val="20"/>
                <w:color w:val="auto"/>
              </w:rPr>
            </w:pPr>
            <w:r>
              <w:rPr>
                <w:rFonts w:ascii="Arial" w:cs="Arial" w:eastAsia="Arial" w:hAnsi="Arial"/>
                <w:sz w:val="18"/>
                <w:szCs w:val="18"/>
                <w:color w:val="auto"/>
                <w:w w:val="94"/>
              </w:rPr>
              <w:t>Saving deposits and money market deposits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3,220,627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3,442,244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Time deposits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800,187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935,649</w:t>
            </w:r>
          </w:p>
        </w:tc>
        <w:tc>
          <w:tcPr>
            <w:tcW w:w="0" w:type="dxa"/>
            <w:vAlign w:val="bottom"/>
          </w:tcPr>
          <w:p>
            <w:pPr>
              <w:spacing w:after="0"/>
              <w:rPr>
                <w:sz w:val="1"/>
                <w:szCs w:val="1"/>
                <w:color w:val="auto"/>
              </w:rPr>
            </w:pPr>
          </w:p>
        </w:tc>
      </w:tr>
      <w:tr>
        <w:trPr>
          <w:trHeight w:val="263"/>
        </w:trPr>
        <w:tc>
          <w:tcPr>
            <w:tcW w:w="2080" w:type="dxa"/>
            <w:vAlign w:val="bottom"/>
          </w:tcPr>
          <w:p>
            <w:pPr>
              <w:ind w:left="20"/>
              <w:spacing w:after="0"/>
              <w:rPr>
                <w:sz w:val="20"/>
                <w:szCs w:val="20"/>
                <w:color w:val="auto"/>
              </w:rPr>
            </w:pPr>
            <w:r>
              <w:rPr>
                <w:rFonts w:ascii="Arial" w:cs="Arial" w:eastAsia="Arial" w:hAnsi="Arial"/>
                <w:sz w:val="18"/>
                <w:szCs w:val="18"/>
                <w:color w:val="auto"/>
              </w:rPr>
              <w:t>Total deposits</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10,601,397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10,768,577</w:t>
            </w:r>
          </w:p>
        </w:tc>
        <w:tc>
          <w:tcPr>
            <w:tcW w:w="0" w:type="dxa"/>
            <w:vAlign w:val="bottom"/>
          </w:tcPr>
          <w:p>
            <w:pPr>
              <w:spacing w:after="0"/>
              <w:rPr>
                <w:sz w:val="1"/>
                <w:szCs w:val="1"/>
                <w:color w:val="auto"/>
              </w:rPr>
            </w:pPr>
          </w:p>
        </w:tc>
      </w:tr>
      <w:tr>
        <w:trPr>
          <w:trHeight w:val="20"/>
        </w:trPr>
        <w:tc>
          <w:tcPr>
            <w:tcW w:w="5720" w:type="dxa"/>
            <w:vAlign w:val="bottom"/>
            <w:gridSpan w:val="8"/>
            <w:vMerge w:val="restart"/>
          </w:tcPr>
          <w:p>
            <w:pPr>
              <w:spacing w:after="0"/>
              <w:rPr>
                <w:sz w:val="20"/>
                <w:szCs w:val="20"/>
                <w:color w:val="auto"/>
              </w:rPr>
            </w:pPr>
            <w:r>
              <w:rPr>
                <w:rFonts w:ascii="Arial" w:cs="Arial" w:eastAsia="Arial" w:hAnsi="Arial"/>
                <w:sz w:val="18"/>
                <w:szCs w:val="18"/>
                <w:color w:val="auto"/>
                <w:w w:val="93"/>
              </w:rPr>
              <w:t xml:space="preserve">Additional information about our deposits is as follows </w:t>
            </w:r>
            <w:r>
              <w:rPr>
                <w:rFonts w:ascii="Arial" w:cs="Arial" w:eastAsia="Arial" w:hAnsi="Arial"/>
                <w:sz w:val="18"/>
                <w:szCs w:val="18"/>
                <w:i w:val="1"/>
                <w:iCs w:val="1"/>
                <w:color w:val="auto"/>
                <w:w w:val="93"/>
              </w:rPr>
              <w:t>(dollars in thousands)</w:t>
            </w:r>
            <w:r>
              <w:rPr>
                <w:rFonts w:ascii="Arial" w:cs="Arial" w:eastAsia="Arial" w:hAnsi="Arial"/>
                <w:sz w:val="18"/>
                <w:szCs w:val="18"/>
                <w:color w:val="auto"/>
                <w:w w:val="93"/>
              </w:rPr>
              <w:t>:</w:t>
            </w: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720" w:type="dxa"/>
            <w:vAlign w:val="bottom"/>
            <w:gridSpan w:val="8"/>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As of</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5160" w:type="dxa"/>
            <w:vAlign w:val="bottom"/>
            <w:tcBorders>
              <w:bottom w:val="single" w:sz="8" w:color="CCEEFF"/>
            </w:tcBorders>
            <w:gridSpan w:val="7"/>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rPr>
              <w:t>Brokered savings deposits and money market deposits</w:t>
            </w: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Brokered time deposits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6700" w:type="dxa"/>
            <w:vAlign w:val="bottom"/>
            <w:gridSpan w:val="10"/>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gridSpan w:val="10"/>
            <w:shd w:val="clear" w:color="auto" w:fill="CCEEFF"/>
          </w:tcPr>
          <w:p>
            <w:pPr>
              <w:ind w:left="20"/>
              <w:spacing w:after="0"/>
              <w:rPr>
                <w:sz w:val="20"/>
                <w:szCs w:val="20"/>
                <w:color w:val="auto"/>
              </w:rPr>
            </w:pPr>
            <w:r>
              <w:rPr>
                <w:rFonts w:ascii="Arial" w:cs="Arial" w:eastAsia="Arial" w:hAnsi="Arial"/>
                <w:sz w:val="18"/>
                <w:szCs w:val="18"/>
                <w:color w:val="auto"/>
              </w:rPr>
              <w:t>Aggregate amount of time deposits with a minimum denomination of $100,000</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379,136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454,649</w:t>
            </w:r>
          </w:p>
        </w:tc>
        <w:tc>
          <w:tcPr>
            <w:tcW w:w="0" w:type="dxa"/>
            <w:vAlign w:val="bottom"/>
          </w:tcPr>
          <w:p>
            <w:pPr>
              <w:spacing w:after="0"/>
              <w:rPr>
                <w:sz w:val="1"/>
                <w:szCs w:val="1"/>
                <w:color w:val="auto"/>
              </w:rPr>
            </w:pPr>
          </w:p>
        </w:tc>
      </w:tr>
      <w:tr>
        <w:trPr>
          <w:trHeight w:val="229"/>
        </w:trPr>
        <w:tc>
          <w:tcPr>
            <w:tcW w:w="8140" w:type="dxa"/>
            <w:vAlign w:val="bottom"/>
            <w:gridSpan w:val="12"/>
          </w:tcPr>
          <w:p>
            <w:pPr>
              <w:ind w:left="20"/>
              <w:spacing w:after="0"/>
              <w:rPr>
                <w:sz w:val="20"/>
                <w:szCs w:val="20"/>
                <w:color w:val="auto"/>
              </w:rPr>
            </w:pPr>
            <w:r>
              <w:rPr>
                <w:rFonts w:ascii="Arial" w:cs="Arial" w:eastAsia="Arial" w:hAnsi="Arial"/>
                <w:sz w:val="18"/>
                <w:szCs w:val="18"/>
                <w:color w:val="auto"/>
                <w:w w:val="93"/>
              </w:rPr>
              <w:t>Aggregate amount of time deposits with a minimum denomination that meets or exceeds the FDIC insurance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limit of $250,000</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103,534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137,449</w:t>
            </w:r>
          </w:p>
        </w:tc>
        <w:tc>
          <w:tcPr>
            <w:tcW w:w="0" w:type="dxa"/>
            <w:vAlign w:val="bottom"/>
          </w:tcPr>
          <w:p>
            <w:pPr>
              <w:spacing w:after="0"/>
              <w:rPr>
                <w:sz w:val="1"/>
                <w:szCs w:val="1"/>
                <w:color w:val="auto"/>
              </w:rPr>
            </w:pPr>
          </w:p>
        </w:tc>
      </w:tr>
      <w:tr>
        <w:trPr>
          <w:trHeight w:val="931"/>
        </w:trPr>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ind w:left="4340"/>
              <w:spacing w:after="0"/>
              <w:rPr>
                <w:sz w:val="20"/>
                <w:szCs w:val="20"/>
                <w:color w:val="auto"/>
              </w:rPr>
            </w:pPr>
            <w:r>
              <w:rPr>
                <w:rFonts w:ascii="Arial" w:cs="Arial" w:eastAsia="Arial" w:hAnsi="Arial"/>
                <w:sz w:val="18"/>
                <w:szCs w:val="18"/>
                <w:b w:val="1"/>
                <w:bCs w:val="1"/>
                <w:color w:val="auto"/>
              </w:rPr>
              <w:t>FIRST BUSEY CORPORATION</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976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918"/>
        </w:trPr>
        <w:tc>
          <w:tcPr>
            <w:tcW w:w="9760" w:type="dxa"/>
            <w:vAlign w:val="bottom"/>
          </w:tcPr>
          <w:p>
            <w:pPr>
              <w:spacing w:after="0"/>
              <w:rPr>
                <w:sz w:val="20"/>
                <w:szCs w:val="20"/>
                <w:color w:val="auto"/>
              </w:rPr>
            </w:pPr>
            <w:r>
              <w:rPr>
                <w:rFonts w:ascii="Arial" w:cs="Arial" w:eastAsia="Arial" w:hAnsi="Arial"/>
                <w:sz w:val="18"/>
                <w:szCs w:val="18"/>
                <w:color w:val="auto"/>
              </w:rPr>
              <w:t xml:space="preserve">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23"/>
        </w:trPr>
        <w:tc>
          <w:tcPr>
            <w:tcW w:w="9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514"/>
              <w:spacing w:after="0"/>
              <w:rPr>
                <w:sz w:val="20"/>
                <w:szCs w:val="20"/>
                <w:color w:val="auto"/>
              </w:rPr>
            </w:pPr>
            <w:r>
              <w:rPr>
                <w:rFonts w:ascii="Arial" w:cs="Arial" w:eastAsia="Arial" w:hAnsi="Arial"/>
                <w:sz w:val="14"/>
                <w:szCs w:val="14"/>
                <w:b w:val="1"/>
                <w:bCs w:val="1"/>
                <w:color w:val="auto"/>
              </w:rPr>
              <w:t>As of</w:t>
            </w:r>
          </w:p>
        </w:tc>
      </w:tr>
      <w:tr>
        <w:trPr>
          <w:trHeight w:val="186"/>
        </w:trPr>
        <w:tc>
          <w:tcPr>
            <w:tcW w:w="9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September 30, 2022</w:t>
            </w:r>
          </w:p>
        </w:tc>
      </w:tr>
      <w:tr>
        <w:trPr>
          <w:trHeight w:val="39"/>
        </w:trPr>
        <w:tc>
          <w:tcPr>
            <w:tcW w:w="97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Time deposits by schedule of maturities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Remainder of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188,332</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431,060</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126,309</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23,078</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17,910</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12,844</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7"/>
        </w:trPr>
        <w:tc>
          <w:tcPr>
            <w:tcW w:w="9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800,187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Sold Under Agreements to Repurchase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 Securities sold under agreements to repurchase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As of</w:t>
            </w:r>
          </w:p>
        </w:tc>
        <w:tc>
          <w:tcPr>
            <w:tcW w:w="1360" w:type="dxa"/>
            <w:vAlign w:val="bottom"/>
          </w:tcPr>
          <w:p>
            <w:pPr>
              <w:spacing w:after="0"/>
              <w:rPr>
                <w:sz w:val="16"/>
                <w:szCs w:val="16"/>
                <w:color w:val="auto"/>
              </w:rPr>
            </w:pPr>
          </w:p>
        </w:tc>
      </w:tr>
      <w:tr>
        <w:trPr>
          <w:trHeight w:val="39"/>
        </w:trPr>
        <w:tc>
          <w:tcPr>
            <w:tcW w:w="7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60"/>
        </w:trPr>
        <w:tc>
          <w:tcPr>
            <w:tcW w:w="7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119"/>
              <w:spacing w:after="0" w:line="160"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9"/>
              <w:spacing w:after="0" w:line="160" w:lineRule="exact"/>
              <w:rPr>
                <w:sz w:val="20"/>
                <w:szCs w:val="20"/>
                <w:color w:val="auto"/>
              </w:rPr>
            </w:pPr>
            <w:r>
              <w:rPr>
                <w:rFonts w:ascii="Arial" w:cs="Arial" w:eastAsia="Arial" w:hAnsi="Arial"/>
                <w:sz w:val="14"/>
                <w:szCs w:val="14"/>
                <w:b w:val="1"/>
                <w:bCs w:val="1"/>
                <w:color w:val="auto"/>
              </w:rPr>
              <w:t>December 31,</w:t>
            </w:r>
          </w:p>
        </w:tc>
      </w:tr>
      <w:tr>
        <w:trPr>
          <w:trHeight w:val="186"/>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53"/>
        </w:trPr>
        <w:tc>
          <w:tcPr>
            <w:tcW w:w="79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under agreements to repurchase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234,597</w:t>
            </w: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270,139</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Weighted average rate for securities sold under agreements to repurchase</w:t>
            </w: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0.98 %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0.08 %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28, 2021, the Company entered into a Second Amended and Restated Credit Agreement, pursuant to which the Company has access to (i) a $40.0 million revolving line of credit with a termination date of April 30, 2022, and (ii)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loans now have an annual interest rate of 1.80% plus the one-month forward-looking term rate based on SOFR.</w:t>
      </w:r>
    </w:p>
    <w:p>
      <w:pPr>
        <w:spacing w:after="0" w:line="1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Proceeds of the term loan were used to fund a part of the cash portion of the merger consideration related to the acquisition of CAC in the second quarter of 2021, and for general corporate purposes. As of September 30, 2022, there was no balance outstanding on the revolving credit facility and a total of $45.0 million outstanding on the term loan, of which $12.0 million was short-term and $33.0 million was long-term. The revolving credit facility incurs a non-usage fee based on any undrawn amounts. Quarterly payments on the term loan reduce the outstanding principal balance by $3.0 million each quarter.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First Busey’s short-term borrowings include loans maturing within one year of the loan origination date, as well as the current portion of long-term debt that is due within 12 months. Short-term borrowings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w w:val="92"/>
              </w:rPr>
              <w:t>FHLB advances maturing in less than one year from date of origination, and the current portion of long-term</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FHLB advances due within 12 months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5,678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Term Loan, current portion due within 12 months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 short-term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17,678</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funds purchased are short-term borrowings that generally mature between one and 90 days. The Company had no federal funds purchased as of September 30, 2022, or December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First Busey’s long-term debt consists of loans maturing more than one year from the loan origination date, excluding the current portion that is due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months. 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Notes payable, FHLB, original maturity of 5 years, collateralized by FHLB deposits, residential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commercial real estate loans and FHLB stock</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4,056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46,056</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2021, funds borrowed from the FHLB, listed above, consisted of one variable-rate note maturing in May 2023, with an interest rate of 3.04%. This note became due within 12 months during the second quarter of 2022, and the balance is now fully reflected in short-term borrowings.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and Subordinated Notes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25, 2017, the Company issued $40.0 million of 3.75% senior notes that matured and were redeemed on May 25, 2022. Additionally, on May 25, 2017, the Company issued $60.0 million of fixed-to-floating rate subordinated notes that were scheduled to mature on May 25, 2027, with an optional redemption in whole or in part on any interest payment date on or after May 25, 2022. The Company redeemed all outstanding $60.0 million fixed-to-floating rate subordinated notes during the third quarter of 2022. At the time of redemption, the redeemed subordinated notes carried interest at a floating rate of 3-month LIBOR plus 2.919%.</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 2022, the Company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will accrue at a rate equal to (i) 5.000% per annum from the original issue date to, but excluding, June 15, 2027, payable semiannually in arrears, and (ii) a floating rate per annum equal to a benchmark rate, which is expected to be the Three-Month Term SOFR (as defined in the subordinated notes), plus a spread of 252 basis points from and including, June 15, 2027, payable quarterly in arrears. The subordinated notes have an optional redemption in whole or in part on any interest payment date on or after June 15, 2027.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Unamortized debt issuance costs related to senior notes and subordinated notes are presented in the following table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debt issuance costs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Senior notes issued in 2017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Subordinated notes issued in 2017</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Subordinated notes issued in 2020</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Subordinated notes issued in 2022</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8180" w:type="dxa"/>
            <w:vAlign w:val="bottom"/>
          </w:tcPr>
          <w:p>
            <w:pPr>
              <w:ind w:left="20"/>
              <w:spacing w:after="0"/>
              <w:rPr>
                <w:sz w:val="20"/>
                <w:szCs w:val="20"/>
                <w:color w:val="auto"/>
              </w:rPr>
            </w:pPr>
            <w:r>
              <w:rPr>
                <w:rFonts w:ascii="Arial" w:cs="Arial" w:eastAsia="Arial" w:hAnsi="Arial"/>
                <w:sz w:val="18"/>
                <w:szCs w:val="18"/>
                <w:color w:val="auto"/>
              </w:rPr>
              <w:t>Total unamortized debt issuance costs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Regulatory Capital</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consolidated financial statements. Capital amounts and classification also are subject to qualitative judgments by regulators about components, risk weightings, and other factors.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Banking regulations identify five capital categories for insured depository institutions: well capitalized, adequately capitalized, undercapitalized, significantly undercapitalized, and critically undercapitalized. As of September 30, 2022, and December 31, 2021, all capital ratios of the Company and its subsidiary bank exceeded well capitalized levels under the applicable regulatory capital adequacy guidelines. Management believes that no events or changes have occurred subsequent to September 30, 2022, that would change this designation.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Expected Credit Loss Model</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three-year period. On August 26, 2020, the CECL final rule was finalized and was substantially similar to the interim final rule. Under this final rule, because the Company has elected to use the deferral option, the regulatory capital impact of our transition adjustments recorded on January 1, 2020, arising from the adoption of CECL was deferred for two years, until January 1, 2022. In addition, 25 percent of the ongoing impact of CECL on our ACL, retained earnings, and average total consolidated assets from January 1, 2020, through the end of the two-year deferral period, each as reported for regulatory capital purposes, has been added to the deferred transition amounts (“adjusted transition amounts”) and deferred for the two-year period. At the conclusion of the two-year period the adjusted transition amounts began to be phased-in for regulatory capital purposes at a rate of 25 percent per year, with the phased-in amounts included in regulatory capital at the beginning of each year.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 Relating to Subordinated Debt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25, 2017, the Company issued $60.0 million of fixed-to-floating rate subordinated notes that were scheduled to mature on May 25, 2027. The full balance of the subordinated note qualified as Tier 2 Capital for First Busey for the first five years, with a phase out beginning in the second quarter of 2022. The subordinated notes had an optional redemption in whole or in part on any interest payment date on or after May 25, 2022, and the Company redeemed them in full during the third quarter of 2022.</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 2022, the Company issued $100.0 million aggregate principal amount of 5.000% fixed-to-floating rate subordinated notes that mature on June 15, 2032, which qualify as Tier 2 Capital for regulatory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Amounts and Ratios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tables summarize regulatory capital requirements applicable to the Company and its subsidiary bank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220"/>
              <w:spacing w:after="0"/>
              <w:rPr>
                <w:sz w:val="20"/>
                <w:szCs w:val="20"/>
                <w:color w:val="auto"/>
              </w:rPr>
            </w:pPr>
            <w:r>
              <w:rPr>
                <w:rFonts w:ascii="Arial" w:cs="Arial" w:eastAsia="Arial" w:hAnsi="Arial"/>
                <w:sz w:val="14"/>
                <w:szCs w:val="14"/>
                <w:b w:val="1"/>
                <w:bCs w:val="1"/>
                <w:color w:val="auto"/>
              </w:rPr>
              <w:t>As of September 30, 2022</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Minimum</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7"/>
              </w:rPr>
              <w:t>Minimum</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4"/>
              </w:rPr>
              <w:t>To Be Well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ind w:left="820"/>
              <w:spacing w:after="0"/>
              <w:rPr>
                <w:sz w:val="20"/>
                <w:szCs w:val="20"/>
                <w:color w:val="auto"/>
              </w:rPr>
            </w:pPr>
            <w:r>
              <w:rPr>
                <w:rFonts w:ascii="Arial" w:cs="Arial" w:eastAsia="Arial" w:hAnsi="Arial"/>
                <w:sz w:val="14"/>
                <w:szCs w:val="14"/>
                <w:b w:val="1"/>
                <w:bCs w:val="1"/>
                <w:color w:val="auto"/>
              </w:rPr>
              <w:t>Actual</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Capital Requirement</w:t>
            </w:r>
          </w:p>
        </w:tc>
        <w:tc>
          <w:tcPr>
            <w:tcW w:w="200" w:type="dxa"/>
            <w:vAlign w:val="bottom"/>
          </w:tcPr>
          <w:p>
            <w:pPr>
              <w:spacing w:after="0"/>
              <w:rPr>
                <w:sz w:val="17"/>
                <w:szCs w:val="17"/>
                <w:color w:val="auto"/>
              </w:rPr>
            </w:pPr>
          </w:p>
        </w:tc>
        <w:tc>
          <w:tcPr>
            <w:tcW w:w="14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7"/>
              </w:rPr>
              <w:t>Capitalized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6"/>
                <w:szCs w:val="16"/>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6"/>
                <w:szCs w:val="16"/>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372"/>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39"/>
        </w:trPr>
        <w:tc>
          <w:tcPr>
            <w:tcW w:w="37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Common Equity Tier 1 Capital to Risk</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Assets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120"/>
              <w:spacing w:after="0"/>
              <w:rPr>
                <w:sz w:val="20"/>
                <w:szCs w:val="20"/>
                <w:color w:val="auto"/>
              </w:rPr>
            </w:pPr>
            <w:r>
              <w:rPr>
                <w:rFonts w:ascii="Arial" w:cs="Arial" w:eastAsia="Arial" w:hAnsi="Arial"/>
                <w:sz w:val="18"/>
                <w:szCs w:val="18"/>
                <w:color w:val="auto"/>
                <w:w w:val="97"/>
              </w:rPr>
              <w:t>1,056,206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11.79 %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40"/>
              <w:spacing w:after="0"/>
              <w:rPr>
                <w:sz w:val="20"/>
                <w:szCs w:val="20"/>
                <w:color w:val="auto"/>
              </w:rPr>
            </w:pPr>
            <w:r>
              <w:rPr>
                <w:rFonts w:ascii="Arial" w:cs="Arial" w:eastAsia="Arial" w:hAnsi="Arial"/>
                <w:sz w:val="18"/>
                <w:szCs w:val="18"/>
                <w:color w:val="auto"/>
                <w:w w:val="98"/>
              </w:rPr>
              <w:t>403,047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582,179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1,288,945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401,307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579,665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Tier 1 Capital to Risk Weighted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120"/>
              <w:spacing w:after="0"/>
              <w:rPr>
                <w:sz w:val="20"/>
                <w:szCs w:val="20"/>
                <w:color w:val="auto"/>
              </w:rPr>
            </w:pPr>
            <w:r>
              <w:rPr>
                <w:rFonts w:ascii="Arial" w:cs="Arial" w:eastAsia="Arial" w:hAnsi="Arial"/>
                <w:sz w:val="18"/>
                <w:szCs w:val="18"/>
                <w:color w:val="auto"/>
                <w:w w:val="97"/>
              </w:rPr>
              <w:t>1,130,206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12.62 %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40"/>
              <w:spacing w:after="0"/>
              <w:rPr>
                <w:sz w:val="20"/>
                <w:szCs w:val="20"/>
                <w:color w:val="auto"/>
              </w:rPr>
            </w:pPr>
            <w:r>
              <w:rPr>
                <w:rFonts w:ascii="Arial" w:cs="Arial" w:eastAsia="Arial" w:hAnsi="Arial"/>
                <w:sz w:val="18"/>
                <w:szCs w:val="18"/>
                <w:color w:val="auto"/>
                <w:w w:val="98"/>
              </w:rPr>
              <w:t>537,396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716,528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1,288,945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535,076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713,434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 to Risk Weighted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120"/>
              <w:spacing w:after="0"/>
              <w:rPr>
                <w:sz w:val="20"/>
                <w:szCs w:val="20"/>
                <w:color w:val="auto"/>
              </w:rPr>
            </w:pPr>
            <w:r>
              <w:rPr>
                <w:rFonts w:ascii="Arial" w:cs="Arial" w:eastAsia="Arial" w:hAnsi="Arial"/>
                <w:sz w:val="18"/>
                <w:szCs w:val="18"/>
                <w:color w:val="auto"/>
                <w:w w:val="97"/>
              </w:rPr>
              <w:t>1,431,308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15.98 %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40"/>
              <w:spacing w:after="0"/>
              <w:rPr>
                <w:sz w:val="20"/>
                <w:szCs w:val="20"/>
                <w:color w:val="auto"/>
              </w:rPr>
            </w:pPr>
            <w:r>
              <w:rPr>
                <w:rFonts w:ascii="Arial" w:cs="Arial" w:eastAsia="Arial" w:hAnsi="Arial"/>
                <w:sz w:val="18"/>
                <w:szCs w:val="18"/>
                <w:color w:val="auto"/>
                <w:w w:val="98"/>
              </w:rPr>
              <w:t>716,528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895,660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1,365,046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713,434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891,793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Leverage Ratio of Tier 1 Capital to Average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120"/>
              <w:spacing w:after="0"/>
              <w:rPr>
                <w:sz w:val="20"/>
                <w:szCs w:val="20"/>
                <w:color w:val="auto"/>
              </w:rPr>
            </w:pPr>
            <w:r>
              <w:rPr>
                <w:rFonts w:ascii="Arial" w:cs="Arial" w:eastAsia="Arial" w:hAnsi="Arial"/>
                <w:sz w:val="18"/>
                <w:szCs w:val="18"/>
                <w:color w:val="auto"/>
                <w:w w:val="97"/>
              </w:rPr>
              <w:t>1,130,206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40"/>
              <w:spacing w:after="0"/>
              <w:rPr>
                <w:sz w:val="20"/>
                <w:szCs w:val="20"/>
                <w:color w:val="auto"/>
              </w:rPr>
            </w:pPr>
            <w:r>
              <w:rPr>
                <w:rFonts w:ascii="Arial" w:cs="Arial" w:eastAsia="Arial" w:hAnsi="Arial"/>
                <w:sz w:val="18"/>
                <w:szCs w:val="18"/>
                <w:color w:val="auto"/>
                <w:w w:val="98"/>
              </w:rPr>
              <w:t>494,124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ind w:left="580"/>
              <w:spacing w:after="0"/>
              <w:rPr>
                <w:sz w:val="20"/>
                <w:szCs w:val="20"/>
                <w:color w:val="auto"/>
              </w:rPr>
            </w:pPr>
            <w:r>
              <w:rPr>
                <w:rFonts w:ascii="Arial" w:cs="Arial" w:eastAsia="Arial" w:hAnsi="Arial"/>
                <w:sz w:val="18"/>
                <w:szCs w:val="18"/>
                <w:color w:val="auto"/>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1,288,945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492,534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615,668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905"/>
        </w:trPr>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Minimum</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7"/>
              </w:rPr>
              <w:t>Minimum</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4"/>
              </w:rPr>
              <w:t>To Be Well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ind w:left="820"/>
              <w:spacing w:after="0"/>
              <w:rPr>
                <w:sz w:val="20"/>
                <w:szCs w:val="20"/>
                <w:color w:val="auto"/>
              </w:rPr>
            </w:pPr>
            <w:r>
              <w:rPr>
                <w:rFonts w:ascii="Arial" w:cs="Arial" w:eastAsia="Arial" w:hAnsi="Arial"/>
                <w:sz w:val="14"/>
                <w:szCs w:val="14"/>
                <w:b w:val="1"/>
                <w:bCs w:val="1"/>
                <w:color w:val="auto"/>
              </w:rPr>
              <w:t>Actual</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Capital Requirement</w:t>
            </w:r>
          </w:p>
        </w:tc>
        <w:tc>
          <w:tcPr>
            <w:tcW w:w="200" w:type="dxa"/>
            <w:vAlign w:val="bottom"/>
          </w:tcPr>
          <w:p>
            <w:pPr>
              <w:spacing w:after="0"/>
              <w:rPr>
                <w:sz w:val="16"/>
                <w:szCs w:val="16"/>
                <w:color w:val="auto"/>
              </w:rPr>
            </w:pPr>
          </w:p>
        </w:tc>
        <w:tc>
          <w:tcPr>
            <w:tcW w:w="14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7"/>
              </w:rPr>
              <w:t>Capitalized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6"/>
                <w:szCs w:val="16"/>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6"/>
                <w:szCs w:val="16"/>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372"/>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39"/>
        </w:trPr>
        <w:tc>
          <w:tcPr>
            <w:tcW w:w="37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Common Equity Tier 1 Capital to Risk</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Assets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995,874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11.85 %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40"/>
              <w:spacing w:after="0"/>
              <w:rPr>
                <w:sz w:val="20"/>
                <w:szCs w:val="20"/>
                <w:color w:val="auto"/>
              </w:rPr>
            </w:pPr>
            <w:r>
              <w:rPr>
                <w:rFonts w:ascii="Arial" w:cs="Arial" w:eastAsia="Arial" w:hAnsi="Arial"/>
                <w:sz w:val="18"/>
                <w:szCs w:val="18"/>
                <w:color w:val="auto"/>
                <w:w w:val="98"/>
              </w:rPr>
              <w:t>378,334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546,482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377,096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Tier 1 Capital to Risk Weighted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1,069,874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12.73 %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40"/>
              <w:spacing w:after="0"/>
              <w:rPr>
                <w:sz w:val="20"/>
                <w:szCs w:val="20"/>
                <w:color w:val="auto"/>
              </w:rPr>
            </w:pPr>
            <w:r>
              <w:rPr>
                <w:rFonts w:ascii="Arial" w:cs="Arial" w:eastAsia="Arial" w:hAnsi="Arial"/>
                <w:sz w:val="18"/>
                <w:szCs w:val="18"/>
                <w:color w:val="auto"/>
                <w:w w:val="98"/>
              </w:rPr>
              <w:t>504,445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672,594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502,795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670,394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 to Risk Weighted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1,320,187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15.70 %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40"/>
              <w:spacing w:after="0"/>
              <w:rPr>
                <w:sz w:val="20"/>
                <w:szCs w:val="20"/>
                <w:color w:val="auto"/>
              </w:rPr>
            </w:pPr>
            <w:r>
              <w:rPr>
                <w:rFonts w:ascii="Arial" w:cs="Arial" w:eastAsia="Arial" w:hAnsi="Arial"/>
                <w:sz w:val="18"/>
                <w:szCs w:val="18"/>
                <w:color w:val="auto"/>
                <w:w w:val="98"/>
              </w:rPr>
              <w:t>672,594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840,742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1,306,616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670,394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Leverage Ratio of Tier 1 Capital to Average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1,069,874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40"/>
              <w:spacing w:after="0"/>
              <w:rPr>
                <w:sz w:val="20"/>
                <w:szCs w:val="20"/>
                <w:color w:val="auto"/>
              </w:rPr>
            </w:pPr>
            <w:r>
              <w:rPr>
                <w:rFonts w:ascii="Arial" w:cs="Arial" w:eastAsia="Arial" w:hAnsi="Arial"/>
                <w:sz w:val="18"/>
                <w:szCs w:val="18"/>
                <w:color w:val="auto"/>
                <w:w w:val="98"/>
              </w:rPr>
              <w:t>502,336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ind w:left="580"/>
              <w:spacing w:after="0"/>
              <w:rPr>
                <w:sz w:val="20"/>
                <w:szCs w:val="20"/>
                <w:color w:val="auto"/>
              </w:rPr>
            </w:pPr>
            <w:r>
              <w:rPr>
                <w:rFonts w:ascii="Arial" w:cs="Arial" w:eastAsia="Arial" w:hAnsi="Arial"/>
                <w:sz w:val="18"/>
                <w:szCs w:val="18"/>
                <w:color w:val="auto"/>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501,104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626,379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7"/>
        </w:trPr>
        <w:tc>
          <w:tcPr>
            <w:tcW w:w="3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Conservation Buffer</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Common Equity Tier 1 Capital to risk-weighted assets of at least 7.0%, (ii) Tier 1 Capital to risk-weighted assets of at least 8.5%, and (iii) Total capital to risk-weighted assets of at least 10.5%.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outstanding stock options assumed from acquisitions. A summary of the status of, and changes in, the Company's stock option awards for the nine months ended September 30, 2022,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76"/>
        </w:trPr>
        <w:tc>
          <w:tcPr>
            <w:tcW w:w="6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6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r>
      <w:tr>
        <w:trPr>
          <w:trHeight w:val="175"/>
        </w:trPr>
        <w:tc>
          <w:tcPr>
            <w:tcW w:w="6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r>
      <w:tr>
        <w:trPr>
          <w:trHeight w:val="186"/>
        </w:trPr>
        <w:tc>
          <w:tcPr>
            <w:tcW w:w="6600" w:type="dxa"/>
            <w:vAlign w:val="bottom"/>
          </w:tcPr>
          <w:p>
            <w:pPr>
              <w:spacing w:after="0"/>
              <w:rPr>
                <w:sz w:val="16"/>
                <w:szCs w:val="16"/>
                <w:color w:val="auto"/>
              </w:rPr>
            </w:pPr>
          </w:p>
        </w:tc>
        <w:tc>
          <w:tcPr>
            <w:tcW w:w="960" w:type="dxa"/>
            <w:vAlign w:val="bottom"/>
          </w:tcPr>
          <w:p>
            <w:pPr>
              <w:ind w:left="540"/>
              <w:spacing w:after="0"/>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39"/>
        </w:trPr>
        <w:tc>
          <w:tcPr>
            <w:tcW w:w="66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2021</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31,386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43"/>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Expired</w:t>
            </w:r>
          </w:p>
        </w:tc>
        <w:tc>
          <w:tcPr>
            <w:tcW w:w="5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4"/>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outstanding at September 30, 2022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30,946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exercisable at September 30, 2022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30,946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7"/>
        </w:trPr>
        <w:tc>
          <w:tcPr>
            <w:tcW w:w="6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Plan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2020 Equity Plan, the Company has granted RSU, PSU, and DSU awards. Upon vesting/delivery, shares are expected (though not required) to be issued from treasury.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RSUs to members of management periodically throughout the year. Each RSU is equivalent to one share of the Company’s common stock. These units have requisite service periods ranging from one year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PSU Awards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grants PSU awards to members of management periodically throughout the year. Each PSU is equivalent to one share of the Company’s common stock. The number of units that ultimately vest will be determined based on the achievement of the market or other performance goals, subject to accelerated service-based vesting conditions upon eligible retirement from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DSU Awards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grants DSUs, which are restricted stock units with a deferred settlement date, to its directors and advisory directors. Each DSU is equivalent to one share of the Company’s common stock. DSUs vest over a one-year period following the grant date. These units generally are subject to the same terms as RSUs under the 2020 Equity Plan, except that, following vesting, settlement occurs within 30 days following the earlier of separation from the board or a change in control of the Company. After vesting and prior to delivery, these units will continue to earn dividend equivalents.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 Grants and Activity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the Company’s RSU, PSU, and DSU awards for the nine months ended September 30, 2022,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900" w:type="dxa"/>
            <w:vAlign w:val="bottom"/>
            <w:gridSpan w:val="5"/>
          </w:tcPr>
          <w:p>
            <w:pPr>
              <w:ind w:left="1000"/>
              <w:spacing w:after="0"/>
              <w:rPr>
                <w:sz w:val="20"/>
                <w:szCs w:val="20"/>
                <w:color w:val="auto"/>
              </w:rPr>
            </w:pPr>
            <w:r>
              <w:rPr>
                <w:rFonts w:ascii="Arial" w:cs="Arial" w:eastAsia="Arial" w:hAnsi="Arial"/>
                <w:sz w:val="14"/>
                <w:szCs w:val="14"/>
                <w:b w:val="1"/>
                <w:bCs w:val="1"/>
                <w:color w:val="auto"/>
              </w:rPr>
              <w:t>RSU Awards</w:t>
            </w:r>
          </w:p>
        </w:tc>
        <w:tc>
          <w:tcPr>
            <w:tcW w:w="2880" w:type="dxa"/>
            <w:vAlign w:val="bottom"/>
            <w:gridSpan w:val="5"/>
          </w:tcPr>
          <w:p>
            <w:pPr>
              <w:ind w:left="1000"/>
              <w:spacing w:after="0"/>
              <w:rPr>
                <w:sz w:val="20"/>
                <w:szCs w:val="20"/>
                <w:color w:val="auto"/>
              </w:rPr>
            </w:pPr>
            <w:r>
              <w:rPr>
                <w:rFonts w:ascii="Arial" w:cs="Arial" w:eastAsia="Arial" w:hAnsi="Arial"/>
                <w:sz w:val="14"/>
                <w:szCs w:val="14"/>
                <w:b w:val="1"/>
                <w:bCs w:val="1"/>
                <w:color w:val="auto"/>
              </w:rPr>
              <w:t>PSU Awards</w:t>
            </w:r>
          </w:p>
        </w:tc>
        <w:tc>
          <w:tcPr>
            <w:tcW w:w="2800" w:type="dxa"/>
            <w:vAlign w:val="bottom"/>
            <w:gridSpan w:val="4"/>
          </w:tcPr>
          <w:p>
            <w:pPr>
              <w:jc w:val="right"/>
              <w:ind w:right="917"/>
              <w:spacing w:after="0"/>
              <w:rPr>
                <w:sz w:val="20"/>
                <w:szCs w:val="20"/>
                <w:color w:val="auto"/>
              </w:rPr>
            </w:pPr>
            <w:r>
              <w:rPr>
                <w:rFonts w:ascii="Arial" w:cs="Arial" w:eastAsia="Arial" w:hAnsi="Arial"/>
                <w:sz w:val="14"/>
                <w:szCs w:val="14"/>
                <w:b w:val="1"/>
                <w:bCs w:val="1"/>
                <w:color w:val="auto"/>
              </w:rPr>
              <w:t>DSU Awards</w:t>
            </w: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c>
          <w:tcPr>
            <w:tcW w:w="14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9"/>
                <w:szCs w:val="9"/>
                <w:b w:val="1"/>
                <w:bCs w:val="1"/>
                <w:color w:val="auto"/>
              </w:rPr>
              <w:t>1</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c>
          <w:tcPr>
            <w:tcW w:w="14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
        </w:trPr>
        <w:tc>
          <w:tcPr>
            <w:tcW w:w="26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Nonvested at December 31, 2021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1,147,927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43"/>
        </w:trPr>
        <w:tc>
          <w:tcPr>
            <w:tcW w:w="26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156,483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32,658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Dividend equivalents earned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43"/>
        </w:trPr>
        <w:tc>
          <w:tcPr>
            <w:tcW w:w="2660" w:type="dxa"/>
            <w:vAlign w:val="bottom"/>
          </w:tcPr>
          <w:p>
            <w:pPr>
              <w:ind w:left="26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(152,992)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(40,140)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660" w:type="dxa"/>
            <w:vAlign w:val="bottom"/>
          </w:tcPr>
          <w:p>
            <w:pPr>
              <w:ind w:left="20"/>
              <w:spacing w:after="0"/>
              <w:rPr>
                <w:sz w:val="20"/>
                <w:szCs w:val="20"/>
                <w:color w:val="auto"/>
              </w:rPr>
            </w:pPr>
            <w:r>
              <w:rPr>
                <w:rFonts w:ascii="Arial" w:cs="Arial" w:eastAsia="Arial" w:hAnsi="Arial"/>
                <w:sz w:val="18"/>
                <w:szCs w:val="18"/>
                <w:color w:val="auto"/>
                <w:w w:val="95"/>
              </w:rPr>
              <w:t>Nonvested at September 30, 2022</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1,149,936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304,599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8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30,809</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Vested and outstanding at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September 30, 2022</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116,285</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5513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Shares for PSU awards represent target shares at grant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2022, under the terms of the 2020 Equity Plan, the Company granted 156,483 RSUs to members of management. The grant date fair value of the award totaled $4.0 million and will be recognized as compensation expense over the requisite service period ranging from one year to five years. The terms of these awards included an accelerated vesting provision upon eligible retirement from the Company, after a one-year minimum requisite service period. Subsequent to the requisite service period, the awards will become 100% vested.</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2022, the Company granted a target of 78,233 market-based PSUs with a maximum award of 125,173 units. The actual number of units issued at the vesting date could range from 0% to 160% of the initial grant, depending on attaining a market-based total shareholder return performance goal. The grant date fair value of the award is $2.1 million and will be recognized in compensation expense over the performance period ending December 31, 2024.</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23, 2022, the Company granted a target of 78,233 performance-based PSUs with a maximum award of 125,173 units. The actual number of units issued at the vesting date could range from 0% to 160% of the initial grant, depending on attaining a core return on average tangible common equity performance goal. The grant date fair value of the award is $2.0 million and will be recognized in compensation expense over the performance period ending December 31, 2024. The actual amount of compensation expense recognized may vary, subject to achievement of the performance goal.</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on March 23, 2022, the Company granted a target of 38,774 PSUs with a maximum award of 77,548 units. The actual number of units issued at the vesting date could range from 0% to 200% of the initial grant, depending on attaining a performance goal based upon the compounded annual revenue growth rate of the FirsTech operating segment. The grant date fair value of the award is $1.0 million and will be recognized in compensation expense over the performance period ending December 31, 2024, subject to achievement of the performance goal.</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23, 2022, the Company granted 32,658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First Busey Corporation 2021 ESPP was approved at the Company’s 2021 Annual Meeting of Stockholders and details can be found within First Busey’s Definitive Proxy Statement filed with the SEC on April 8, 2021. The purpose of the 2021 ESPP is to provide a means through which our employees may acquire a proprietary interest in the Company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 The plan initially reserved for issuance and purchase an aggregate of 600,000 shares of the Company’s common stock. The first offering under this plan began on July 1,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did not record any stock option compensation expense for the three or nine months ended September 30, 2022, or 2021. As of September 30, 2022, the Company did not have any unrecognized stock option compensation expense.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recognized compensation expense related to nonvested RSU, PSU, and DSU awards, as well as the 2021 ESPP, as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24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24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39"/>
        </w:trPr>
        <w:tc>
          <w:tcPr>
            <w:tcW w:w="2460" w:type="dxa"/>
            <w:vAlign w:val="bottom"/>
            <w:tcBorders>
              <w:bottom w:val="single" w:sz="8" w:color="CCEEFF"/>
            </w:tcBorders>
          </w:tcPr>
          <w:p>
            <w:pPr>
              <w:spacing w:after="0"/>
              <w:rPr>
                <w:sz w:val="3"/>
                <w:szCs w:val="3"/>
                <w:color w:val="auto"/>
              </w:rPr>
            </w:pPr>
          </w:p>
        </w:tc>
        <w:tc>
          <w:tcPr>
            <w:tcW w:w="2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RSU awards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4,362</w:t>
            </w:r>
          </w:p>
        </w:tc>
      </w:tr>
      <w:tr>
        <w:trPr>
          <w:trHeight w:val="27"/>
        </w:trPr>
        <w:tc>
          <w:tcPr>
            <w:tcW w:w="2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PSU awards</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43"/>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DSU awards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7"/>
        </w:trPr>
        <w:tc>
          <w:tcPr>
            <w:tcW w:w="2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2021 ESPP</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2,476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5,776</w:t>
            </w:r>
          </w:p>
        </w:tc>
      </w:tr>
      <w:tr>
        <w:trPr>
          <w:trHeight w:val="21"/>
        </w:trPr>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01"/>
        </w:trPr>
        <w:tc>
          <w:tcPr>
            <w:tcW w:w="246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116" w:lineRule="exact"/>
        <w:rPr>
          <w:sz w:val="20"/>
          <w:szCs w:val="20"/>
          <w:color w:val="auto"/>
        </w:rPr>
      </w:pPr>
    </w:p>
    <w:p>
      <w:pPr>
        <w:ind w:left="340" w:hanging="202"/>
        <w:spacing w:after="0" w:line="293" w:lineRule="auto"/>
        <w:tabs>
          <w:tab w:leader="none" w:pos="335" w:val="left"/>
        </w:tabs>
        <w:numPr>
          <w:ilvl w:val="0"/>
          <w:numId w:val="5"/>
        </w:numPr>
        <w:rPr>
          <w:rFonts w:ascii="Arial" w:cs="Arial" w:eastAsia="Arial" w:hAnsi="Arial"/>
          <w:sz w:val="14"/>
          <w:szCs w:val="14"/>
          <w:color w:val="auto"/>
        </w:rPr>
      </w:pPr>
      <w:r>
        <w:rPr>
          <w:rFonts w:ascii="Arial" w:cs="Arial" w:eastAsia="Arial" w:hAnsi="Arial"/>
          <w:sz w:val="14"/>
          <w:szCs w:val="14"/>
          <w:color w:val="auto"/>
        </w:rPr>
        <w:t>Expense for market-based PSU awards represents amounts based on target shares at grant date. Expense for performance-based PSU awards represents amounts based on target shares at grant date, adjusted for performance expectations as of the date indicated.</w:t>
      </w:r>
    </w:p>
    <w:p>
      <w:pPr>
        <w:sectPr>
          <w:pgSz w:w="11900" w:h="16838" w:orient="portrait"/>
          <w:cols w:equalWidth="0" w:num="1">
            <w:col w:w="11240"/>
          </w:cols>
          <w:pgMar w:left="320" w:top="301" w:right="33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Unamortized compensation expense related to nonvested RSU, PSU, and DSU awards is summarized in the table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57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246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24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39"/>
        </w:trPr>
        <w:tc>
          <w:tcPr>
            <w:tcW w:w="2460" w:type="dxa"/>
            <w:vAlign w:val="bottom"/>
            <w:tcBorders>
              <w:bottom w:val="single" w:sz="8" w:color="CCEEFF"/>
            </w:tcBorders>
          </w:tcPr>
          <w:p>
            <w:pPr>
              <w:spacing w:after="0"/>
              <w:rPr>
                <w:sz w:val="3"/>
                <w:szCs w:val="3"/>
                <w:color w:val="auto"/>
              </w:rPr>
            </w:pPr>
          </w:p>
        </w:tc>
        <w:tc>
          <w:tcPr>
            <w:tcW w:w="57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stock-based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RSU awards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10,204</w:t>
            </w:r>
          </w:p>
        </w:tc>
      </w:tr>
      <w:tr>
        <w:trPr>
          <w:trHeight w:val="27"/>
        </w:trPr>
        <w:tc>
          <w:tcPr>
            <w:tcW w:w="24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PSU awards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43"/>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DSU awards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24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unamortized stock-based compensation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4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period over which expense is to be recognized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2.6 yrs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yrs</w:t>
            </w:r>
          </w:p>
        </w:tc>
      </w:tr>
      <w:tr>
        <w:trPr>
          <w:trHeight w:val="122"/>
        </w:trPr>
        <w:tc>
          <w:tcPr>
            <w:tcW w:w="2460" w:type="dxa"/>
            <w:vAlign w:val="bottom"/>
            <w:tcBorders>
              <w:bottom w:val="single" w:sz="8" w:color="auto"/>
            </w:tcBorders>
          </w:tcPr>
          <w:p>
            <w:pPr>
              <w:spacing w:after="0"/>
              <w:rPr>
                <w:sz w:val="10"/>
                <w:szCs w:val="10"/>
                <w:color w:val="auto"/>
              </w:rPr>
            </w:pPr>
          </w:p>
        </w:tc>
        <w:tc>
          <w:tcPr>
            <w:tcW w:w="5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103" w:lineRule="exact"/>
        <w:rPr>
          <w:sz w:val="20"/>
          <w:szCs w:val="20"/>
          <w:color w:val="auto"/>
        </w:rPr>
      </w:pPr>
    </w:p>
    <w:p>
      <w:pPr>
        <w:ind w:left="340" w:hanging="202"/>
        <w:spacing w:after="0" w:line="293" w:lineRule="auto"/>
        <w:tabs>
          <w:tab w:leader="none" w:pos="335" w:val="left"/>
        </w:tabs>
        <w:numPr>
          <w:ilvl w:val="0"/>
          <w:numId w:val="6"/>
        </w:numPr>
        <w:rPr>
          <w:rFonts w:ascii="Arial" w:cs="Arial" w:eastAsia="Arial" w:hAnsi="Arial"/>
          <w:sz w:val="14"/>
          <w:szCs w:val="14"/>
          <w:color w:val="auto"/>
        </w:rPr>
      </w:pPr>
      <w:r>
        <w:rPr>
          <w:rFonts w:ascii="Arial" w:cs="Arial" w:eastAsia="Arial" w:hAnsi="Arial"/>
          <w:sz w:val="14"/>
          <w:szCs w:val="14"/>
          <w:color w:val="auto"/>
        </w:rPr>
        <w:t>Unamortized expense for market-based PSU awards represents amounts based on target shares at grant date. Unamortized expense for performance-based PSU awards represents amounts based on target shares at grant date, adjusted for performance expectations as of the date indicated.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 Under Stock-based Compensation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Shares remaining available for issuance pursuant to authorized stock-based compensation plans were as follows as of September 30,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Shares Remaining</w:t>
            </w:r>
          </w:p>
        </w:tc>
        <w:tc>
          <w:tcPr>
            <w:tcW w:w="0" w:type="dxa"/>
            <w:vAlign w:val="bottom"/>
          </w:tcPr>
          <w:p>
            <w:pPr>
              <w:spacing w:after="0"/>
              <w:rPr>
                <w:sz w:val="1"/>
                <w:szCs w:val="1"/>
                <w:color w:val="auto"/>
              </w:rPr>
            </w:pPr>
          </w:p>
        </w:tc>
      </w:tr>
      <w:tr>
        <w:trPr>
          <w:trHeight w:val="176"/>
        </w:trPr>
        <w:tc>
          <w:tcPr>
            <w:tcW w:w="4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4"/>
              </w:rPr>
              <w:t>Plan</w:t>
            </w:r>
          </w:p>
        </w:tc>
        <w:tc>
          <w:tcPr>
            <w:tcW w:w="9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Available for Issuance</w:t>
            </w:r>
          </w:p>
        </w:tc>
        <w:tc>
          <w:tcPr>
            <w:tcW w:w="0" w:type="dxa"/>
            <w:vAlign w:val="bottom"/>
          </w:tcPr>
          <w:p>
            <w:pPr>
              <w:spacing w:after="0"/>
              <w:rPr>
                <w:sz w:val="1"/>
                <w:szCs w:val="1"/>
                <w:color w:val="auto"/>
              </w:rPr>
            </w:pPr>
          </w:p>
        </w:tc>
      </w:tr>
      <w:tr>
        <w:trPr>
          <w:trHeight w:val="198"/>
        </w:trPr>
        <w:tc>
          <w:tcPr>
            <w:tcW w:w="400" w:type="dxa"/>
            <w:vAlign w:val="bottom"/>
            <w:vMerge w:val="continue"/>
          </w:tcPr>
          <w:p>
            <w:pPr>
              <w:spacing w:after="0"/>
              <w:rPr>
                <w:sz w:val="17"/>
                <w:szCs w:val="17"/>
                <w:color w:val="auto"/>
              </w:rPr>
            </w:pPr>
          </w:p>
        </w:tc>
        <w:tc>
          <w:tcPr>
            <w:tcW w:w="9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Pursuant to the Plan</w:t>
            </w:r>
          </w:p>
        </w:tc>
        <w:tc>
          <w:tcPr>
            <w:tcW w:w="0" w:type="dxa"/>
            <w:vAlign w:val="bottom"/>
          </w:tcPr>
          <w:p>
            <w:pPr>
              <w:spacing w:after="0"/>
              <w:rPr>
                <w:sz w:val="1"/>
                <w:szCs w:val="1"/>
                <w:color w:val="auto"/>
              </w:rPr>
            </w:pPr>
          </w:p>
        </w:tc>
      </w:tr>
      <w:tr>
        <w:trPr>
          <w:trHeight w:val="27"/>
        </w:trPr>
        <w:tc>
          <w:tcPr>
            <w:tcW w:w="400" w:type="dxa"/>
            <w:vAlign w:val="bottom"/>
            <w:tcBorders>
              <w:bottom w:val="single" w:sz="8" w:color="auto"/>
            </w:tcBorders>
          </w:tcPr>
          <w:p>
            <w:pPr>
              <w:spacing w:after="0"/>
              <w:rPr>
                <w:sz w:val="2"/>
                <w:szCs w:val="2"/>
                <w:color w:val="auto"/>
              </w:rPr>
            </w:pPr>
          </w:p>
        </w:tc>
        <w:tc>
          <w:tcPr>
            <w:tcW w:w="9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Plan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645,563</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9360" w:type="dxa"/>
            <w:vAlign w:val="bottom"/>
            <w:gridSpan w:val="2"/>
          </w:tcPr>
          <w:p>
            <w:pPr>
              <w:ind w:left="40"/>
              <w:spacing w:after="0"/>
              <w:rPr>
                <w:sz w:val="20"/>
                <w:szCs w:val="20"/>
                <w:color w:val="auto"/>
              </w:rPr>
            </w:pPr>
            <w:r>
              <w:rPr>
                <w:rFonts w:ascii="Arial" w:cs="Arial" w:eastAsia="Arial" w:hAnsi="Arial"/>
                <w:sz w:val="18"/>
                <w:szCs w:val="18"/>
                <w:color w:val="auto"/>
              </w:rPr>
              <w:t>Employee Stock Purchase Plan</w:t>
            </w:r>
          </w:p>
        </w:tc>
        <w:tc>
          <w:tcPr>
            <w:tcW w:w="1480" w:type="dxa"/>
            <w:vAlign w:val="bottom"/>
          </w:tcPr>
          <w:p>
            <w:pPr>
              <w:jc w:val="right"/>
              <w:spacing w:after="0"/>
              <w:rPr>
                <w:sz w:val="20"/>
                <w:szCs w:val="20"/>
                <w:color w:val="auto"/>
              </w:rPr>
            </w:pPr>
            <w:r>
              <w:rPr>
                <w:rFonts w:ascii="Arial" w:cs="Arial" w:eastAsia="Arial" w:hAnsi="Arial"/>
                <w:sz w:val="18"/>
                <w:szCs w:val="18"/>
                <w:color w:val="auto"/>
              </w:rPr>
              <w:t>519,577</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Outstanding Commitments and Contingent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Company’s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Commitments and Contingencies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3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538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Financial instruments whose contract amounts represent credit risk</w:t>
            </w:r>
          </w:p>
        </w:tc>
        <w:tc>
          <w:tcPr>
            <w:tcW w:w="2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60"/>
              <w:spacing w:after="0"/>
              <w:rPr>
                <w:sz w:val="20"/>
                <w:szCs w:val="20"/>
                <w:color w:val="auto"/>
              </w:rPr>
            </w:pPr>
            <w:r>
              <w:rPr>
                <w:rFonts w:ascii="Arial" w:cs="Arial" w:eastAsia="Arial" w:hAnsi="Arial"/>
                <w:sz w:val="18"/>
                <w:szCs w:val="18"/>
                <w:color w:val="auto"/>
              </w:rPr>
              <w:t>Commitments to extend credit</w:t>
            </w:r>
          </w:p>
        </w:tc>
        <w:tc>
          <w:tcPr>
            <w:tcW w:w="3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2,024,255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1,983,655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Standby letters of credit</w:t>
            </w:r>
          </w:p>
        </w:tc>
        <w:tc>
          <w:tcPr>
            <w:tcW w:w="2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32,552</w:t>
            </w:r>
          </w:p>
        </w:tc>
        <w:tc>
          <w:tcPr>
            <w:tcW w:w="0" w:type="dxa"/>
            <w:vAlign w:val="bottom"/>
          </w:tcPr>
          <w:p>
            <w:pPr>
              <w:spacing w:after="0"/>
              <w:rPr>
                <w:sz w:val="1"/>
                <w:szCs w:val="1"/>
                <w:color w:val="auto"/>
              </w:rPr>
            </w:pPr>
          </w:p>
        </w:tc>
      </w:tr>
      <w:tr>
        <w:trPr>
          <w:trHeight w:val="264"/>
        </w:trPr>
        <w:tc>
          <w:tcPr>
            <w:tcW w:w="5380" w:type="dxa"/>
            <w:vAlign w:val="bottom"/>
          </w:tcPr>
          <w:p>
            <w:pPr>
              <w:ind w:left="20"/>
              <w:spacing w:after="0"/>
              <w:rPr>
                <w:sz w:val="20"/>
                <w:szCs w:val="20"/>
                <w:color w:val="auto"/>
              </w:rPr>
            </w:pPr>
            <w:r>
              <w:rPr>
                <w:rFonts w:ascii="Arial" w:cs="Arial" w:eastAsia="Arial" w:hAnsi="Arial"/>
                <w:sz w:val="18"/>
                <w:szCs w:val="18"/>
                <w:color w:val="auto"/>
              </w:rPr>
              <w:t>Total commitments</w:t>
            </w:r>
          </w:p>
        </w:tc>
        <w:tc>
          <w:tcPr>
            <w:tcW w:w="28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2,056,188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2,016,207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0" w:type="dxa"/>
            <w:vAlign w:val="bottom"/>
            <w:vMerge w:val="restart"/>
          </w:tcPr>
          <w:p>
            <w:pPr>
              <w:jc w:val="right"/>
              <w:ind w:right="2370"/>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3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3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w:t>
      </w:r>
      <w:r>
        <w:rPr>
          <w:rFonts w:ascii="Arial" w:cs="Arial" w:eastAsia="Arial" w:hAnsi="Arial"/>
          <w:sz w:val="17"/>
          <w:szCs w:val="17"/>
          <w:i w:val="1"/>
          <w:iCs w:val="1"/>
          <w:u w:val="single" w:color="auto"/>
          <w:color w:val="0000FF"/>
        </w:rPr>
        <w:t>Note 11: Fair Value Measurements</w:t>
      </w:r>
      <w:r>
        <w:rPr>
          <w:rFonts w:ascii="Arial" w:cs="Arial" w:eastAsia="Arial" w:hAnsi="Arial"/>
          <w:sz w:val="17"/>
          <w:szCs w:val="17"/>
          <w:color w:val="auto"/>
        </w:rPr>
        <w:t>” for further discussion of the fair value measurement of such derivatives.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secure its obligations under derivative contracts, the Company pledged cash and held collateral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pledged to secure obligations under derivative contracts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36,048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Collateral held to secure obligations under derivative contracts</w:t>
            </w:r>
          </w:p>
        </w:tc>
        <w:tc>
          <w:tcPr>
            <w:tcW w:w="200" w:type="dxa"/>
            <w:vAlign w:val="bottom"/>
          </w:tcPr>
          <w:p>
            <w:pPr>
              <w:spacing w:after="0"/>
              <w:rPr>
                <w:sz w:val="21"/>
                <w:szCs w:val="21"/>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31,550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Designated as Cash Flow Hedges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Swaps Designated as Cash Flow Hedges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Interest rate swaps with notional amounts totaling $350.0 million as of September 30, 2022, and $50.0 million as of December 31, 2021, were designated as cash flow hedges. The Company entered into one $50.0 million interest rate swap to hedge the risks of variability in cash flows (future interest payments) attributable to changes in the contractually specified 3-month LIBOR benchmark interest rate on the Company’s junior subordinated debt owed to unconsolidated trusts (Debt Swap). In addition, during the first quarter of 2022, the Company entered into one $300.0 million receive fixed pay floating interest rate swap to reduce our asset sensitivity (Loan Swap). We added duration to our loan portfolio by fixing a portion of our floating prime based loans. Interest rates had risen above their historical lows allowing us to lock in a portion of our loan portfolio to reduce asset sensitivity while creating a more stable margin in a volatile rate market. These hedges were determined to be highly effective during the period, and the Company expects its hedges to remain highly effective during the remaining terms of the swaps. Changes in fair value were recorded net of tax in OCI.</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interest-rate swaps designated as cash flow hedges is presented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5"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34290</wp:posOffset>
            </wp:positionV>
            <wp:extent cx="2100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36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5360" w:type="dxa"/>
            <w:vAlign w:val="bottom"/>
          </w:tcPr>
          <w:p>
            <w:pPr>
              <w:spacing w:after="0"/>
              <w:rPr>
                <w:sz w:val="16"/>
                <w:szCs w:val="16"/>
                <w:color w:val="auto"/>
              </w:rPr>
            </w:pPr>
          </w:p>
        </w:tc>
        <w:tc>
          <w:tcPr>
            <w:tcW w:w="2580" w:type="dxa"/>
            <w:vAlign w:val="bottom"/>
          </w:tcPr>
          <w:p>
            <w:pPr>
              <w:ind w:left="144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138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39"/>
        </w:trPr>
        <w:tc>
          <w:tcPr>
            <w:tcW w:w="5360" w:type="dxa"/>
            <w:vAlign w:val="bottom"/>
            <w:tcBorders>
              <w:bottom w:val="single" w:sz="8" w:color="CCEEFF"/>
            </w:tcBorders>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Swap</w:t>
            </w:r>
          </w:p>
        </w:tc>
        <w:tc>
          <w:tcPr>
            <w:tcW w:w="2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Notional amount</w:t>
            </w:r>
          </w:p>
        </w:tc>
        <w:tc>
          <w:tcPr>
            <w:tcW w:w="25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50,000</w:t>
            </w:r>
          </w:p>
        </w:tc>
      </w:tr>
      <w:tr>
        <w:trPr>
          <w:trHeight w:val="27"/>
        </w:trPr>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fixed pay rates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Weighted average variable 3-month LIBOR receive rates</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0.20 %</w:t>
            </w:r>
          </w:p>
        </w:tc>
      </w:tr>
      <w:tr>
        <w:trPr>
          <w:trHeight w:val="27"/>
        </w:trPr>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maturity, in years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1.96 yrs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 yrs</w:t>
            </w:r>
          </w:p>
        </w:tc>
      </w:tr>
      <w:tr>
        <w:trPr>
          <w:trHeight w:val="270"/>
        </w:trPr>
        <w:tc>
          <w:tcPr>
            <w:tcW w:w="53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 Swap</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Notional amount</w:t>
            </w:r>
          </w:p>
        </w:tc>
        <w:tc>
          <w:tcPr>
            <w:tcW w:w="25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fixed receive rates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Weighted average variable Prime pay rates</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maturity, in years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6.35 yrs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70"/>
        </w:trPr>
        <w:tc>
          <w:tcPr>
            <w:tcW w:w="53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aggregate fair value of the swaps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Gross aggregate fair value of swap assets</w:t>
            </w:r>
          </w:p>
        </w:tc>
        <w:tc>
          <w:tcPr>
            <w:tcW w:w="2580" w:type="dxa"/>
            <w:vAlign w:val="bottom"/>
          </w:tcPr>
          <w:p>
            <w:pPr>
              <w:ind w:left="98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aggregate fair value of swap liabilities</w:t>
            </w:r>
          </w:p>
        </w:tc>
        <w:tc>
          <w:tcPr>
            <w:tcW w:w="25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34,515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958</w:t>
            </w:r>
          </w:p>
        </w:tc>
      </w:tr>
      <w:tr>
        <w:trPr>
          <w:trHeight w:val="270"/>
        </w:trPr>
        <w:tc>
          <w:tcPr>
            <w:tcW w:w="53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carried in AOCI</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Unrealized gains (losses) on cash flow hedges, net of tax</w:t>
            </w:r>
          </w:p>
        </w:tc>
        <w:tc>
          <w:tcPr>
            <w:tcW w:w="2580" w:type="dxa"/>
            <w:vAlign w:val="bottom"/>
          </w:tcPr>
          <w:p>
            <w:pPr>
              <w:ind w:left="980"/>
              <w:spacing w:after="0"/>
              <w:rPr>
                <w:sz w:val="20"/>
                <w:szCs w:val="20"/>
                <w:color w:val="auto"/>
              </w:rPr>
            </w:pPr>
            <w:r>
              <w:rPr>
                <w:rFonts w:ascii="Arial" w:cs="Arial" w:eastAsia="Arial" w:hAnsi="Arial"/>
                <w:sz w:val="18"/>
                <w:szCs w:val="18"/>
                <w:color w:val="auto"/>
              </w:rPr>
              <w:t>AOCI</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(22,770)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(685)</w:t>
            </w: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expects to reclassify unrealized gains and losses from OCI to interest income and interest expense as shown in the following table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 Amounts actually recognized could differ from these expectations due to changes in interest rates, hedge de-designations, and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hedges subsequent to September 30,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219"/>
        </w:trPr>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39"/>
        </w:trPr>
        <w:tc>
          <w:tcPr>
            <w:tcW w:w="5620" w:type="dxa"/>
            <w:vAlign w:val="bottom"/>
            <w:tcBorders>
              <w:bottom w:val="single" w:sz="8" w:color="CCEEFF"/>
            </w:tcBorders>
            <w:gridSpan w:val="2"/>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3"/>
              </w:rPr>
              <w:t>Unrealized gains (losses) in OCI expected to be recognized in income</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40"/>
              <w:spacing w:after="0"/>
              <w:rPr>
                <w:sz w:val="20"/>
                <w:szCs w:val="20"/>
                <w:color w:val="auto"/>
              </w:rPr>
            </w:pPr>
            <w:r>
              <w:rPr>
                <w:rFonts w:ascii="Arial" w:cs="Arial" w:eastAsia="Arial" w:hAnsi="Arial"/>
                <w:sz w:val="18"/>
                <w:szCs w:val="18"/>
                <w:color w:val="auto"/>
                <w:w w:val="92"/>
              </w:rPr>
              <w:t>Unrealized gains expected to be reclassified from OCI to interest income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0"/>
              </w:rPr>
              <w:t>Unrealized losses expected to be reclassified from OCI to interest expense</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63"/>
        </w:trPr>
        <w:tc>
          <w:tcPr>
            <w:tcW w:w="6620" w:type="dxa"/>
            <w:vAlign w:val="bottom"/>
            <w:gridSpan w:val="4"/>
          </w:tcPr>
          <w:p>
            <w:pPr>
              <w:ind w:left="20"/>
              <w:spacing w:after="0"/>
              <w:rPr>
                <w:sz w:val="20"/>
                <w:szCs w:val="20"/>
                <w:color w:val="auto"/>
              </w:rPr>
            </w:pPr>
            <w:r>
              <w:rPr>
                <w:rFonts w:ascii="Arial" w:cs="Arial" w:eastAsia="Arial" w:hAnsi="Arial"/>
                <w:sz w:val="18"/>
                <w:szCs w:val="18"/>
                <w:color w:val="auto"/>
                <w:w w:val="96"/>
              </w:rPr>
              <w:t>Net unrealized gains (losses) in OCI expected to be recognized in net interest income</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8540" w:type="dxa"/>
            <w:vAlign w:val="bottom"/>
            <w:gridSpan w:val="8"/>
            <w:vMerge w:val="restart"/>
          </w:tcPr>
          <w:p>
            <w:pPr>
              <w:spacing w:after="0"/>
              <w:rPr>
                <w:sz w:val="20"/>
                <w:szCs w:val="20"/>
                <w:color w:val="auto"/>
              </w:rPr>
            </w:pPr>
            <w:r>
              <w:rPr>
                <w:rFonts w:ascii="Arial" w:cs="Arial" w:eastAsia="Arial" w:hAnsi="Arial"/>
                <w:sz w:val="18"/>
                <w:szCs w:val="18"/>
                <w:color w:val="auto"/>
                <w:w w:val="90"/>
              </w:rPr>
              <w:t xml:space="preserve">Interest expense recorded on these swap transactions was as follows for the periods presented </w:t>
            </w:r>
            <w:r>
              <w:rPr>
                <w:rFonts w:ascii="Arial" w:cs="Arial" w:eastAsia="Arial" w:hAnsi="Arial"/>
                <w:sz w:val="18"/>
                <w:szCs w:val="18"/>
                <w:i w:val="1"/>
                <w:iCs w:val="1"/>
                <w:color w:val="auto"/>
                <w:w w:val="90"/>
              </w:rPr>
              <w:t>(dollars in thousands)</w:t>
            </w:r>
            <w:r>
              <w:rPr>
                <w:rFonts w:ascii="Arial" w:cs="Arial" w:eastAsia="Arial" w:hAnsi="Arial"/>
                <w:sz w:val="18"/>
                <w:szCs w:val="18"/>
                <w:color w:val="auto"/>
                <w:w w:val="90"/>
              </w:rPr>
              <w:t>:</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8540" w:type="dxa"/>
            <w:vAlign w:val="bottom"/>
            <w:gridSpan w:val="8"/>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060" w:type="dxa"/>
            <w:vAlign w:val="bottom"/>
          </w:tcPr>
          <w:p>
            <w:pPr>
              <w:spacing w:after="0"/>
              <w:rPr>
                <w:sz w:val="24"/>
                <w:szCs w:val="24"/>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24"/>
                <w:szCs w:val="24"/>
                <w:color w:val="auto"/>
              </w:rPr>
            </w:pPr>
          </w:p>
        </w:tc>
        <w:tc>
          <w:tcPr>
            <w:tcW w:w="270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50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on swap transactions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reflects the net gains (losses) relating to cash flow derivative instruments that were recorded in AOCI and the unaudited Consolidated Statements of Income during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39"/>
        </w:trPr>
        <w:tc>
          <w:tcPr>
            <w:tcW w:w="5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Unrealized gains (losses) on cash flow hedges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Gain (loss) recognized in OCI, net of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21"/>
                <w:szCs w:val="21"/>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(21,587)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(Gain) loss reclassified from OCI to interest expense,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Net change in unrealized gains (losses) on cash flow hedges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(9,926)</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201</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(22,085)</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Not Designated as Hedges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Swaps Not Designated as Hedges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offer derivative contracts to its customers in connection with their risk management needs. The Company manages the risk associated with these contracts by entering into equal and offsetting derivative agreements with a third-party dealer. These contracts support variable rate, commercial loan relationships totaling $547.9 million and $491.4 million as of September 30, 2022, and December 31, 2021,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Amounts and fair values of derivative assets and liabilities related to customer interest rate swaps recorded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4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of September 30, 2022</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ind w:left="720"/>
              <w:spacing w:after="0"/>
              <w:rPr>
                <w:sz w:val="20"/>
                <w:szCs w:val="20"/>
                <w:color w:val="auto"/>
              </w:rPr>
            </w:pPr>
            <w:r>
              <w:rPr>
                <w:rFonts w:ascii="Arial" w:cs="Arial" w:eastAsia="Arial" w:hAnsi="Arial"/>
                <w:sz w:val="14"/>
                <w:szCs w:val="14"/>
                <w:b w:val="1"/>
                <w:bCs w:val="1"/>
                <w:color w:val="auto"/>
                <w:w w:val="95"/>
              </w:rPr>
              <w:t>Derivative Asset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Derivative Liability</w:t>
            </w:r>
          </w:p>
        </w:tc>
        <w:tc>
          <w:tcPr>
            <w:tcW w:w="92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3"/>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520" w:type="dxa"/>
            <w:vAlign w:val="bottom"/>
          </w:tcPr>
          <w:p>
            <w:pPr>
              <w:spacing w:after="0"/>
              <w:rPr>
                <w:sz w:val="15"/>
                <w:szCs w:val="15"/>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560" w:type="dxa"/>
            <w:vAlign w:val="bottom"/>
          </w:tcPr>
          <w:p>
            <w:pPr>
              <w:spacing w:after="0"/>
              <w:rPr>
                <w:sz w:val="15"/>
                <w:szCs w:val="15"/>
                <w:color w:val="auto"/>
              </w:rPr>
            </w:pPr>
          </w:p>
        </w:tc>
        <w:tc>
          <w:tcPr>
            <w:tcW w:w="920" w:type="dxa"/>
            <w:vAlign w:val="bottom"/>
          </w:tcPr>
          <w:p>
            <w:pPr>
              <w:jc w:val="center"/>
              <w:ind w:right="497"/>
              <w:spacing w:after="0"/>
              <w:rPr>
                <w:sz w:val="20"/>
                <w:szCs w:val="20"/>
                <w:color w:val="auto"/>
              </w:rPr>
            </w:pPr>
            <w:r>
              <w:rPr>
                <w:rFonts w:ascii="Arial" w:cs="Arial" w:eastAsia="Arial" w:hAnsi="Arial"/>
                <w:sz w:val="14"/>
                <w:szCs w:val="14"/>
                <w:b w:val="1"/>
                <w:bCs w:val="1"/>
                <w:color w:val="auto"/>
              </w:rPr>
              <w:t>Fair</w:t>
            </w: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6"/>
                <w:szCs w:val="16"/>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center"/>
              <w:ind w:right="477"/>
              <w:spacing w:after="0"/>
              <w:rPr>
                <w:sz w:val="20"/>
                <w:szCs w:val="20"/>
                <w:color w:val="auto"/>
              </w:rPr>
            </w:pPr>
            <w:r>
              <w:rPr>
                <w:rFonts w:ascii="Arial" w:cs="Arial" w:eastAsia="Arial" w:hAnsi="Arial"/>
                <w:sz w:val="14"/>
                <w:szCs w:val="14"/>
                <w:b w:val="1"/>
                <w:bCs w:val="1"/>
                <w:color w:val="auto"/>
                <w:w w:val="96"/>
              </w:rPr>
              <w:t>Value</w:t>
            </w:r>
          </w:p>
        </w:tc>
      </w:tr>
      <w:tr>
        <w:trPr>
          <w:trHeight w:val="39"/>
        </w:trPr>
        <w:tc>
          <w:tcPr>
            <w:tcW w:w="5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jc w:val="center"/>
              <w:ind w:right="1050"/>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jc w:val="center"/>
              <w:ind w:right="1010"/>
              <w:spacing w:after="0"/>
              <w:rPr>
                <w:sz w:val="20"/>
                <w:szCs w:val="20"/>
                <w:color w:val="auto"/>
              </w:rPr>
            </w:pPr>
            <w:r>
              <w:rPr>
                <w:rFonts w:ascii="Arial" w:cs="Arial" w:eastAsia="Arial" w:hAnsi="Arial"/>
                <w:sz w:val="18"/>
                <w:szCs w:val="18"/>
                <w:color w:val="auto"/>
                <w:w w:val="91"/>
              </w:rPr>
              <w:t>Interest rate swaps – pay floating, receive fixed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4,668</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543,207</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42,001</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jc w:val="center"/>
              <w:ind w:right="1010"/>
              <w:spacing w:after="0"/>
              <w:rPr>
                <w:sz w:val="20"/>
                <w:szCs w:val="20"/>
                <w:color w:val="auto"/>
              </w:rPr>
            </w:pPr>
            <w:r>
              <w:rPr>
                <w:rFonts w:ascii="Arial" w:cs="Arial" w:eastAsia="Arial" w:hAnsi="Arial"/>
                <w:sz w:val="18"/>
                <w:szCs w:val="18"/>
                <w:color w:val="auto"/>
                <w:w w:val="91"/>
              </w:rPr>
              <w:t>Interest rate swaps – pay fixed, receive floating</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543,207</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Total derivatives not designated as hedging instruments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547,875</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547,875</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42,047</w:t>
            </w:r>
          </w:p>
        </w:tc>
      </w:tr>
      <w:tr>
        <w:trPr>
          <w:trHeight w:val="21"/>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1"/>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of December 31, 2021</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ind w:left="720"/>
              <w:spacing w:after="0"/>
              <w:rPr>
                <w:sz w:val="20"/>
                <w:szCs w:val="20"/>
                <w:color w:val="auto"/>
              </w:rPr>
            </w:pPr>
            <w:r>
              <w:rPr>
                <w:rFonts w:ascii="Arial" w:cs="Arial" w:eastAsia="Arial" w:hAnsi="Arial"/>
                <w:sz w:val="14"/>
                <w:szCs w:val="14"/>
                <w:b w:val="1"/>
                <w:bCs w:val="1"/>
                <w:color w:val="auto"/>
                <w:w w:val="95"/>
              </w:rPr>
              <w:t>Derivative Asset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Derivative Liability</w:t>
            </w:r>
          </w:p>
        </w:tc>
        <w:tc>
          <w:tcPr>
            <w:tcW w:w="92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60"/>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Notional</w:t>
            </w:r>
          </w:p>
        </w:tc>
        <w:tc>
          <w:tcPr>
            <w:tcW w:w="520" w:type="dxa"/>
            <w:vAlign w:val="bottom"/>
          </w:tcPr>
          <w:p>
            <w:pPr>
              <w:spacing w:after="0"/>
              <w:rPr>
                <w:sz w:val="13"/>
                <w:szCs w:val="13"/>
                <w:color w:val="auto"/>
              </w:rPr>
            </w:pPr>
          </w:p>
        </w:tc>
        <w:tc>
          <w:tcPr>
            <w:tcW w:w="1060" w:type="dxa"/>
            <w:vAlign w:val="bottom"/>
            <w:gridSpan w:val="2"/>
          </w:tcPr>
          <w:p>
            <w:pPr>
              <w:jc w:val="center"/>
              <w:ind w:right="600"/>
              <w:spacing w:after="0" w:line="160"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300" w:type="dxa"/>
            <w:vAlign w:val="bottom"/>
            <w:gridSpan w:val="2"/>
          </w:tcPr>
          <w:p>
            <w:pPr>
              <w:ind w:left="200"/>
              <w:spacing w:after="0" w:line="160" w:lineRule="exact"/>
              <w:rPr>
                <w:sz w:val="20"/>
                <w:szCs w:val="20"/>
                <w:color w:val="auto"/>
              </w:rPr>
            </w:pPr>
            <w:r>
              <w:rPr>
                <w:rFonts w:ascii="Arial" w:cs="Arial" w:eastAsia="Arial" w:hAnsi="Arial"/>
                <w:sz w:val="14"/>
                <w:szCs w:val="14"/>
                <w:b w:val="1"/>
                <w:bCs w:val="1"/>
                <w:color w:val="auto"/>
              </w:rPr>
              <w:t>Notional</w:t>
            </w:r>
          </w:p>
        </w:tc>
        <w:tc>
          <w:tcPr>
            <w:tcW w:w="560" w:type="dxa"/>
            <w:vAlign w:val="bottom"/>
          </w:tcPr>
          <w:p>
            <w:pPr>
              <w:spacing w:after="0"/>
              <w:rPr>
                <w:sz w:val="13"/>
                <w:szCs w:val="13"/>
                <w:color w:val="auto"/>
              </w:rPr>
            </w:pPr>
          </w:p>
        </w:tc>
        <w:tc>
          <w:tcPr>
            <w:tcW w:w="920" w:type="dxa"/>
            <w:vAlign w:val="bottom"/>
          </w:tcPr>
          <w:p>
            <w:pPr>
              <w:jc w:val="center"/>
              <w:ind w:right="497"/>
              <w:spacing w:after="0" w:line="160" w:lineRule="exact"/>
              <w:rPr>
                <w:sz w:val="20"/>
                <w:szCs w:val="20"/>
                <w:color w:val="auto"/>
              </w:rPr>
            </w:pPr>
            <w:r>
              <w:rPr>
                <w:rFonts w:ascii="Arial" w:cs="Arial" w:eastAsia="Arial" w:hAnsi="Arial"/>
                <w:sz w:val="14"/>
                <w:szCs w:val="14"/>
                <w:b w:val="1"/>
                <w:bCs w:val="1"/>
                <w:color w:val="auto"/>
              </w:rPr>
              <w:t>Fair</w:t>
            </w: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6"/>
                <w:szCs w:val="16"/>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center"/>
              <w:ind w:right="477"/>
              <w:spacing w:after="0"/>
              <w:rPr>
                <w:sz w:val="20"/>
                <w:szCs w:val="20"/>
                <w:color w:val="auto"/>
              </w:rPr>
            </w:pPr>
            <w:r>
              <w:rPr>
                <w:rFonts w:ascii="Arial" w:cs="Arial" w:eastAsia="Arial" w:hAnsi="Arial"/>
                <w:sz w:val="14"/>
                <w:szCs w:val="14"/>
                <w:b w:val="1"/>
                <w:bCs w:val="1"/>
                <w:color w:val="auto"/>
                <w:w w:val="96"/>
              </w:rPr>
              <w:t>Value</w:t>
            </w:r>
          </w:p>
        </w:tc>
      </w:tr>
      <w:tr>
        <w:trPr>
          <w:trHeight w:val="53"/>
        </w:trPr>
        <w:tc>
          <w:tcPr>
            <w:tcW w:w="50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0"/>
        </w:trPr>
        <w:tc>
          <w:tcPr>
            <w:tcW w:w="5040" w:type="dxa"/>
            <w:vAlign w:val="bottom"/>
            <w:tcBorders>
              <w:bottom w:val="single" w:sz="8" w:color="CCEEFF"/>
            </w:tcBorders>
            <w:shd w:val="clear" w:color="auto" w:fill="CCEEFF"/>
          </w:tcPr>
          <w:p>
            <w:pPr>
              <w:jc w:val="center"/>
              <w:ind w:right="1050"/>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jc w:val="center"/>
              <w:ind w:right="1010"/>
              <w:spacing w:after="0"/>
              <w:rPr>
                <w:sz w:val="20"/>
                <w:szCs w:val="20"/>
                <w:color w:val="auto"/>
              </w:rPr>
            </w:pPr>
            <w:r>
              <w:rPr>
                <w:rFonts w:ascii="Arial" w:cs="Arial" w:eastAsia="Arial" w:hAnsi="Arial"/>
                <w:sz w:val="18"/>
                <w:szCs w:val="18"/>
                <w:color w:val="auto"/>
                <w:w w:val="91"/>
              </w:rPr>
              <w:t>Interest rate swaps – pay floating, receive fixed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404,572</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17,839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86,784</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2,259</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jc w:val="center"/>
              <w:ind w:right="1010"/>
              <w:spacing w:after="0"/>
              <w:rPr>
                <w:sz w:val="20"/>
                <w:szCs w:val="20"/>
                <w:color w:val="auto"/>
              </w:rPr>
            </w:pPr>
            <w:r>
              <w:rPr>
                <w:rFonts w:ascii="Arial" w:cs="Arial" w:eastAsia="Arial" w:hAnsi="Arial"/>
                <w:sz w:val="18"/>
                <w:szCs w:val="18"/>
                <w:color w:val="auto"/>
                <w:w w:val="91"/>
              </w:rPr>
              <w:t>Interest rate swaps – pay fixed, receive floating</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86,784</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404,572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17,839</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Total derivatives not designated as hedging instruments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491,356</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491,356</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20,098</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5"/>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5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Changes in fair value of these derivative assets and liabilities are recorded in noninterest expense in the unaudited Consolidated Statements of Income and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5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Location</w:t>
            </w: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swaps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Arial" w:cs="Arial" w:eastAsia="Arial" w:hAnsi="Arial"/>
                <w:sz w:val="18"/>
                <w:szCs w:val="18"/>
                <w:color w:val="auto"/>
              </w:rPr>
              <w:t>Pay floating, receive fixed</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Noninterest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18,317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21,792</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 fixed, receive floating</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Noninterest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w w:val="94"/>
              </w:rPr>
              <w:t>Net change in fair value of interest rate swaps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Participation Agreement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To manage the credit risk exposure related to a customer-facing swap, the Company entered into two risk participation agreements in conjunction with loan participation arrangements with other financial institutions. The risk participation agreements mature in 2026 and 2028, and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Risk participation agreements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Notional amount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18,921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3,990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 Derivatives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Lock Commitments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Interest rate lock commitments that meet the definition of derivative financial instruments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are carried at their fair values in other assets or other liabilities in the unaudited Consolidated Balance Sheets, with changes in the fair values of the corresponding derivative financial assets or liabilities recorded as either a charge or credit to current earnings during the period in which the changes occurred.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Sales Commitments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are carried at their fair values in other assets or other liabilities in the unaudited Consolidated Balance Sheets. While such</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sales commitments generally served as an economic hedge to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Amounts and fair values of mortgage banking derivatives included in the unaudited Consolidated Balance Sheets are summarized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As of September 30, 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Fair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340" w:type="dxa"/>
            <w:vAlign w:val="bottom"/>
          </w:tcPr>
          <w:p>
            <w:pPr>
              <w:spacing w:after="0"/>
              <w:rPr>
                <w:sz w:val="15"/>
                <w:szCs w:val="15"/>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1580" w:type="dxa"/>
            <w:vAlign w:val="bottom"/>
            <w:gridSpan w:val="2"/>
          </w:tcPr>
          <w:p>
            <w:pPr>
              <w:ind w:left="460"/>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with positive fair value</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Arial" w:cs="Arial" w:eastAsia="Arial" w:hAnsi="Arial"/>
                <w:sz w:val="18"/>
                <w:szCs w:val="18"/>
                <w:color w:val="auto"/>
              </w:rPr>
              <w:t>Interest rate lock commitments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1"/>
                <w:szCs w:val="21"/>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19,384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Forward sales commitments</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8"/>
                <w:szCs w:val="18"/>
                <w:color w:val="auto"/>
                <w:w w:val="91"/>
              </w:rPr>
              <w:t>Mortgage banking derivatives recorded in other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18"/>
                <w:szCs w:val="18"/>
                <w:color w:val="auto"/>
              </w:rPr>
            </w:pPr>
          </w:p>
        </w:tc>
        <w:tc>
          <w:tcPr>
            <w:tcW w:w="1020" w:type="dxa"/>
            <w:vAlign w:val="bottom"/>
            <w:tcBorders>
              <w:top w:val="single" w:sz="8" w:color="auto"/>
            </w:tcBorders>
            <w:vMerge w:val="restart"/>
          </w:tcPr>
          <w:p>
            <w:pPr>
              <w:jc w:val="right"/>
              <w:ind w:right="8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21,268</w:t>
            </w:r>
          </w:p>
        </w:tc>
        <w:tc>
          <w:tcPr>
            <w:tcW w:w="8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5"/>
        </w:trPr>
        <w:tc>
          <w:tcPr>
            <w:tcW w:w="3500" w:type="dxa"/>
            <w:vAlign w:val="bottom"/>
          </w:tcPr>
          <w:p>
            <w:pPr>
              <w:ind w:left="20"/>
              <w:spacing w:after="0"/>
              <w:rPr>
                <w:sz w:val="20"/>
                <w:szCs w:val="20"/>
                <w:color w:val="auto"/>
              </w:rPr>
            </w:pPr>
            <w:r>
              <w:rPr>
                <w:rFonts w:ascii="Arial" w:cs="Arial" w:eastAsia="Arial" w:hAnsi="Arial"/>
                <w:sz w:val="18"/>
                <w:szCs w:val="18"/>
                <w:color w:val="auto"/>
              </w:rPr>
              <w:t>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Derivatives with negative fair value</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rate lock commitments</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Arial" w:cs="Arial" w:eastAsia="Arial" w:hAnsi="Arial"/>
                <w:sz w:val="18"/>
                <w:szCs w:val="18"/>
                <w:color w:val="auto"/>
              </w:rPr>
              <w:t>Forward sales commitments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Mortgage banking derivatives recorded in other</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41,501</w:t>
            </w:r>
          </w:p>
        </w:tc>
        <w:tc>
          <w:tcPr>
            <w:tcW w:w="8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Net gains (losses) relating to these derivative instruments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Location</w:t>
            </w: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Arial" w:cs="Arial" w:eastAsia="Arial" w:hAnsi="Arial"/>
                <w:sz w:val="18"/>
                <w:szCs w:val="18"/>
                <w:color w:val="auto"/>
              </w:rPr>
              <w:t>Interest rate lock commitments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Mortgage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717"/>
              <w:spacing w:after="0"/>
              <w:rPr>
                <w:sz w:val="20"/>
                <w:szCs w:val="20"/>
                <w:color w:val="auto"/>
              </w:rPr>
            </w:pPr>
            <w:r>
              <w:rPr>
                <w:rFonts w:ascii="Arial" w:cs="Arial" w:eastAsia="Arial" w:hAnsi="Arial"/>
                <w:sz w:val="18"/>
                <w:szCs w:val="18"/>
                <w:color w:val="auto"/>
                <w:w w:val="90"/>
              </w:rPr>
              <w:t>(111)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475"/>
              <w:spacing w:after="0"/>
              <w:rPr>
                <w:sz w:val="20"/>
                <w:szCs w:val="20"/>
                <w:color w:val="auto"/>
              </w:rPr>
            </w:pPr>
            <w:r>
              <w:rPr>
                <w:rFonts w:ascii="Arial" w:cs="Arial" w:eastAsia="Arial" w:hAnsi="Arial"/>
                <w:sz w:val="18"/>
                <w:szCs w:val="18"/>
                <w:color w:val="auto"/>
                <w:w w:val="88"/>
              </w:rPr>
              <w:t>1,502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Forward sales commitments</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Mortgage revenue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ind w:left="737"/>
              <w:spacing w:after="0"/>
              <w:rPr>
                <w:sz w:val="20"/>
                <w:szCs w:val="20"/>
                <w:color w:val="auto"/>
              </w:rPr>
            </w:pPr>
            <w:r>
              <w:rPr>
                <w:rFonts w:ascii="Arial" w:cs="Arial" w:eastAsia="Arial" w:hAnsi="Arial"/>
                <w:sz w:val="18"/>
                <w:szCs w:val="18"/>
                <w:color w:val="auto"/>
                <w:w w:val="93"/>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455"/>
              <w:spacing w:after="0"/>
              <w:rPr>
                <w:sz w:val="20"/>
                <w:szCs w:val="20"/>
                <w:color w:val="auto"/>
              </w:rPr>
            </w:pPr>
            <w:r>
              <w:rPr>
                <w:rFonts w:ascii="Arial" w:cs="Arial" w:eastAsia="Arial" w:hAnsi="Arial"/>
                <w:sz w:val="18"/>
                <w:szCs w:val="18"/>
                <w:color w:val="auto"/>
                <w:w w:val="94"/>
              </w:rPr>
              <w:t>(3,616)</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Net gains (losses)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center"/>
              <w:ind w:left="737"/>
              <w:spacing w:after="0"/>
              <w:rPr>
                <w:sz w:val="20"/>
                <w:szCs w:val="20"/>
                <w:color w:val="auto"/>
              </w:rPr>
            </w:pPr>
            <w:r>
              <w:rPr>
                <w:rFonts w:ascii="Arial" w:cs="Arial" w:eastAsia="Arial" w:hAnsi="Arial"/>
                <w:sz w:val="18"/>
                <w:szCs w:val="18"/>
                <w:color w:val="auto"/>
                <w:w w:val="93"/>
              </w:rPr>
              <w:t>184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center"/>
              <w:ind w:left="475"/>
              <w:spacing w:after="0"/>
              <w:rPr>
                <w:sz w:val="20"/>
                <w:szCs w:val="20"/>
                <w:color w:val="auto"/>
              </w:rPr>
            </w:pPr>
            <w:r>
              <w:rPr>
                <w:rFonts w:ascii="Arial" w:cs="Arial" w:eastAsia="Arial" w:hAnsi="Arial"/>
                <w:sz w:val="18"/>
                <w:szCs w:val="18"/>
                <w:color w:val="auto"/>
                <w:w w:val="91"/>
              </w:rPr>
              <w:t>(2,114)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 xml:space="preserve">“Fair Value Measurement” </w:t>
      </w:r>
      <w:r>
        <w:rPr>
          <w:rFonts w:ascii="Arial" w:cs="Arial" w:eastAsia="Arial" w:hAnsi="Arial"/>
          <w:sz w:val="17"/>
          <w:szCs w:val="17"/>
          <w:color w:val="auto"/>
        </w:rPr>
        <w:t>establishes a fair value hierarchy for valuation inputs that gives the highest priority to quoted prices in active markets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assets or liabilities and the lowest priority to unobservable inputs. The fair value hierarchy is as follows:</w:t>
      </w:r>
    </w:p>
    <w:p>
      <w:pPr>
        <w:spacing w:after="0" w:line="144" w:lineRule="exact"/>
        <w:rPr>
          <w:sz w:val="20"/>
          <w:szCs w:val="20"/>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29"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1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assets or liabilities.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Financial Liabilities Measured at Fair Value on a Recurring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Securities Available for Sale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Debt securities classified as available for sale are reported at fair value utilizing Level 2 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Equity securities are reported at fair value utilizing Level 1 or Level 2 measurements. As applicable, for mutual funds, unadjusted quoted prices in active markets for identical assets are utilized to determine fair value at the measurement date and are classified as Level 1. For stock, quoted prices for identical or similar assets in markets that are not active are utilized and classified as Level 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Held for Sale</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Loans held for sale that were reported at fair value utilized Level 2 measurements at December 31, 2021. The fair values of the mortgage loans held for sale were measured using observable quoted market or contract prices or market price equivalents and were classified as Level 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Assets and Derivative Liabilities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Derivative assets and derivative liabilities are reported at fair value utilizing Level 2 or Level 3 measurements. As applicable, fair values of derivative assets and liabilities are determined based on prices that are obtained from a third-party which uses observable market inputs and are classified as Level 2. Due to the significance of unobservable inputs, derivative assets related to our risk participation agreement are classified as Level 3.</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financial assets and financial liabilities measured at fair value on a recurring basis as of September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December 31, 2021,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282"/>
              <w:spacing w:after="0"/>
              <w:rPr>
                <w:sz w:val="20"/>
                <w:szCs w:val="20"/>
                <w:color w:val="auto"/>
              </w:rPr>
            </w:pPr>
            <w:r>
              <w:rPr>
                <w:rFonts w:ascii="Arial" w:cs="Arial" w:eastAsia="Arial" w:hAnsi="Arial"/>
                <w:sz w:val="14"/>
                <w:szCs w:val="14"/>
                <w:b w:val="1"/>
                <w:bCs w:val="1"/>
                <w:color w:val="auto"/>
              </w:rPr>
              <w:t>As of September 30, 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3"/>
        </w:trPr>
        <w:tc>
          <w:tcPr>
            <w:tcW w:w="5040" w:type="dxa"/>
            <w:vAlign w:val="bottom"/>
          </w:tcPr>
          <w:p>
            <w:pPr>
              <w:spacing w:after="0"/>
              <w:rPr>
                <w:sz w:val="15"/>
                <w:szCs w:val="15"/>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Level 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Level 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5040" w:type="dxa"/>
            <w:vAlign w:val="bottom"/>
          </w:tcPr>
          <w:p>
            <w:pPr>
              <w:spacing w:after="0"/>
              <w:rPr>
                <w:sz w:val="16"/>
                <w:szCs w:val="16"/>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50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available for sale:</w:t>
            </w: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100" w:type="dxa"/>
            <w:vAlign w:val="bottom"/>
          </w:tcPr>
          <w:p>
            <w:pPr>
              <w:jc w:val="right"/>
              <w:ind w:right="90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140,842</w:t>
            </w:r>
          </w:p>
        </w:tc>
        <w:tc>
          <w:tcPr>
            <w:tcW w:w="80" w:type="dxa"/>
            <w:vAlign w:val="bottom"/>
          </w:tcPr>
          <w:p>
            <w:pPr>
              <w:spacing w:after="0"/>
              <w:rPr>
                <w:sz w:val="21"/>
                <w:szCs w:val="21"/>
                <w:color w:val="auto"/>
              </w:rPr>
            </w:pPr>
          </w:p>
        </w:tc>
        <w:tc>
          <w:tcPr>
            <w:tcW w:w="1100" w:type="dxa"/>
            <w:vAlign w:val="bottom"/>
          </w:tcPr>
          <w:p>
            <w:pPr>
              <w:jc w:val="right"/>
              <w:ind w:right="90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140,842</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Obligations of U.S. government corporations and agencies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24,933</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24,933</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Obligations of states and political subdivisions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270,835</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270,835</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Asset-backed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466,524</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466,524</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Commercial mortgage-backed securities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87,751</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87,751</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Residential mortgage-backed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1,304,314</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1,304,314</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251,842</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251,842</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11,341</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44,709</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44,713</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76,589</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76,589</w:t>
            </w:r>
          </w:p>
        </w:tc>
      </w:tr>
      <w:tr>
        <w:trPr>
          <w:trHeight w:val="528"/>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302"/>
              <w:spacing w:after="0"/>
              <w:rPr>
                <w:sz w:val="20"/>
                <w:szCs w:val="20"/>
                <w:color w:val="auto"/>
              </w:rPr>
            </w:pPr>
            <w:r>
              <w:rPr>
                <w:rFonts w:ascii="Arial" w:cs="Arial" w:eastAsia="Arial" w:hAnsi="Arial"/>
                <w:sz w:val="14"/>
                <w:szCs w:val="14"/>
                <w:b w:val="1"/>
                <w:bCs w:val="1"/>
                <w:color w:val="auto"/>
              </w:rPr>
              <w:t>As of December 31, 2021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
        </w:trPr>
        <w:tc>
          <w:tcPr>
            <w:tcW w:w="50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3"/>
        </w:trPr>
        <w:tc>
          <w:tcPr>
            <w:tcW w:w="5040" w:type="dxa"/>
            <w:vAlign w:val="bottom"/>
          </w:tcPr>
          <w:p>
            <w:pPr>
              <w:spacing w:after="0"/>
              <w:rPr>
                <w:sz w:val="15"/>
                <w:szCs w:val="15"/>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Level 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Level 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5040" w:type="dxa"/>
            <w:vAlign w:val="bottom"/>
          </w:tcPr>
          <w:p>
            <w:pPr>
              <w:spacing w:after="0"/>
              <w:rPr>
                <w:sz w:val="16"/>
                <w:szCs w:val="16"/>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50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available for sale:</w:t>
            </w: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100" w:type="dxa"/>
            <w:vAlign w:val="bottom"/>
          </w:tcPr>
          <w:p>
            <w:pPr>
              <w:jc w:val="right"/>
              <w:ind w:right="90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165,762</w:t>
            </w:r>
          </w:p>
        </w:tc>
        <w:tc>
          <w:tcPr>
            <w:tcW w:w="80" w:type="dxa"/>
            <w:vAlign w:val="bottom"/>
          </w:tcPr>
          <w:p>
            <w:pPr>
              <w:spacing w:after="0"/>
              <w:rPr>
                <w:sz w:val="21"/>
                <w:szCs w:val="21"/>
                <w:color w:val="auto"/>
              </w:rPr>
            </w:pPr>
          </w:p>
        </w:tc>
        <w:tc>
          <w:tcPr>
            <w:tcW w:w="1100" w:type="dxa"/>
            <w:vAlign w:val="bottom"/>
          </w:tcPr>
          <w:p>
            <w:pPr>
              <w:jc w:val="right"/>
              <w:ind w:right="90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165,762</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Obligations of U.S. government corporations and agencies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38,470</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38,470</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Obligations of states and political subdivisions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306,869</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306,869</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Asset-backed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492,186</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492,186</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Commercial mortgage-backed securities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614,998</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614,998</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Residential mortgage-backed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2,069,313</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2,069,313</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293,653</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293,653</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13,571</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13,571</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23,875</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23,875</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20,314</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21,501</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21,501</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Evaluated Individually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OREO</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Non-financial assets measured at fair value include OREO (upon initial recognition or subsequent impairment). OREO properties are measured using a combination of observable inputs, including recent appraisals, and unobservable inputs. Due to the significance of unobservable inputs, all OREO fair values have been classified as Level 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Property Held for Sale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 property held for sale represents certain banking center office buildings which the Company has closed and consolidated with other existing banking centers. Bank property held for sale is measured at the lower of amortized cost or fair value less estimated costs to sell. Fair values were based upon discounted appraisals or real estate listing prices. Due to the significance of unobservable inputs, fair values of all bank property held for sale have been classified as Level 3.</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tables summarize assets and liabilities measured at fair value on a non-recurring basis for the periods presented,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ind w:left="760"/>
              <w:spacing w:after="0"/>
              <w:rPr>
                <w:sz w:val="20"/>
                <w:szCs w:val="20"/>
                <w:color w:val="auto"/>
              </w:rPr>
            </w:pPr>
            <w:r>
              <w:rPr>
                <w:rFonts w:ascii="Arial" w:cs="Arial" w:eastAsia="Arial" w:hAnsi="Arial"/>
                <w:sz w:val="14"/>
                <w:szCs w:val="14"/>
                <w:b w:val="1"/>
                <w:bCs w:val="1"/>
                <w:color w:val="auto"/>
              </w:rPr>
              <w:t>As of September 30, 2022</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50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3"/>
        </w:trPr>
        <w:tc>
          <w:tcPr>
            <w:tcW w:w="50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506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ind w:left="540"/>
              <w:spacing w:after="0"/>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50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evaluated individually, net of related allowance</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5,121</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OREO with subsequent impairment</w:t>
            </w:r>
          </w:p>
        </w:tc>
        <w:tc>
          <w:tcPr>
            <w:tcW w:w="108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5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7,923</w:t>
            </w:r>
          </w:p>
        </w:tc>
      </w:tr>
      <w:tr>
        <w:trPr>
          <w:trHeight w:val="528"/>
        </w:trPr>
        <w:tc>
          <w:tcPr>
            <w:tcW w:w="5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ind w:left="780"/>
              <w:spacing w:after="0"/>
              <w:rPr>
                <w:sz w:val="20"/>
                <w:szCs w:val="20"/>
                <w:color w:val="auto"/>
              </w:rPr>
            </w:pPr>
            <w:r>
              <w:rPr>
                <w:rFonts w:ascii="Arial" w:cs="Arial" w:eastAsia="Arial" w:hAnsi="Arial"/>
                <w:sz w:val="14"/>
                <w:szCs w:val="14"/>
                <w:b w:val="1"/>
                <w:bCs w:val="1"/>
                <w:color w:val="auto"/>
              </w:rPr>
              <w:t>As of December 31, 2021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
        </w:trPr>
        <w:tc>
          <w:tcPr>
            <w:tcW w:w="50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3"/>
        </w:trPr>
        <w:tc>
          <w:tcPr>
            <w:tcW w:w="50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506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ind w:left="540"/>
              <w:spacing w:after="0"/>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50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evaluated individually, net of related allowance</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OREO with subsequent impairment</w:t>
            </w:r>
          </w:p>
        </w:tc>
        <w:tc>
          <w:tcPr>
            <w:tcW w:w="108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w:t>
            </w:r>
          </w:p>
        </w:tc>
      </w:tr>
      <w:tr>
        <w:trPr>
          <w:trHeight w:val="27"/>
        </w:trPr>
        <w:tc>
          <w:tcPr>
            <w:tcW w:w="50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gridSpan w:val="4"/>
          </w:tcPr>
          <w:p>
            <w:pPr>
              <w:ind w:left="1680"/>
              <w:spacing w:after="0"/>
              <w:rPr>
                <w:sz w:val="20"/>
                <w:szCs w:val="20"/>
                <w:color w:val="auto"/>
              </w:rPr>
            </w:pPr>
            <w:r>
              <w:rPr>
                <w:rFonts w:ascii="Arial" w:cs="Arial" w:eastAsia="Arial" w:hAnsi="Arial"/>
                <w:sz w:val="14"/>
                <w:szCs w:val="14"/>
                <w:b w:val="1"/>
                <w:bCs w:val="1"/>
                <w:color w:val="auto"/>
              </w:rPr>
              <w:t>As of September 30, 2022</w:t>
            </w:r>
          </w:p>
        </w:tc>
        <w:tc>
          <w:tcPr>
            <w:tcW w:w="1940" w:type="dxa"/>
            <w:vAlign w:val="bottom"/>
          </w:tcPr>
          <w:p>
            <w:pPr>
              <w:spacing w:after="0"/>
              <w:rPr>
                <w:sz w:val="16"/>
                <w:szCs w:val="16"/>
                <w:color w:val="auto"/>
              </w:rPr>
            </w:pPr>
          </w:p>
        </w:tc>
      </w:tr>
      <w:tr>
        <w:trPr>
          <w:trHeight w:val="39"/>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173"/>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Valuation</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Unobservable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Techniques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Input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39"/>
        </w:trPr>
        <w:tc>
          <w:tcPr>
            <w:tcW w:w="38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evaluated individually, net of related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Appraisal of collateral</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Appraisal</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-41.8% to -100.0%</w:t>
            </w:r>
          </w:p>
        </w:tc>
      </w:tr>
      <w:tr>
        <w:trPr>
          <w:trHeight w:val="25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adjustments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(-48.5)%</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OREO with subsequent impairment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Appraisal of collateral</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Appraisal</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-16.0% to -33.0%</w:t>
            </w:r>
          </w:p>
        </w:tc>
      </w:tr>
      <w:tr>
        <w:trPr>
          <w:trHeight w:val="230"/>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adjustments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(-19.8)%</w:t>
            </w:r>
          </w:p>
        </w:tc>
      </w:tr>
      <w:tr>
        <w:trPr>
          <w:trHeight w:val="27"/>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0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Appraisal of collateral or real</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Appraisal</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 to -70.1%</w:t>
            </w: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estate listing price</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adjustments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(-35.1)%</w:t>
            </w:r>
          </w:p>
        </w:tc>
      </w:tr>
      <w:tr>
        <w:trPr>
          <w:trHeight w:val="528"/>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4"/>
          </w:tcPr>
          <w:p>
            <w:pPr>
              <w:ind w:left="1700"/>
              <w:spacing w:after="0"/>
              <w:rPr>
                <w:sz w:val="20"/>
                <w:szCs w:val="20"/>
                <w:color w:val="auto"/>
              </w:rPr>
            </w:pPr>
            <w:r>
              <w:rPr>
                <w:rFonts w:ascii="Arial" w:cs="Arial" w:eastAsia="Arial" w:hAnsi="Arial"/>
                <w:sz w:val="14"/>
                <w:szCs w:val="14"/>
                <w:b w:val="1"/>
                <w:bCs w:val="1"/>
                <w:color w:val="auto"/>
              </w:rPr>
              <w:t>As of December 31, 2021</w:t>
            </w:r>
          </w:p>
        </w:tc>
        <w:tc>
          <w:tcPr>
            <w:tcW w:w="1940" w:type="dxa"/>
            <w:vAlign w:val="bottom"/>
          </w:tcPr>
          <w:p>
            <w:pPr>
              <w:spacing w:after="0"/>
              <w:rPr>
                <w:sz w:val="24"/>
                <w:szCs w:val="24"/>
                <w:color w:val="auto"/>
              </w:rPr>
            </w:pPr>
          </w:p>
        </w:tc>
      </w:tr>
      <w:tr>
        <w:trPr>
          <w:trHeight w:val="39"/>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160"/>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5"/>
              </w:rPr>
              <w:t>Valuation</w:t>
            </w:r>
          </w:p>
        </w:tc>
        <w:tc>
          <w:tcPr>
            <w:tcW w:w="158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2"/>
              </w:rPr>
              <w:t>Unobservable</w:t>
            </w:r>
          </w:p>
        </w:tc>
        <w:tc>
          <w:tcPr>
            <w:tcW w:w="19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3"/>
              </w:rPr>
              <w:t>Range</w:t>
            </w:r>
          </w:p>
        </w:tc>
      </w:tr>
      <w:tr>
        <w:trPr>
          <w:trHeight w:val="200"/>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Techniques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Input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39"/>
        </w:trPr>
        <w:tc>
          <w:tcPr>
            <w:tcW w:w="38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evaluated individually, net of related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Appraisal of collateral</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Appraisal</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 to -100.0%</w:t>
            </w:r>
          </w:p>
        </w:tc>
      </w:tr>
      <w:tr>
        <w:trPr>
          <w:trHeight w:val="25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adjustments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(-55.1)%</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OREO with subsequent impairment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Appraisal of collateral</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Appraisal</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-33.0% to -100.0%</w:t>
            </w:r>
          </w:p>
        </w:tc>
      </w:tr>
      <w:tr>
        <w:trPr>
          <w:trHeight w:val="230"/>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adjustments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(-67.9)%</w:t>
            </w:r>
          </w:p>
        </w:tc>
      </w:tr>
      <w:tr>
        <w:trPr>
          <w:trHeight w:val="27"/>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Appraisal of collateral or real</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Appraisal</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 to -70.1%</w:t>
            </w:r>
          </w:p>
        </w:tc>
      </w:tr>
      <w:tr>
        <w:trPr>
          <w:trHeight w:val="230"/>
        </w:trPr>
        <w:tc>
          <w:tcPr>
            <w:tcW w:w="3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estate listing price</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adjustments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(-41.3)%</w:t>
            </w:r>
          </w:p>
        </w:tc>
      </w:tr>
      <w:tr>
        <w:trPr>
          <w:trHeight w:val="27"/>
        </w:trPr>
        <w:tc>
          <w:tcPr>
            <w:tcW w:w="3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Financial Liabilities That Are Not Carried at Fair Value</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Estimated fair values of financial instruments that are not carried at fair value in the Company’s unaudited Consolidated Balance Sheets, segregated by the level of the valuation inputs within the fair value hierarchy utilized to measure fair value,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460"/>
              <w:spacing w:after="0"/>
              <w:rPr>
                <w:sz w:val="20"/>
                <w:szCs w:val="20"/>
                <w:color w:val="auto"/>
              </w:rPr>
            </w:pPr>
            <w:r>
              <w:rPr>
                <w:rFonts w:ascii="Arial" w:cs="Arial" w:eastAsia="Arial" w:hAnsi="Arial"/>
                <w:sz w:val="14"/>
                <w:szCs w:val="14"/>
                <w:b w:val="1"/>
                <w:bCs w:val="1"/>
                <w:color w:val="auto"/>
              </w:rPr>
              <w:t>As of September 30, 2022</w:t>
            </w:r>
          </w:p>
        </w:tc>
        <w:tc>
          <w:tcPr>
            <w:tcW w:w="280" w:type="dxa"/>
            <w:vAlign w:val="bottom"/>
          </w:tcPr>
          <w:p>
            <w:pPr>
              <w:spacing w:after="0"/>
              <w:rPr>
                <w:sz w:val="16"/>
                <w:szCs w:val="16"/>
                <w:color w:val="auto"/>
              </w:rPr>
            </w:pPr>
          </w:p>
        </w:tc>
        <w:tc>
          <w:tcPr>
            <w:tcW w:w="27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As of December 31, 2021</w:t>
            </w:r>
          </w:p>
        </w:tc>
      </w:tr>
      <w:tr>
        <w:trPr>
          <w:trHeight w:val="39"/>
        </w:trPr>
        <w:tc>
          <w:tcPr>
            <w:tcW w:w="2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3"/>
        </w:trPr>
        <w:tc>
          <w:tcPr>
            <w:tcW w:w="24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Fair</w:t>
            </w:r>
          </w:p>
        </w:tc>
      </w:tr>
      <w:tr>
        <w:trPr>
          <w:trHeight w:val="186"/>
        </w:trPr>
        <w:tc>
          <w:tcPr>
            <w:tcW w:w="24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140" w:type="dxa"/>
            <w:vAlign w:val="bottom"/>
          </w:tcPr>
          <w:p>
            <w:pPr>
              <w:jc w:val="right"/>
              <w:ind w:right="472"/>
              <w:spacing w:after="0"/>
              <w:rPr>
                <w:sz w:val="20"/>
                <w:szCs w:val="20"/>
                <w:color w:val="auto"/>
              </w:rPr>
            </w:pPr>
            <w:r>
              <w:rPr>
                <w:rFonts w:ascii="Arial" w:cs="Arial" w:eastAsia="Arial" w:hAnsi="Arial"/>
                <w:sz w:val="14"/>
                <w:szCs w:val="14"/>
                <w:b w:val="1"/>
                <w:bCs w:val="1"/>
                <w:color w:val="auto"/>
              </w:rPr>
              <w:t>Value</w:t>
            </w:r>
          </w:p>
        </w:tc>
      </w:tr>
      <w:tr>
        <w:trPr>
          <w:trHeight w:val="39"/>
        </w:trPr>
        <w:tc>
          <w:tcPr>
            <w:tcW w:w="2460" w:type="dxa"/>
            <w:vAlign w:val="bottom"/>
            <w:tcBorders>
              <w:bottom w:val="single" w:sz="8" w:color="CCEEFF"/>
            </w:tcBorders>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Level 1 inputs: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836,095</w:t>
            </w:r>
          </w:p>
        </w:tc>
      </w:tr>
      <w:tr>
        <w:trPr>
          <w:trHeight w:val="243"/>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Level 2 inputs: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Debt securities held to maturity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Loans held for sale</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Accrued interest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31,064</w:t>
            </w:r>
          </w:p>
        </w:tc>
      </w:tr>
      <w:tr>
        <w:trPr>
          <w:trHeight w:val="243"/>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Level 3 inputs: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Portfolio loans,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7,579,392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7,161,466</w:t>
            </w:r>
          </w:p>
        </w:tc>
      </w:tr>
      <w:tr>
        <w:trPr>
          <w:trHeight w:val="24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Mortgage servicing rights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12,133</w:t>
            </w:r>
          </w:p>
        </w:tc>
      </w:tr>
      <w:tr>
        <w:trPr>
          <w:trHeight w:val="27"/>
        </w:trPr>
        <w:tc>
          <w:tcPr>
            <w:tcW w:w="2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Other servicing rights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256"/>
        </w:trPr>
        <w:tc>
          <w:tcPr>
            <w:tcW w:w="24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Level 2 inputs: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Time deposits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800,187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935,778</w:t>
            </w:r>
          </w:p>
        </w:tc>
      </w:tr>
      <w:tr>
        <w:trPr>
          <w:trHeight w:val="24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Securities sold under agreements to repurchase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234,597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234,597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270,139</w:t>
            </w:r>
          </w:p>
        </w:tc>
      </w:tr>
      <w:tr>
        <w:trPr>
          <w:trHeight w:val="27"/>
        </w:trPr>
        <w:tc>
          <w:tcPr>
            <w:tcW w:w="2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Short-term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17,673</w:t>
            </w:r>
          </w:p>
        </w:tc>
      </w:tr>
      <w:tr>
        <w:trPr>
          <w:trHeight w:val="24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46,164</w:t>
            </w:r>
          </w:p>
        </w:tc>
      </w:tr>
      <w:tr>
        <w:trPr>
          <w:trHeight w:val="27"/>
        </w:trPr>
        <w:tc>
          <w:tcPr>
            <w:tcW w:w="2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Junior subordinated debt owed to unconsolidated trusts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63,586</w:t>
            </w:r>
          </w:p>
        </w:tc>
      </w:tr>
      <w:tr>
        <w:trPr>
          <w:trHeight w:val="24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Accrued interest payable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2,728</w:t>
            </w:r>
          </w:p>
        </w:tc>
      </w:tr>
      <w:tr>
        <w:trPr>
          <w:trHeight w:val="27"/>
        </w:trPr>
        <w:tc>
          <w:tcPr>
            <w:tcW w:w="2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Level 3 inputs: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Senior notes, net of unamortized issuance costs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40,400</w:t>
            </w:r>
          </w:p>
        </w:tc>
      </w:tr>
      <w:tr>
        <w:trPr>
          <w:trHeight w:val="27"/>
        </w:trPr>
        <w:tc>
          <w:tcPr>
            <w:tcW w:w="2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Subordinated notes, net of unamortized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195,600</w:t>
            </w:r>
          </w:p>
        </w:tc>
      </w:tr>
      <w:tr>
        <w:trPr>
          <w:trHeight w:val="108"/>
        </w:trPr>
        <w:tc>
          <w:tcPr>
            <w:tcW w:w="246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bl>
    <w:p>
      <w:pPr>
        <w:spacing w:after="0" w:line="1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Effective January 1, 2022, recorded at LOCOM.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Common Share</w:t>
      </w:r>
    </w:p>
    <w:p>
      <w:pPr>
        <w:spacing w:after="0" w:line="18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the Company’s outstanding stock options and warrants were exercised, stock units were vested, and ESPP shares were issued.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39"/>
        </w:trPr>
        <w:tc>
          <w:tcPr>
            <w:tcW w:w="50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Weighted average number of common shares outstanding, basic</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55,349,547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56,227,816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55,399,424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55,256,348</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Dilutive effect of common stock equivalents: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1,732</w:t>
            </w: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 awards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602,311</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PSU awards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DSU awards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6,316</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ESPP</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2,518</w:t>
            </w:r>
          </w:p>
        </w:tc>
      </w:tr>
      <w:tr>
        <w:trPr>
          <w:trHeight w:val="27"/>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Weighted average number of common shares outstanding, diluted</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56,073,164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56,832,518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56,123,756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55,872,835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Average shares that were excluded from the computation of diluted earnings per common share because their effect would have been anti-dilutive are summarized in the table below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50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39"/>
        </w:trPr>
        <w:tc>
          <w:tcPr>
            <w:tcW w:w="50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Anti-dilutive common stock equivalents</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Options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10,389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 awards</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86,744</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PSU awards</w:t>
            </w:r>
          </w:p>
        </w:tc>
        <w:tc>
          <w:tcPr>
            <w:tcW w:w="1480" w:type="dxa"/>
            <w:vAlign w:val="bottom"/>
          </w:tcPr>
          <w:p>
            <w:pPr>
              <w:jc w:val="right"/>
              <w:spacing w:after="0"/>
              <w:rPr>
                <w:sz w:val="20"/>
                <w:szCs w:val="20"/>
                <w:color w:val="auto"/>
              </w:rPr>
            </w:pPr>
            <w:r>
              <w:rPr>
                <w:rFonts w:ascii="Arial" w:cs="Arial" w:eastAsia="Arial" w:hAnsi="Arial"/>
                <w:sz w:val="18"/>
                <w:szCs w:val="18"/>
                <w:color w:val="auto"/>
              </w:rPr>
              <w:t>160,391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85,571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226,771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95,511</w:t>
            </w: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DSU awards</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Total anti-dilutive common stock equivalents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160,391</w:t>
            </w:r>
          </w:p>
        </w:tc>
        <w:tc>
          <w:tcPr>
            <w:tcW w:w="8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133,376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289,043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192,578</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898"/>
        </w:trPr>
        <w:tc>
          <w:tcPr>
            <w:tcW w:w="5040" w:type="dxa"/>
            <w:vAlign w:val="bottom"/>
          </w:tcPr>
          <w:p>
            <w:pPr>
              <w:spacing w:after="0"/>
              <w:rPr>
                <w:sz w:val="24"/>
                <w:szCs w:val="24"/>
                <w:color w:val="auto"/>
              </w:rPr>
            </w:pPr>
          </w:p>
        </w:tc>
        <w:tc>
          <w:tcPr>
            <w:tcW w:w="1480" w:type="dxa"/>
            <w:vAlign w:val="bottom"/>
          </w:tcPr>
          <w:p>
            <w:pPr>
              <w:jc w:val="right"/>
              <w:ind w:right="715"/>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0"/>
        </w:trPr>
        <w:tc>
          <w:tcPr>
            <w:tcW w:w="50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represents changes in AOCI by component, net of tax, for the period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September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of Tax</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6"/>
                <w:szCs w:val="16"/>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Net of Tax</w:t>
            </w:r>
          </w:p>
        </w:tc>
      </w:tr>
      <w:tr>
        <w:trPr>
          <w:trHeight w:val="39"/>
        </w:trPr>
        <w:tc>
          <w:tcPr>
            <w:tcW w:w="3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5"/>
        </w:trPr>
        <w:tc>
          <w:tcPr>
            <w:tcW w:w="3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Unrealized gains (losses) on debt securities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1"/>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available for sale</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(277,310)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79,047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(198,263)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(4,850)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12,163</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holding gains (losses) on debt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securities available for sale, net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(12,296)</w:t>
            </w: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Amounts reclassified from AOCI, net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Amortization of unrealized losses on securities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transferred to held to maturity</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(372,367)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106,142</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(266,225)</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3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w w:val="97"/>
              </w:rPr>
              <w:t>Unrealized gains (losses) on cash flow hedges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r>
      <w:tr>
        <w:trPr>
          <w:trHeight w:val="229"/>
        </w:trPr>
        <w:tc>
          <w:tcPr>
            <w:tcW w:w="3940" w:type="dxa"/>
            <w:vAlign w:val="bottom"/>
          </w:tcPr>
          <w:p>
            <w:pPr>
              <w:ind w:left="260"/>
              <w:spacing w:after="0"/>
              <w:rPr>
                <w:sz w:val="20"/>
                <w:szCs w:val="20"/>
                <w:color w:val="auto"/>
              </w:rPr>
            </w:pPr>
            <w:r>
              <w:rPr>
                <w:rFonts w:ascii="Arial" w:cs="Arial" w:eastAsia="Arial" w:hAnsi="Arial"/>
                <w:sz w:val="18"/>
                <w:szCs w:val="18"/>
                <w:color w:val="auto"/>
                <w:w w:val="98"/>
              </w:rPr>
              <w:t>Unrealized holding gains (losses) on cash flow</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hedges, net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Amounts reclassified from AOCI, net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9,076</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(22,770)</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3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0"/>
        </w:trPr>
        <w:tc>
          <w:tcPr>
            <w:tcW w:w="3940" w:type="dxa"/>
            <w:vAlign w:val="bottom"/>
          </w:tcPr>
          <w:p>
            <w:pPr>
              <w:ind w:left="20"/>
              <w:spacing w:after="0"/>
              <w:rPr>
                <w:sz w:val="20"/>
                <w:szCs w:val="20"/>
                <w:color w:val="auto"/>
              </w:rPr>
            </w:pPr>
            <w:r>
              <w:rPr>
                <w:rFonts w:ascii="Arial" w:cs="Arial" w:eastAsia="Arial" w:hAnsi="Arial"/>
                <w:sz w:val="18"/>
                <w:szCs w:val="18"/>
                <w:color w:val="auto"/>
              </w:rPr>
              <w:t>Total AOCI</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(404,213)</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115,218</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(288,995)</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8"/>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13"/>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0"/>
        </w:trPr>
        <w:tc>
          <w:tcPr>
            <w:tcW w:w="3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of Tax</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6"/>
                <w:szCs w:val="16"/>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Net of Tax</w:t>
            </w:r>
          </w:p>
        </w:tc>
      </w:tr>
      <w:tr>
        <w:trPr>
          <w:trHeight w:val="39"/>
        </w:trPr>
        <w:tc>
          <w:tcPr>
            <w:tcW w:w="3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5"/>
        </w:trPr>
        <w:tc>
          <w:tcPr>
            <w:tcW w:w="3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Unrealized gains (losses) on debt securities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1"/>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available for sale</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9,199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(23,073)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49,644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(14,151)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35,493</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holding gains (losses) on debt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securities available for sale, net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84,519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(211,988)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(35,606)</w:t>
            </w:r>
          </w:p>
        </w:tc>
      </w:tr>
      <w:tr>
        <w:trPr>
          <w:trHeight w:val="229"/>
        </w:trPr>
        <w:tc>
          <w:tcPr>
            <w:tcW w:w="3940" w:type="dxa"/>
            <w:vAlign w:val="bottom"/>
          </w:tcPr>
          <w:p>
            <w:pPr>
              <w:ind w:left="260"/>
              <w:spacing w:after="0"/>
              <w:rPr>
                <w:sz w:val="20"/>
                <w:szCs w:val="20"/>
                <w:color w:val="auto"/>
              </w:rPr>
            </w:pPr>
            <w:r>
              <w:rPr>
                <w:rFonts w:ascii="Arial" w:cs="Arial" w:eastAsia="Arial" w:hAnsi="Arial"/>
                <w:sz w:val="18"/>
                <w:szCs w:val="18"/>
                <w:color w:val="auto"/>
                <w:w w:val="91"/>
              </w:rPr>
              <w:t>Unrealized losses on debt securities transferred to</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held to maturity from available for sale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Amounts reclassified from AOCI,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3940" w:type="dxa"/>
            <w:vAlign w:val="bottom"/>
          </w:tcPr>
          <w:p>
            <w:pPr>
              <w:ind w:left="260"/>
              <w:spacing w:after="0"/>
              <w:rPr>
                <w:sz w:val="20"/>
                <w:szCs w:val="20"/>
                <w:color w:val="auto"/>
              </w:rPr>
            </w:pPr>
            <w:r>
              <w:rPr>
                <w:rFonts w:ascii="Arial" w:cs="Arial" w:eastAsia="Arial" w:hAnsi="Arial"/>
                <w:sz w:val="18"/>
                <w:szCs w:val="18"/>
                <w:color w:val="auto"/>
                <w:w w:val="98"/>
              </w:rPr>
              <w:t>Amortization of unrealized losses on securities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transferred to held to maturity</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(266,225)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50"/>
        </w:trPr>
        <w:tc>
          <w:tcPr>
            <w:tcW w:w="39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7"/>
              </w:rPr>
              <w:t>Unrealized gains (losses)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Unrealized holding gains (losses) on cash flow</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hedges, net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Amounts reclassified from AOCI, net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7"/>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50"/>
        </w:trPr>
        <w:tc>
          <w:tcPr>
            <w:tcW w:w="39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9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AOCI</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(404,213)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Operating Segments and Related Information</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operating segments: Banking, FirsTech, and Wealth Management. The Company’s three operating segments are strategic business units that are separately managed as they offer different products and services and have different marketing strategies. The Banking operating segment provides a full range of banking services to individual and corporate customers through its banking center network in Illinois; the St. Louis, Missouri metropolitan area; southwest Florida; and Indianapolis, Indiana. The FirsTech operating segment provides solutions for online, mobile, and voice-recognition bill payments; lockbox; and walk-in payments. The Wealth Management operating segment provides a full range of asset management, investment, brokerage, fiduciary, philanthropic advisory, tax preparation, and farm management services to individuals, businesses, and foundations.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segment financial information provided below has been derived from information used by management to monitor and manage the financial performance of the Company. The accounting policies of the three operating segments are the same as those described in the summary of significant accounting policies in “</w:t>
      </w:r>
      <w:r>
        <w:rPr>
          <w:rFonts w:ascii="Arial" w:cs="Arial" w:eastAsia="Arial" w:hAnsi="Arial"/>
          <w:sz w:val="18"/>
          <w:szCs w:val="18"/>
          <w:i w:val="1"/>
          <w:iCs w:val="1"/>
          <w:color w:val="auto"/>
        </w:rPr>
        <w:t>Note 1. Significant Accounting Policies</w:t>
      </w:r>
      <w:r>
        <w:rPr>
          <w:rFonts w:ascii="Arial" w:cs="Arial" w:eastAsia="Arial" w:hAnsi="Arial"/>
          <w:sz w:val="18"/>
          <w:szCs w:val="18"/>
          <w:color w:val="auto"/>
        </w:rPr>
        <w:t>” in the Company’s 2021 Annual Report. The Company accounts for intersegment revenue and transfers at current market value.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Following is a summary of selected financial information for the Company’s operating segments. The “other” category included in the tables below consists of the parent company, First Busey Risk Management, and the elimination of intercompany transactions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16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116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3"/>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1160" w:type="dxa"/>
            <w:vAlign w:val="bottom"/>
          </w:tcPr>
          <w:p>
            <w:pPr>
              <w:jc w:val="right"/>
              <w:ind w:right="235"/>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39"/>
        </w:trPr>
        <w:tc>
          <w:tcPr>
            <w:tcW w:w="50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segment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Banking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294,773</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294,773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12,352,413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12,746,833</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FirsTech</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47,481</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Wealth Management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14,108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65,587</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Consolidated 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317,873</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12,497,388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12,859,689</w:t>
            </w:r>
          </w:p>
        </w:tc>
      </w:tr>
      <w:tr>
        <w:trPr>
          <w:trHeight w:val="21"/>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98"/>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17"/>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1"/>
        </w:trPr>
        <w:tc>
          <w:tcPr>
            <w:tcW w:w="5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39"/>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Banking</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90,916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74,672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244,820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211,377</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FirsTech</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(4,626)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(11,247)</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interest income</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86,305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232,289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200,190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Banking</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13,559</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14,976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42,827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42,798</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FirsTech</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14,700</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Wealth Management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12,514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39,333</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Total noninterest income</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30,933</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97,715</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Banking</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55,273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150,032</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FirsTech</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13,086</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Wealth Management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20,961</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6,532</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noninterest expense</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70,736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190,611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Banking</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46,838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31,996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118,663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114,507</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FirsTech</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Wealth Management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18,373</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(8,016)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r>
      <w:tr>
        <w:trPr>
          <w:trHeight w:val="264"/>
        </w:trPr>
        <w:tc>
          <w:tcPr>
            <w:tcW w:w="5040" w:type="dxa"/>
            <w:vAlign w:val="bottom"/>
          </w:tcPr>
          <w:p>
            <w:pPr>
              <w:ind w:left="20"/>
              <w:spacing w:after="0"/>
              <w:rPr>
                <w:sz w:val="20"/>
                <w:szCs w:val="20"/>
                <w:color w:val="auto"/>
              </w:rPr>
            </w:pPr>
            <w:r>
              <w:rPr>
                <w:rFonts w:ascii="Arial" w:cs="Arial" w:eastAsia="Arial" w:hAnsi="Arial"/>
                <w:sz w:val="18"/>
                <w:szCs w:val="18"/>
                <w:color w:val="auto"/>
              </w:rPr>
              <w:t>Total income before income taxes</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44,138</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117,659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Banking</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37,082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89,889</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FirsTech</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Wealth Management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14,285</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(5,530)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(11,865)</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income</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35,661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040" w:type="dxa"/>
            <w:vAlign w:val="bottom"/>
          </w:tcPr>
          <w:p>
            <w:pPr>
              <w:spacing w:after="0"/>
              <w:rPr>
                <w:sz w:val="24"/>
                <w:szCs w:val="24"/>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5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Busey as the Lessee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operating leases consisting primarily of equipment leases and real estate leases for banking centers, ATM locations, and office space. The following table summarizes lease-related information and balances the Company reported in its unaudited Consolidated Balance Sheets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360" w:type="dxa"/>
            <w:vAlign w:val="bottom"/>
          </w:tcPr>
          <w:p>
            <w:pPr>
              <w:spacing w:after="0"/>
              <w:rPr>
                <w:sz w:val="16"/>
                <w:szCs w:val="16"/>
                <w:color w:val="auto"/>
              </w:rPr>
            </w:pPr>
          </w:p>
        </w:tc>
      </w:tr>
      <w:tr>
        <w:trPr>
          <w:trHeight w:val="39"/>
        </w:trPr>
        <w:tc>
          <w:tcPr>
            <w:tcW w:w="7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3"/>
        </w:trPr>
        <w:tc>
          <w:tcPr>
            <w:tcW w:w="7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5"/>
              <w:spacing w:after="0"/>
              <w:rPr>
                <w:sz w:val="20"/>
                <w:szCs w:val="20"/>
                <w:color w:val="auto"/>
              </w:rPr>
            </w:pPr>
            <w:r>
              <w:rPr>
                <w:rFonts w:ascii="Arial" w:cs="Arial" w:eastAsia="Arial" w:hAnsi="Arial"/>
                <w:sz w:val="14"/>
                <w:szCs w:val="14"/>
                <w:b w:val="1"/>
                <w:bCs w:val="1"/>
                <w:color w:val="auto"/>
              </w:rPr>
              <w:t>2021</w:t>
            </w:r>
          </w:p>
        </w:tc>
      </w:tr>
      <w:tr>
        <w:trPr>
          <w:trHeight w:val="39"/>
        </w:trPr>
        <w:tc>
          <w:tcPr>
            <w:tcW w:w="7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balances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260"/>
              <w:spacing w:after="0"/>
              <w:rPr>
                <w:sz w:val="20"/>
                <w:szCs w:val="20"/>
                <w:color w:val="auto"/>
              </w:rPr>
            </w:pPr>
            <w:r>
              <w:rPr>
                <w:rFonts w:ascii="Arial" w:cs="Arial" w:eastAsia="Arial" w:hAnsi="Arial"/>
                <w:sz w:val="18"/>
                <w:szCs w:val="18"/>
                <w:color w:val="auto"/>
              </w:rPr>
              <w:t>Right of use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7"/>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10,533</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10,591</w:t>
            </w:r>
          </w:p>
        </w:tc>
      </w:tr>
      <w:tr>
        <w:trPr>
          <w:trHeight w:val="270"/>
        </w:trPr>
        <w:tc>
          <w:tcPr>
            <w:tcW w:w="7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60"/>
              <w:spacing w:after="0"/>
              <w:rPr>
                <w:sz w:val="20"/>
                <w:szCs w:val="20"/>
                <w:color w:val="auto"/>
              </w:rPr>
            </w:pPr>
            <w:r>
              <w:rPr>
                <w:rFonts w:ascii="Arial" w:cs="Arial" w:eastAsia="Arial" w:hAnsi="Arial"/>
                <w:sz w:val="18"/>
                <w:szCs w:val="18"/>
                <w:color w:val="auto"/>
              </w:rPr>
              <w:t>Year through which lease terms extend</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remaining lease term (in years)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43"/>
        </w:trPr>
        <w:tc>
          <w:tcPr>
            <w:tcW w:w="7940" w:type="dxa"/>
            <w:vAlign w:val="bottom"/>
          </w:tcPr>
          <w:p>
            <w:pPr>
              <w:ind w:left="26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represents lease costs and cash flows related to leases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50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costs</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Operating lease costs</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Variable lease costs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Short-term lease costs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r>
              <w:rPr>
                <w:rFonts w:ascii="Arial" w:cs="Arial" w:eastAsia="Arial" w:hAnsi="Arial"/>
                <w:sz w:val="23"/>
                <w:szCs w:val="23"/>
                <w:color w:val="auto"/>
                <w:vertAlign w:val="superscript"/>
              </w:rPr>
              <w:t>1</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flows related to leases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Operating lease cash flows – Fixed payments</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 cash flows – Liability reduction</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Right of use assets obtained during the period in exchange for</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5513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4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Lease costs are included in net occupancy and equipment expense in the unaudited Consolidated Statements of Income.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was obligated under noncancelable operating leases for office space and other commitments,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513"/>
              <w:spacing w:after="0"/>
              <w:rPr>
                <w:sz w:val="20"/>
                <w:szCs w:val="20"/>
                <w:color w:val="auto"/>
              </w:rPr>
            </w:pPr>
            <w:r>
              <w:rPr>
                <w:rFonts w:ascii="Arial" w:cs="Arial" w:eastAsia="Arial" w:hAnsi="Arial"/>
                <w:sz w:val="14"/>
                <w:szCs w:val="14"/>
                <w:b w:val="1"/>
                <w:bCs w:val="1"/>
                <w:color w:val="auto"/>
              </w:rPr>
              <w:t>As of</w:t>
            </w:r>
          </w:p>
        </w:tc>
      </w:tr>
      <w:tr>
        <w:trPr>
          <w:trHeight w:val="186"/>
        </w:trPr>
        <w:tc>
          <w:tcPr>
            <w:tcW w:w="9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September 30, 2022</w:t>
            </w:r>
          </w:p>
        </w:tc>
      </w:tr>
      <w:tr>
        <w:trPr>
          <w:trHeight w:val="39"/>
        </w:trPr>
        <w:tc>
          <w:tcPr>
            <w:tcW w:w="97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Rent commitments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Remainder of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4,626</w:t>
            </w:r>
          </w:p>
        </w:tc>
      </w:tr>
      <w:tr>
        <w:trPr>
          <w:trHeight w:val="27"/>
        </w:trPr>
        <w:tc>
          <w:tcPr>
            <w:tcW w:w="9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11,889</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7"/>
        </w:trPr>
        <w:tc>
          <w:tcPr>
            <w:tcW w:w="9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net future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Busey as the Lessor</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Busey occasionally leases parking lots and office space to outside parties. Further, in connection with the acquisition of CAC in the second quarter of 2021, the Company acquired office buildings in Glenview, IL and Northbrook, IL, along with operating leases for space within these buildings that is rented to third parties. Revenues recorded in connection with these leases and reported in other income on our unaudited Consolidated Statements of Income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39"/>
        </w:trPr>
        <w:tc>
          <w:tcPr>
            <w:tcW w:w="50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50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1040" w:type="dxa"/>
            <w:vAlign w:val="bottom"/>
            <w:gridSpan w:val="25"/>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40" w:type="dxa"/>
            <w:vAlign w:val="bottom"/>
            <w:gridSpan w:val="23"/>
          </w:tcPr>
          <w:p>
            <w:pPr>
              <w:jc w:val="center"/>
              <w:ind w:right="4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1040" w:type="dxa"/>
            <w:vAlign w:val="bottom"/>
            <w:gridSpan w:val="25"/>
          </w:tcPr>
          <w:p>
            <w:pPr>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9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6"/>
              </w:rPr>
              <w:t>OVERVIEW</w:t>
            </w:r>
          </w:p>
        </w:tc>
        <w:tc>
          <w:tcPr>
            <w:tcW w:w="10060" w:type="dxa"/>
            <w:vAlign w:val="bottom"/>
            <w:gridSpan w:val="21"/>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11020" w:type="dxa"/>
            <w:vAlign w:val="bottom"/>
            <w:gridSpan w:val="24"/>
          </w:tcPr>
          <w:p>
            <w:pPr>
              <w:spacing w:after="0"/>
              <w:rPr>
                <w:sz w:val="20"/>
                <w:szCs w:val="20"/>
                <w:color w:val="auto"/>
              </w:rPr>
            </w:pPr>
            <w:r>
              <w:rPr>
                <w:rFonts w:ascii="Arial" w:cs="Arial" w:eastAsia="Arial" w:hAnsi="Arial"/>
                <w:sz w:val="18"/>
                <w:szCs w:val="18"/>
                <w:color w:val="0000FF"/>
              </w:rPr>
              <w:t>CURRENT EVENTS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020" w:type="dxa"/>
            <w:vAlign w:val="bottom"/>
            <w:gridSpan w:val="24"/>
          </w:tcPr>
          <w:p>
            <w:pPr>
              <w:spacing w:after="0"/>
              <w:rPr>
                <w:sz w:val="20"/>
                <w:szCs w:val="20"/>
                <w:color w:val="auto"/>
              </w:rPr>
            </w:pPr>
            <w:r>
              <w:rPr>
                <w:rFonts w:ascii="Arial" w:cs="Arial" w:eastAsia="Arial" w:hAnsi="Arial"/>
                <w:sz w:val="18"/>
                <w:szCs w:val="18"/>
                <w:color w:val="0000FF"/>
              </w:rPr>
              <w:t>EXECUTIVE SUMMARY</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12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7"/>
              </w:rPr>
              <w:t>Operating Results</w:t>
            </w:r>
          </w:p>
        </w:tc>
        <w:tc>
          <w:tcPr>
            <w:tcW w:w="120" w:type="dxa"/>
            <w:vAlign w:val="bottom"/>
            <w:tcBorders>
              <w:top w:val="single" w:sz="8" w:color="0000FF"/>
            </w:tcBorders>
          </w:tcPr>
          <w:p>
            <w:pPr>
              <w:spacing w:after="0"/>
              <w:rPr>
                <w:sz w:val="21"/>
                <w:szCs w:val="21"/>
                <w:color w:val="auto"/>
              </w:rPr>
            </w:pPr>
          </w:p>
        </w:tc>
        <w:tc>
          <w:tcPr>
            <w:tcW w:w="9040" w:type="dxa"/>
            <w:vAlign w:val="bottom"/>
            <w:gridSpan w:val="13"/>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0000FF"/>
              </w:rPr>
              <w:t>Acquisitions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7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Non-operating Expenses and Non-GAAP Measures</w:t>
            </w:r>
          </w:p>
        </w:tc>
        <w:tc>
          <w:tcPr>
            <w:tcW w:w="6740" w:type="dxa"/>
            <w:vAlign w:val="bottom"/>
            <w:gridSpan w:val="2"/>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0000FF"/>
              </w:rPr>
              <w:t>Banking Center Markets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9"/>
              </w:rPr>
              <w:t>Net Interest Income</w:t>
            </w:r>
          </w:p>
        </w:tc>
        <w:tc>
          <w:tcPr>
            <w:tcW w:w="320" w:type="dxa"/>
            <w:vAlign w:val="bottom"/>
            <w:tcBorders>
              <w:top w:val="single" w:sz="8" w:color="0000FF"/>
            </w:tcBorders>
            <w:gridSpan w:val="3"/>
          </w:tcPr>
          <w:p>
            <w:pPr>
              <w:spacing w:after="0"/>
              <w:rPr>
                <w:sz w:val="21"/>
                <w:szCs w:val="21"/>
                <w:color w:val="auto"/>
              </w:rPr>
            </w:pPr>
          </w:p>
        </w:tc>
        <w:tc>
          <w:tcPr>
            <w:tcW w:w="8700" w:type="dxa"/>
            <w:vAlign w:val="bottom"/>
            <w:gridSpan w:val="9"/>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59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0000FF"/>
              </w:rPr>
              <w:t>Noninterest Income</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7"/>
              </w:rPr>
              <w:t>Noninterest Expense</w:t>
            </w:r>
          </w:p>
        </w:tc>
        <w:tc>
          <w:tcPr>
            <w:tcW w:w="8960" w:type="dxa"/>
            <w:vAlign w:val="bottom"/>
            <w:gridSpan w:val="10"/>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66</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20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FINANCIAL CONDITION</w:t>
            </w:r>
          </w:p>
        </w:tc>
        <w:tc>
          <w:tcPr>
            <w:tcW w:w="9000" w:type="dxa"/>
            <w:vAlign w:val="bottom"/>
            <w:gridSpan w:val="11"/>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69</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0000FF"/>
              </w:rPr>
              <w:t>Balance Sheet</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0000FF"/>
              </w:rPr>
              <w:t>Portfolio Loans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Deposits</w:t>
            </w:r>
          </w:p>
        </w:tc>
        <w:tc>
          <w:tcPr>
            <w:tcW w:w="9340" w:type="dxa"/>
            <w:vAlign w:val="bottom"/>
            <w:gridSpan w:val="16"/>
          </w:tcPr>
          <w:p>
            <w:pPr>
              <w:spacing w:after="0"/>
              <w:rPr>
                <w:sz w:val="21"/>
                <w:szCs w:val="21"/>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74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020" w:type="dxa"/>
            <w:vAlign w:val="bottom"/>
            <w:gridSpan w:val="24"/>
          </w:tcPr>
          <w:p>
            <w:pPr>
              <w:spacing w:after="0"/>
              <w:rPr>
                <w:sz w:val="20"/>
                <w:szCs w:val="20"/>
                <w:color w:val="auto"/>
              </w:rPr>
            </w:pPr>
            <w:r>
              <w:rPr>
                <w:rFonts w:ascii="Arial" w:cs="Arial" w:eastAsia="Arial" w:hAnsi="Arial"/>
                <w:sz w:val="18"/>
                <w:szCs w:val="18"/>
                <w:color w:val="0000FF"/>
              </w:rPr>
              <w:t>LIQUIDITY</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74</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3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6"/>
              </w:rPr>
              <w:t>OFF-BALANCE SHEET ARRANGEMENTS</w:t>
            </w:r>
          </w:p>
        </w:tc>
        <w:tc>
          <w:tcPr>
            <w:tcW w:w="764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75</w:t>
            </w:r>
          </w:p>
        </w:tc>
        <w:tc>
          <w:tcPr>
            <w:tcW w:w="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18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CAPITAL RESOURCES</w:t>
            </w:r>
          </w:p>
        </w:tc>
        <w:tc>
          <w:tcPr>
            <w:tcW w:w="9180" w:type="dxa"/>
            <w:vAlign w:val="bottom"/>
            <w:gridSpan w:val="15"/>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75</w:t>
            </w:r>
          </w:p>
        </w:tc>
        <w:tc>
          <w:tcPr>
            <w:tcW w:w="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11020" w:type="dxa"/>
            <w:vAlign w:val="bottom"/>
            <w:gridSpan w:val="24"/>
          </w:tcPr>
          <w:p>
            <w:pPr>
              <w:spacing w:after="0"/>
              <w:rPr>
                <w:sz w:val="20"/>
                <w:szCs w:val="20"/>
                <w:color w:val="auto"/>
              </w:rPr>
            </w:pPr>
            <w:r>
              <w:rPr>
                <w:rFonts w:ascii="Arial" w:cs="Arial" w:eastAsia="Arial" w:hAnsi="Arial"/>
                <w:sz w:val="18"/>
                <w:szCs w:val="18"/>
                <w:color w:val="0000FF"/>
              </w:rPr>
              <w:t>NON-GAAP FINANCIAL INFORMATION</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76</w:t>
            </w:r>
          </w:p>
        </w:tc>
        <w:tc>
          <w:tcPr>
            <w:tcW w:w="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324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FORWARD LOOKING STATEMENTS</w:t>
            </w:r>
          </w:p>
        </w:tc>
        <w:tc>
          <w:tcPr>
            <w:tcW w:w="7780" w:type="dxa"/>
            <w:vAlign w:val="bottom"/>
            <w:gridSpan w:val="5"/>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83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020" w:type="dxa"/>
            <w:vAlign w:val="bottom"/>
            <w:gridSpan w:val="24"/>
          </w:tcPr>
          <w:p>
            <w:pPr>
              <w:spacing w:after="0"/>
              <w:rPr>
                <w:sz w:val="20"/>
                <w:szCs w:val="20"/>
                <w:color w:val="auto"/>
              </w:rPr>
            </w:pPr>
            <w:r>
              <w:rPr>
                <w:rFonts w:ascii="Arial" w:cs="Arial" w:eastAsia="Arial" w:hAnsi="Arial"/>
                <w:sz w:val="18"/>
                <w:szCs w:val="18"/>
                <w:color w:val="0000FF"/>
              </w:rPr>
              <w:t>CRITICAL ACCOUNTING ESTIMATES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9"/>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0000FF"/>
              </w:rPr>
              <w:t>Fair Value of Debt Securities Available for Sale</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9"/>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0000FF"/>
              </w:rPr>
              <w:t>Fair Value of Assets Acquired and Liabilities Assumed in Business Combinations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Goodwill</w:t>
            </w:r>
          </w:p>
        </w:tc>
        <w:tc>
          <w:tcPr>
            <w:tcW w:w="5180" w:type="dxa"/>
            <w:vAlign w:val="bottom"/>
            <w:tcBorders>
              <w:top w:val="single" w:sz="8" w:color="0000FF"/>
            </w:tcBorders>
            <w:gridSpan w:val="18"/>
          </w:tcPr>
          <w:p>
            <w:pPr>
              <w:spacing w:after="0"/>
              <w:rPr>
                <w:sz w:val="21"/>
                <w:szCs w:val="21"/>
                <w:color w:val="auto"/>
              </w:rPr>
            </w:pPr>
          </w:p>
        </w:tc>
        <w:tc>
          <w:tcPr>
            <w:tcW w:w="458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0000FF"/>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8400" w:type="dxa"/>
            <w:vAlign w:val="bottom"/>
            <w:gridSpan w:val="8"/>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0000FF"/>
              </w:rPr>
              <w:t>Allowance for Credit Losses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85</w:t>
            </w:r>
          </w:p>
        </w:tc>
        <w:tc>
          <w:tcPr>
            <w:tcW w:w="20" w:type="dxa"/>
            <w:vAlign w:val="bottom"/>
          </w:tcPr>
          <w:p>
            <w:pPr>
              <w:spacing w:after="0"/>
              <w:rPr>
                <w:sz w:val="21"/>
                <w:szCs w:val="21"/>
                <w:color w:val="auto"/>
              </w:rPr>
            </w:pPr>
          </w:p>
        </w:tc>
      </w:tr>
      <w:tr>
        <w:trPr>
          <w:trHeight w:val="952"/>
        </w:trPr>
        <w:tc>
          <w:tcPr>
            <w:tcW w:w="600" w:type="dxa"/>
            <w:vAlign w:val="bottom"/>
            <w:gridSpan w:val="2"/>
          </w:tcPr>
          <w:p>
            <w:pPr>
              <w:spacing w:after="0"/>
              <w:rPr>
                <w:sz w:val="24"/>
                <w:szCs w:val="24"/>
                <w:color w:val="auto"/>
              </w:rPr>
            </w:pPr>
          </w:p>
        </w:tc>
        <w:tc>
          <w:tcPr>
            <w:tcW w:w="2040" w:type="dxa"/>
            <w:vAlign w:val="bottom"/>
            <w:tcBorders>
              <w:top w:val="single" w:sz="8" w:color="0000FF"/>
            </w:tcBorders>
            <w:gridSpan w:val="15"/>
          </w:tcPr>
          <w:p>
            <w:pPr>
              <w:spacing w:after="0"/>
              <w:rPr>
                <w:sz w:val="24"/>
                <w:szCs w:val="24"/>
                <w:color w:val="auto"/>
              </w:rPr>
            </w:pPr>
          </w:p>
        </w:tc>
        <w:tc>
          <w:tcPr>
            <w:tcW w:w="3820" w:type="dxa"/>
            <w:vAlign w:val="bottom"/>
            <w:gridSpan w:val="7"/>
          </w:tcPr>
          <w:p>
            <w:pPr>
              <w:jc w:val="right"/>
              <w:ind w:right="740"/>
              <w:spacing w:after="0"/>
              <w:rPr>
                <w:sz w:val="20"/>
                <w:szCs w:val="20"/>
                <w:color w:val="auto"/>
              </w:rPr>
            </w:pPr>
            <w:r>
              <w:rPr>
                <w:rFonts w:ascii="Arial" w:cs="Arial" w:eastAsia="Arial" w:hAnsi="Arial"/>
                <w:sz w:val="18"/>
                <w:szCs w:val="18"/>
                <w:color w:val="auto"/>
              </w:rPr>
              <w:t>56</w:t>
            </w:r>
          </w:p>
        </w:tc>
        <w:tc>
          <w:tcPr>
            <w:tcW w:w="45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First Busey is a $12.5 billion financial holding company headquartered in Champaign, Illinois. Our common stock is traded on The Nasdaq Global Select Market under the symbol “BUSE.”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three operating segments provide a full range of banking, payment technology solutions, and wealth management services through our subsidiaries, Busey Bank and FirsTech, in Illinois; the St. Louis, Missouri metropolitan area; southwest Florida; and Indianapolis, Indiana.</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are intended to assist readers in understanding First Busey’s financial condition and results of operations during the three and nine months ended September 30, 2022, and should be read in conjunction with our unaudited consolidated financial statements and notes thereto included in this Quarterly Report, as well as our 2021 Annual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Hurricane Ian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September 28, 2022, Hurricane Ian made landfall in southwest Florida impacting our operations in the region. We are focused on assisting our clients and employees as they navigate the challenges from this historic storm. Efforts undertaken to date include: 1) financial assistance for associates impacted by the storm; 2) creation of a relief center for associates to access much needed supplies; 3) staffing resource reallocation to support our southwest Florida operations; 4) fee waivers for impacted customers; and 5) loan modification programs for impacted commercial and residential customers. These are but a few of the initiatives and efforts implemented to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Efficiency Initiative</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Early in the fourth quarter of 2022, we implemented a targeted restructuring and efficiency optimization plan that is expected to generate annual salary and benefits savings of $4.0 million to $4.4 million. We also expect to incur one-time severance-related costs associated with this initiative of $1.1 million to $1.3 million, most of which are expected to be realized in the fourth quarter. We expect to largely reinvest the anticipated savings to support ongoing growth initiatives across our franchise over the next several quarters.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Operating performance metrics presented in the table below have been derived from information used by management to monitor and manage the financial performance of the Company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9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r>
      <w:tr>
        <w:trPr>
          <w:trHeight w:val="39"/>
        </w:trPr>
        <w:tc>
          <w:tcPr>
            <w:tcW w:w="96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35,661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25,941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93,924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93,523</w:t>
            </w: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36,435</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32,845</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95,620</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102,831</w:t>
            </w:r>
          </w:p>
        </w:tc>
      </w:tr>
      <w:tr>
        <w:trPr>
          <w:trHeight w:val="270"/>
        </w:trPr>
        <w:tc>
          <w:tcPr>
            <w:tcW w:w="9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0.64</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1.67</w:t>
            </w:r>
          </w:p>
        </w:tc>
      </w:tr>
      <w:tr>
        <w:trPr>
          <w:trHeight w:val="27"/>
        </w:trPr>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earnings per common share</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1.84</w:t>
            </w:r>
          </w:p>
        </w:tc>
      </w:tr>
      <w:tr>
        <w:trPr>
          <w:trHeight w:val="270"/>
        </w:trPr>
        <w:tc>
          <w:tcPr>
            <w:tcW w:w="9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Return on average assets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Return on average assets</w:t>
            </w:r>
            <w:r>
              <w:rPr>
                <w:rFonts w:ascii="Arial" w:cs="Arial" w:eastAsia="Arial" w:hAnsi="Arial"/>
                <w:sz w:val="23"/>
                <w:szCs w:val="23"/>
                <w:color w:val="auto"/>
                <w:vertAlign w:val="superscript"/>
              </w:rPr>
              <w:t>1, 2</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70"/>
        </w:trPr>
        <w:tc>
          <w:tcPr>
            <w:tcW w:w="9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w w:val="96"/>
              </w:rPr>
              <w:t>Return on average tangible common equity</w:t>
            </w:r>
            <w:r>
              <w:rPr>
                <w:rFonts w:ascii="Arial" w:cs="Arial" w:eastAsia="Arial" w:hAnsi="Arial"/>
                <w:sz w:val="23"/>
                <w:szCs w:val="23"/>
                <w:color w:val="auto"/>
                <w:w w:val="96"/>
                <w:vertAlign w:val="superscript"/>
              </w:rPr>
              <w:t>1, 2</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17.41 %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14.81 %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13.12 %</w:t>
            </w: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Return on average tangible common equity</w:t>
            </w:r>
            <w:r>
              <w:rPr>
                <w:rFonts w:ascii="Arial" w:cs="Arial" w:eastAsia="Arial" w:hAnsi="Arial"/>
                <w:sz w:val="23"/>
                <w:szCs w:val="23"/>
                <w:color w:val="auto"/>
                <w:w w:val="96"/>
                <w:vertAlign w:val="superscript"/>
              </w:rPr>
              <w:t>1, 2</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14.43 %</w:t>
            </w:r>
          </w:p>
        </w:tc>
      </w:tr>
      <w:tr>
        <w:trPr>
          <w:trHeight w:val="270"/>
        </w:trPr>
        <w:tc>
          <w:tcPr>
            <w:tcW w:w="9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Pre-provision net revenue</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46,498</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30,470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122,133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104,698</w:t>
            </w: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Pre-provision net revenue</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48,800</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39,409</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129,421</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119,648</w:t>
            </w:r>
          </w:p>
        </w:tc>
      </w:tr>
      <w:tr>
        <w:trPr>
          <w:trHeight w:val="270"/>
        </w:trPr>
        <w:tc>
          <w:tcPr>
            <w:tcW w:w="9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w w:val="94"/>
              </w:rPr>
              <w:t>Pre-provision net revenue to average assets</w:t>
            </w:r>
            <w:r>
              <w:rPr>
                <w:rFonts w:ascii="Arial" w:cs="Arial" w:eastAsia="Arial" w:hAnsi="Arial"/>
                <w:sz w:val="23"/>
                <w:szCs w:val="23"/>
                <w:color w:val="auto"/>
                <w:w w:val="94"/>
                <w:vertAlign w:val="superscript"/>
              </w:rPr>
              <w:t>1, 2</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0.95 %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Pre-provision net revenue to average assets</w:t>
            </w:r>
            <w:r>
              <w:rPr>
                <w:rFonts w:ascii="Arial" w:cs="Arial" w:eastAsia="Arial" w:hAnsi="Arial"/>
                <w:sz w:val="23"/>
                <w:szCs w:val="23"/>
                <w:color w:val="auto"/>
                <w:w w:val="94"/>
                <w:vertAlign w:val="superscript"/>
              </w:rPr>
              <w:t>1, 2</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108"/>
        </w:trPr>
        <w:tc>
          <w:tcPr>
            <w:tcW w:w="9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bl>
    <w:p>
      <w:pPr>
        <w:spacing w:after="0" w:line="116" w:lineRule="exact"/>
        <w:rPr>
          <w:sz w:val="20"/>
          <w:szCs w:val="20"/>
          <w:color w:val="auto"/>
        </w:rPr>
      </w:pPr>
    </w:p>
    <w:p>
      <w:pPr>
        <w:ind w:left="340" w:hanging="202"/>
        <w:spacing w:after="0" w:line="266" w:lineRule="auto"/>
        <w:tabs>
          <w:tab w:leader="none" w:pos="335"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 and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ind w:left="320" w:hanging="18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Annualized measure.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8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May 31, 2021, First Busey completed its acquisition of CAC, the holding company for GSB. GSB was operated as a separate banking subsidiary from June 1, 2021, until August 14, 2021, when it was merged with and into Busey Bank. At that time GSB’s banking centers became banking centers of Busey Bank. Upon completion of the GSB acquisition, we reset the baseline for the future financial performance of First Busey in a multitude of positive ways.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 and Non-GAAP Measures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First Busey views certain non-operating items, including acquisition-related and restructuring charges, as adjustments to net income reported under GAAP. Non-operating pre-tax adjustments for the three and nine months ended September 30, 2022, included $1.0 million and $2.1 million of expenses, respectively, related to acquisitions and restructuring.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 reconciliation of non-GAAP measures—including pre-provision net revenue, adjusted pre-provision net revenue, pre-provision net revenue to average assets, adjusted pre-provision net revenue to average assets, adjusted net income, adjusted diluted earnings per share, adjusted return on average assets, return on average tangible common equity, adjusted return on average tangible common equity, adjusted net interest income, adjusted net interest margin, adjusted noninterest expense, adjusted core expense, efficiency ratio, adjusted efficiency ratio, adjusted core efficiency ratio, tangible book value per common share, tangible common equity, tangible common equity to tangible assets, core loans, core loans to portfolio loans, core deposits, core deposits to total deposits, and core loans to core deposits—which First Busey believes facilitates the assessment of its financial results and peer comparability, is included in tabular form in </w:t>
      </w:r>
      <w:r>
        <w:rPr>
          <w:rFonts w:ascii="Arial" w:cs="Arial" w:eastAsia="Arial" w:hAnsi="Arial"/>
          <w:sz w:val="16"/>
          <w:szCs w:val="16"/>
          <w:i w:val="1"/>
          <w:iCs w:val="1"/>
          <w:u w:val="single" w:color="auto"/>
          <w:color w:val="0000FF"/>
        </w:rPr>
        <w:t>“Item 2. Management’s Discussion and Analysis—Non-GAAP Financial Information”</w:t>
      </w:r>
      <w:r>
        <w:rPr>
          <w:rFonts w:ascii="Arial" w:cs="Arial" w:eastAsia="Arial" w:hAnsi="Arial"/>
          <w:sz w:val="16"/>
          <w:szCs w:val="16"/>
          <w:color w:val="auto"/>
        </w:rPr>
        <w:t xml:space="preserve"> included in this Quarterly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Center Markets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serve the Illinois banking market with 46 Busey Bank banking centers.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Ten of our banking centers in Illinois are located within the Chicago Metropolitan Statistical Area, and 12 of our banking centers in Illinois are located within the St. Louis Metropolitan Statistical Area.</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Busey Bank has eight banking centers in Missouri, all within the St. Louis Metropolitan Statistical Area. St. Louis, Missouri has a diverse economy with major employment sectors including health care, financial services, professional and business services, and retail. We have a total of 20 banking centers within the boundaries of the St. Louis Metropolitan Statistical Area, including branches in both Illinois and Missouri.</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Busey Bank has three banking centers in southwest Florida, an area which has experienced strong population growth, job growth, and an expanded housing market over the last several years.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including the headquarters of many large corporations.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Average Balance Sheets and Interest Rates (Unaudited)</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The following tables show our unaudited Consolidated Average Balance Sheets </w:t>
      </w:r>
      <w:r>
        <w:rPr>
          <w:rFonts w:ascii="Arial" w:cs="Arial" w:eastAsia="Arial" w:hAnsi="Arial"/>
          <w:sz w:val="18"/>
          <w:szCs w:val="18"/>
          <w:i w:val="1"/>
          <w:iCs w:val="1"/>
          <w:color w:val="auto"/>
        </w:rPr>
        <w:t>(dollars in thousands)</w:t>
      </w:r>
      <w:r>
        <w:rPr>
          <w:rFonts w:ascii="Arial" w:cs="Arial" w:eastAsia="Arial" w:hAnsi="Arial"/>
          <w:sz w:val="18"/>
          <w:szCs w:val="18"/>
          <w:color w:val="auto"/>
        </w:rPr>
        <w:t>, and details the major categories of assets and liabilities, the interest income earned on interest-earning assets, the interest expense paid for interest-bearing liabilities, and the related interest yields for the periods shown. Average information is provided on a daily average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w w:val="99"/>
              </w:rPr>
              <w:t>Three Months Ended 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2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0"/>
        </w:trPr>
        <w:tc>
          <w:tcPr>
            <w:tcW w:w="2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Yield/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Yield/</w:t>
            </w:r>
          </w:p>
        </w:tc>
      </w:tr>
      <w:tr>
        <w:trPr>
          <w:trHeight w:val="228"/>
        </w:trPr>
        <w:tc>
          <w:tcPr>
            <w:tcW w:w="2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w:t>
            </w: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w:t>
            </w: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5</w:t>
            </w:r>
          </w:p>
        </w:tc>
      </w:tr>
      <w:tr>
        <w:trPr>
          <w:trHeight w:val="189"/>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0"/>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Interest-bearing bank deposits and federal funds sold</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207,917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1,085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2.07 %</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860,200</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0.21 %</w:t>
            </w: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0"/>
        </w:trPr>
        <w:tc>
          <w:tcPr>
            <w:tcW w:w="3820" w:type="dxa"/>
            <w:vAlign w:val="bottom"/>
            <w:gridSpan w:val="2"/>
          </w:tcPr>
          <w:p>
            <w:pPr>
              <w:ind w:left="260"/>
              <w:spacing w:after="0"/>
              <w:rPr>
                <w:sz w:val="20"/>
                <w:szCs w:val="20"/>
                <w:color w:val="auto"/>
              </w:rPr>
            </w:pPr>
            <w:r>
              <w:rPr>
                <w:rFonts w:ascii="Arial" w:cs="Arial" w:eastAsia="Arial" w:hAnsi="Arial"/>
                <w:sz w:val="14"/>
                <w:szCs w:val="14"/>
                <w:color w:val="auto"/>
              </w:rPr>
              <w:t>U.S. Government obligations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174,357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0.61 %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251,553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0.66 %</w:t>
            </w: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3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Obligations of states and political subdivisions</w:t>
            </w:r>
            <w:r>
              <w:rPr>
                <w:rFonts w:ascii="Arial" w:cs="Arial" w:eastAsia="Arial" w:hAnsi="Arial"/>
                <w:sz w:val="9"/>
                <w:szCs w:val="9"/>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284,069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1,900</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299,024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2.52 %</w:t>
            </w:r>
          </w:p>
        </w:tc>
      </w:tr>
      <w:tr>
        <w:trPr>
          <w:trHeight w:val="191"/>
        </w:trPr>
        <w:tc>
          <w:tcPr>
            <w:tcW w:w="3820" w:type="dxa"/>
            <w:vAlign w:val="bottom"/>
            <w:gridSpan w:val="2"/>
          </w:tcPr>
          <w:p>
            <w:pPr>
              <w:ind w:left="260"/>
              <w:spacing w:after="0"/>
              <w:rPr>
                <w:sz w:val="20"/>
                <w:szCs w:val="20"/>
                <w:color w:val="auto"/>
              </w:rPr>
            </w:pPr>
            <w:r>
              <w:rPr>
                <w:rFonts w:ascii="Arial" w:cs="Arial" w:eastAsia="Arial" w:hAnsi="Arial"/>
                <w:sz w:val="14"/>
                <w:szCs w:val="14"/>
                <w:color w:val="auto"/>
              </w:rPr>
              <w:t>Other securities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3,209,327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16,298</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2.01 %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3,171,163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10,167</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1.27 %</w:t>
            </w: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2.52 %</w:t>
            </w:r>
          </w:p>
        </w:tc>
      </w:tr>
      <w:tr>
        <w:trPr>
          <w:trHeight w:val="190"/>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Portfolio loans</w:t>
            </w:r>
            <w:r>
              <w:rPr>
                <w:rFonts w:ascii="Arial" w:cs="Arial" w:eastAsia="Arial" w:hAnsi="Arial"/>
                <w:sz w:val="9"/>
                <w:szCs w:val="9"/>
                <w:color w:val="auto"/>
              </w:rPr>
              <w:t>1, 2</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7,617,918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76,355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3.98 %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7,133,108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65,418</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3.64 %</w:t>
            </w:r>
          </w:p>
        </w:tc>
      </w:tr>
      <w:tr>
        <w:trPr>
          <w:trHeight w:val="39"/>
        </w:trPr>
        <w:tc>
          <w:tcPr>
            <w:tcW w:w="246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2"/>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interest-earning assets</w:t>
            </w:r>
            <w:r>
              <w:rPr>
                <w:rFonts w:ascii="Arial" w:cs="Arial" w:eastAsia="Arial" w:hAnsi="Arial"/>
                <w:sz w:val="9"/>
                <w:szCs w:val="9"/>
                <w:color w:val="auto"/>
              </w:rPr>
              <w:t>1, 3</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11,497,783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95,958</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11,730,637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78,462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69"/>
        </w:trPr>
        <w:tc>
          <w:tcPr>
            <w:tcW w:w="2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9"/>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123,480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149,550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0"/>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Premises and equipment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130,367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144,334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ACL</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(96,682)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0"/>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869,245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769,956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r>
      <w:tr>
        <w:trPr>
          <w:trHeight w:val="237"/>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12,531,856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12,697,795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69"/>
        </w:trPr>
        <w:tc>
          <w:tcPr>
            <w:tcW w:w="2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9"/>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1"/>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Interest-bearing transaction deposits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2,880,802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1,582</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0.22 %</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2,809,669</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0.07 %</w:t>
            </w: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Savings and money market deposits</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3,311,327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1,058</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0.13 %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3,369,482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0.10 %</w:t>
            </w:r>
          </w:p>
        </w:tc>
      </w:tr>
      <w:tr>
        <w:trPr>
          <w:trHeight w:val="190"/>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800,996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925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0.46 %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1,074,091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1,726</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0.64 %</w:t>
            </w: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Federal funds purchased and repurchase agreements</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233,032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459</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0.78 %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221,813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0.11 %</w:t>
            </w:r>
          </w:p>
        </w:tc>
      </w:tr>
      <w:tr>
        <w:trPr>
          <w:trHeight w:val="190"/>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Borrowings</w:t>
            </w:r>
            <w:r>
              <w:rPr>
                <w:rFonts w:ascii="Arial" w:cs="Arial" w:eastAsia="Arial" w:hAnsi="Arial"/>
                <w:sz w:val="9"/>
                <w:szCs w:val="9"/>
                <w:color w:val="auto"/>
              </w:rPr>
              <w:t>4</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307,255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4,300</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5.55 %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296,185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3,262</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4.37 %</w:t>
            </w: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0"/>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Junior subordinated debt issued to unconsolidated trusts</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786</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4.04 %</w:t>
            </w:r>
          </w:p>
        </w:tc>
      </w:tr>
      <w:tr>
        <w:trPr>
          <w:trHeight w:val="217"/>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Total interest-bearing liabilities</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7,605,148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9,110</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0.48 %</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7,842,805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7,109</w:t>
            </w:r>
          </w:p>
        </w:tc>
        <w:tc>
          <w:tcPr>
            <w:tcW w:w="1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0.36 %</w:t>
            </w: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35"/>
        </w:trPr>
        <w:tc>
          <w:tcPr>
            <w:tcW w:w="24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4"/>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interest spread</w:t>
            </w:r>
            <w:r>
              <w:rPr>
                <w:rFonts w:ascii="Arial" w:cs="Arial" w:eastAsia="Arial" w:hAnsi="Arial"/>
                <w:sz w:val="9"/>
                <w:szCs w:val="9"/>
                <w:color w:val="auto"/>
              </w:rPr>
              <w:t>1</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2.29 %</w:t>
            </w: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9"/>
        </w:trPr>
        <w:tc>
          <w:tcPr>
            <w:tcW w:w="24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0"/>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Noninterest-bearing deposits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3,583,693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3,365,823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161,567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137,751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1"/>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1,181,448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1,351,416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r>
      <w:tr>
        <w:trPr>
          <w:trHeight w:val="237"/>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12,531,856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12,697,795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69"/>
        </w:trPr>
        <w:tc>
          <w:tcPr>
            <w:tcW w:w="2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0"/>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 earning assets</w:t>
            </w:r>
            <w:r>
              <w:rPr>
                <w:rFonts w:ascii="Arial" w:cs="Arial" w:eastAsia="Arial" w:hAnsi="Arial"/>
                <w:sz w:val="9"/>
                <w:szCs w:val="9"/>
                <w:color w:val="auto"/>
              </w:rPr>
              <w:t>1, 3</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11,497,783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95,958</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11,730,637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78,462</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r>
      <w:tr>
        <w:trPr>
          <w:trHeight w:val="190"/>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Interest expense / earning assets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11,497,783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9,110</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0.31 %</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11,730,637</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7,109</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0.24 %</w:t>
            </w:r>
          </w:p>
        </w:tc>
      </w:tr>
      <w:tr>
        <w:trPr>
          <w:trHeight w:val="39"/>
        </w:trPr>
        <w:tc>
          <w:tcPr>
            <w:tcW w:w="2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7"/>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9"/>
                <w:szCs w:val="9"/>
                <w:color w:val="auto"/>
              </w:rPr>
              <w:t>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86,848</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71,353</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2.41 %</w:t>
            </w:r>
          </w:p>
        </w:tc>
      </w:tr>
      <w:tr>
        <w:trPr>
          <w:trHeight w:val="26"/>
        </w:trPr>
        <w:tc>
          <w:tcPr>
            <w:tcW w:w="2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15"/>
        </w:trPr>
        <w:tc>
          <w:tcPr>
            <w:tcW w:w="246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bl>
    <w:p>
      <w:pPr>
        <w:spacing w:after="0" w:line="116" w:lineRule="exact"/>
        <w:rPr>
          <w:sz w:val="20"/>
          <w:szCs w:val="20"/>
          <w:color w:val="auto"/>
        </w:rPr>
      </w:pPr>
    </w:p>
    <w:p>
      <w:pPr>
        <w:ind w:left="340" w:hanging="202"/>
        <w:spacing w:after="0" w:line="256" w:lineRule="auto"/>
        <w:tabs>
          <w:tab w:leader="none" w:pos="335"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On a tax-equivalent basis and assuming a federal income tax rate of 21.0%.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ind w:left="320" w:hanging="18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Non-accrual loans have been included in average portfolio loans.</w:t>
      </w:r>
    </w:p>
    <w:p>
      <w:pPr>
        <w:spacing w:after="0" w:line="14" w:lineRule="exact"/>
        <w:rPr>
          <w:rFonts w:ascii="Arial" w:cs="Arial" w:eastAsia="Arial" w:hAnsi="Arial"/>
          <w:sz w:val="14"/>
          <w:szCs w:val="14"/>
          <w:color w:val="auto"/>
        </w:rPr>
      </w:pPr>
    </w:p>
    <w:p>
      <w:pPr>
        <w:ind w:left="320" w:hanging="18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includes a tax-equivalent adjustment of $0.5 million and $0.6 million for the three months ended September 30, 2022, and 2021, respectively.</w:t>
      </w:r>
    </w:p>
    <w:p>
      <w:pPr>
        <w:spacing w:after="0" w:line="14" w:lineRule="exact"/>
        <w:rPr>
          <w:rFonts w:ascii="Arial" w:cs="Arial" w:eastAsia="Arial" w:hAnsi="Arial"/>
          <w:sz w:val="14"/>
          <w:szCs w:val="14"/>
          <w:color w:val="auto"/>
        </w:rPr>
      </w:pPr>
    </w:p>
    <w:p>
      <w:pPr>
        <w:ind w:left="320" w:hanging="18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short-term and long-term borrowings. Interest expense includes a non-usage fee on a revolving loan.</w:t>
      </w:r>
    </w:p>
    <w:p>
      <w:pPr>
        <w:spacing w:after="0" w:line="14" w:lineRule="exact"/>
        <w:rPr>
          <w:rFonts w:ascii="Arial" w:cs="Arial" w:eastAsia="Arial" w:hAnsi="Arial"/>
          <w:sz w:val="14"/>
          <w:szCs w:val="14"/>
          <w:color w:val="auto"/>
        </w:rPr>
      </w:pPr>
    </w:p>
    <w:p>
      <w:pPr>
        <w:ind w:left="320" w:hanging="18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Annualized.</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2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60"/>
        </w:trPr>
        <w:tc>
          <w:tcPr>
            <w:tcW w:w="2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102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Income/</w:t>
            </w:r>
          </w:p>
        </w:tc>
        <w:tc>
          <w:tcPr>
            <w:tcW w:w="124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Yield/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102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Income/</w:t>
            </w:r>
          </w:p>
        </w:tc>
        <w:tc>
          <w:tcPr>
            <w:tcW w:w="122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Yield/</w:t>
            </w:r>
          </w:p>
        </w:tc>
      </w:tr>
      <w:tr>
        <w:trPr>
          <w:trHeight w:val="186"/>
        </w:trPr>
        <w:tc>
          <w:tcPr>
            <w:tcW w:w="2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Expense</w:t>
            </w: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w:t>
            </w: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5</w:t>
            </w:r>
          </w:p>
        </w:tc>
      </w:tr>
      <w:tr>
        <w:trPr>
          <w:trHeight w:val="53"/>
        </w:trPr>
        <w:tc>
          <w:tcPr>
            <w:tcW w:w="246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9"/>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190"/>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Interest-bearing bank deposits and federal funds sold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331,664</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1,720</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0.69 %</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597,960</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0.19 %</w:t>
            </w:r>
          </w:p>
        </w:tc>
      </w:tr>
      <w:tr>
        <w:trPr>
          <w:trHeight w:val="39"/>
        </w:trPr>
        <w:tc>
          <w:tcPr>
            <w:tcW w:w="2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0"/>
        </w:trPr>
        <w:tc>
          <w:tcPr>
            <w:tcW w:w="3800" w:type="dxa"/>
            <w:vAlign w:val="bottom"/>
            <w:gridSpan w:val="2"/>
          </w:tcPr>
          <w:p>
            <w:pPr>
              <w:ind w:left="260"/>
              <w:spacing w:after="0"/>
              <w:rPr>
                <w:sz w:val="20"/>
                <w:szCs w:val="20"/>
                <w:color w:val="auto"/>
              </w:rPr>
            </w:pPr>
            <w:r>
              <w:rPr>
                <w:rFonts w:ascii="Arial" w:cs="Arial" w:eastAsia="Arial" w:hAnsi="Arial"/>
                <w:sz w:val="14"/>
                <w:szCs w:val="14"/>
                <w:color w:val="auto"/>
              </w:rPr>
              <w:t>U.S. Government obligations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186,493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836</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0.60 %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1.11 %</w:t>
            </w:r>
          </w:p>
        </w:tc>
      </w:tr>
      <w:tr>
        <w:trPr>
          <w:trHeight w:val="39"/>
        </w:trPr>
        <w:tc>
          <w:tcPr>
            <w:tcW w:w="2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0"/>
        </w:trPr>
        <w:tc>
          <w:tcPr>
            <w:tcW w:w="3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Obligations of states and political subdivisions</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293,161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5,762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2.60 %</w:t>
            </w:r>
          </w:p>
        </w:tc>
      </w:tr>
      <w:tr>
        <w:trPr>
          <w:trHeight w:val="190"/>
        </w:trPr>
        <w:tc>
          <w:tcPr>
            <w:tcW w:w="3800" w:type="dxa"/>
            <w:vAlign w:val="bottom"/>
            <w:gridSpan w:val="2"/>
          </w:tcPr>
          <w:p>
            <w:pPr>
              <w:ind w:left="180"/>
              <w:spacing w:after="0"/>
              <w:rPr>
                <w:sz w:val="20"/>
                <w:szCs w:val="20"/>
                <w:color w:val="auto"/>
              </w:rPr>
            </w:pPr>
            <w:r>
              <w:rPr>
                <w:rFonts w:ascii="Arial" w:cs="Arial" w:eastAsia="Arial" w:hAnsi="Arial"/>
                <w:sz w:val="14"/>
                <w:szCs w:val="14"/>
                <w:color w:val="auto"/>
              </w:rPr>
              <w:t>Other securities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3,345,611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43,913</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1.75 %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2,645,746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25,513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1.29 %</w:t>
            </w:r>
          </w:p>
        </w:tc>
      </w:tr>
      <w:tr>
        <w:trPr>
          <w:trHeight w:val="39"/>
        </w:trPr>
        <w:tc>
          <w:tcPr>
            <w:tcW w:w="2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6,376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2.32 %</w:t>
            </w:r>
          </w:p>
        </w:tc>
      </w:tr>
      <w:tr>
        <w:trPr>
          <w:trHeight w:val="230"/>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Portfolio loans</w:t>
            </w:r>
            <w:r>
              <w:rPr>
                <w:rFonts w:ascii="Arial" w:cs="Arial" w:eastAsia="Arial" w:hAnsi="Arial"/>
                <w:sz w:val="18"/>
                <w:szCs w:val="18"/>
                <w:color w:val="auto"/>
                <w:vertAlign w:val="superscript"/>
              </w:rPr>
              <w:t>1, 2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7,387,582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203,338</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6,921,226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189,743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3.67 %</w:t>
            </w: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1, 3</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11,550,887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255,737</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2.96 %</w:t>
            </w:r>
          </w:p>
        </w:tc>
        <w:tc>
          <w:tcPr>
            <w:tcW w:w="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10,651,386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223,661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2.81 %</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63"/>
        </w:trPr>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9"/>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123,881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134,998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0"/>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Premises and equipment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132,977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138,257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ACL</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(88,744)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(98,522)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0"/>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828,815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745,151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r>
      <w:tr>
        <w:trPr>
          <w:trHeight w:val="23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12,547,816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11,571,270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69"/>
        </w:trPr>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9"/>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0"/>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Interest-bearing transaction deposits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2,742,105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2,446</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0.12 %</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2,534,979</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0.08 %</w:t>
            </w:r>
          </w:p>
        </w:tc>
      </w:tr>
      <w:tr>
        <w:trPr>
          <w:trHeight w:val="39"/>
        </w:trPr>
        <w:tc>
          <w:tcPr>
            <w:tcW w:w="2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Savings and money market deposits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3,399,782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2,310</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2,981,559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0.10 %</w:t>
            </w:r>
          </w:p>
        </w:tc>
      </w:tr>
      <w:tr>
        <w:trPr>
          <w:trHeight w:val="191"/>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855,219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3,079</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0.48 %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1,060,993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6,406</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0.81 %</w:t>
            </w:r>
          </w:p>
        </w:tc>
      </w:tr>
      <w:tr>
        <w:trPr>
          <w:trHeight w:val="39"/>
        </w:trPr>
        <w:tc>
          <w:tcPr>
            <w:tcW w:w="2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Federal funds purchased and repurchase agreements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246,481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665</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0.36 %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203,777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0.12 %</w:t>
            </w:r>
          </w:p>
        </w:tc>
      </w:tr>
      <w:tr>
        <w:trPr>
          <w:trHeight w:val="230"/>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Borrowings</w:t>
            </w:r>
            <w:r>
              <w:rPr>
                <w:rFonts w:ascii="Arial" w:cs="Arial" w:eastAsia="Arial" w:hAnsi="Arial"/>
                <w:sz w:val="18"/>
                <w:szCs w:val="18"/>
                <w:color w:val="auto"/>
                <w:vertAlign w:val="superscript"/>
              </w:rPr>
              <w:t>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296,034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11,165</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9,245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4.72 %</w:t>
            </w:r>
          </w:p>
        </w:tc>
      </w:tr>
      <w:tr>
        <w:trPr>
          <w:trHeight w:val="229"/>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Junior subordinated debt issued to unconsolidated trusts</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71,693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2,148</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4.08 %</w:t>
            </w:r>
          </w:p>
        </w:tc>
      </w:tr>
      <w:tr>
        <w:trPr>
          <w:trHeight w:val="217"/>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Total interest-bearing liabilities</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7,611,314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21,813</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0.38 %</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7,114,856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21,693</w:t>
            </w:r>
          </w:p>
        </w:tc>
        <w:tc>
          <w:tcPr>
            <w:tcW w:w="1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0.41 %</w:t>
            </w: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89"/>
        </w:trPr>
        <w:tc>
          <w:tcPr>
            <w:tcW w:w="24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2.40 %</w:t>
            </w: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24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0"/>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Noninterest-bearing deposits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3,569,562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3,010,999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147,295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121,844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0"/>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1,219,645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1,323,571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46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r>
      <w:tr>
        <w:trPr>
          <w:trHeight w:val="23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12,547,816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11,571,270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69"/>
        </w:trPr>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 earning assets</w:t>
            </w:r>
            <w:r>
              <w:rPr>
                <w:rFonts w:ascii="Arial" w:cs="Arial" w:eastAsia="Arial" w:hAnsi="Arial"/>
                <w:sz w:val="18"/>
                <w:szCs w:val="18"/>
                <w:color w:val="auto"/>
                <w:vertAlign w:val="superscript"/>
              </w:rPr>
              <w:t>1, 3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11,550,887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255,737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2.96 %</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10,651,386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223,661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2.81 %</w:t>
            </w:r>
          </w:p>
        </w:tc>
      </w:tr>
      <w:tr>
        <w:trPr>
          <w:trHeight w:val="190"/>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Interest expense / earning 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11,550,887</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21,813</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0.25 %</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10,651,386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21,693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0.27 %</w:t>
            </w:r>
          </w:p>
        </w:tc>
      </w:tr>
      <w:tr>
        <w:trPr>
          <w:trHeight w:val="39"/>
        </w:trPr>
        <w:tc>
          <w:tcPr>
            <w:tcW w:w="2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233,924</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201,968</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2.54 %</w:t>
            </w:r>
          </w:p>
        </w:tc>
      </w:tr>
      <w:tr>
        <w:trPr>
          <w:trHeight w:val="20"/>
        </w:trPr>
        <w:tc>
          <w:tcPr>
            <w:tcW w:w="2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2"/>
        </w:trPr>
        <w:tc>
          <w:tcPr>
            <w:tcW w:w="246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r>
    </w:tbl>
    <w:p>
      <w:pPr>
        <w:spacing w:after="0" w:line="116" w:lineRule="exact"/>
        <w:rPr>
          <w:sz w:val="20"/>
          <w:szCs w:val="20"/>
          <w:color w:val="auto"/>
        </w:rPr>
      </w:pPr>
    </w:p>
    <w:p>
      <w:pPr>
        <w:ind w:left="340" w:hanging="202"/>
        <w:spacing w:after="0" w:line="266" w:lineRule="auto"/>
        <w:tabs>
          <w:tab w:leader="none" w:pos="335"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On a tax-equivalent basis and assuming a federal income tax rate of 21.0%.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ind w:left="320" w:hanging="18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Non-accrual loans have been included in average portfolio loans.</w:t>
      </w:r>
    </w:p>
    <w:p>
      <w:pPr>
        <w:spacing w:after="0" w:line="6" w:lineRule="exact"/>
        <w:rPr>
          <w:rFonts w:ascii="Arial" w:cs="Arial" w:eastAsia="Arial" w:hAnsi="Arial"/>
          <w:sz w:val="14"/>
          <w:szCs w:val="14"/>
          <w:color w:val="auto"/>
        </w:rPr>
      </w:pPr>
    </w:p>
    <w:p>
      <w:pPr>
        <w:ind w:left="320" w:hanging="18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includes a tax-equivalent adjustment of $1.6 million and $1.8 million for the nine months ended September 30, 2022, and 2021, respectively.</w:t>
      </w:r>
    </w:p>
    <w:p>
      <w:pPr>
        <w:spacing w:after="0" w:line="9" w:lineRule="exact"/>
        <w:rPr>
          <w:rFonts w:ascii="Arial" w:cs="Arial" w:eastAsia="Arial" w:hAnsi="Arial"/>
          <w:sz w:val="14"/>
          <w:szCs w:val="14"/>
          <w:color w:val="auto"/>
        </w:rPr>
      </w:pPr>
    </w:p>
    <w:p>
      <w:pPr>
        <w:ind w:left="320" w:hanging="18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short-term and long-term borrowings. Interest expense includes a non-usage fee on a revolving loan.</w:t>
      </w:r>
    </w:p>
    <w:p>
      <w:pPr>
        <w:spacing w:after="0" w:line="14" w:lineRule="exact"/>
        <w:rPr>
          <w:rFonts w:ascii="Arial" w:cs="Arial" w:eastAsia="Arial" w:hAnsi="Arial"/>
          <w:sz w:val="14"/>
          <w:szCs w:val="14"/>
          <w:color w:val="auto"/>
        </w:rPr>
      </w:pPr>
    </w:p>
    <w:p>
      <w:pPr>
        <w:ind w:left="320" w:hanging="18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Notable changes in average assets and average liabilities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3"/>
              </w:rPr>
              <w:t>Three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5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interest-earning assets</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11,497,783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11,730,637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Average interest-bearing liabilities</w:t>
            </w:r>
          </w:p>
        </w:tc>
        <w:tc>
          <w:tcPr>
            <w:tcW w:w="320" w:type="dxa"/>
            <w:vAlign w:val="bottom"/>
          </w:tcPr>
          <w:p>
            <w:pPr>
              <w:spacing w:after="0"/>
              <w:rPr>
                <w:sz w:val="21"/>
                <w:szCs w:val="21"/>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7,605,148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7,842,805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(237,657)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noninterest-bearing deposits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3,583,693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3,365,823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average deposits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10,576,818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10,619,065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average liabilities</w:t>
            </w:r>
          </w:p>
        </w:tc>
        <w:tc>
          <w:tcPr>
            <w:tcW w:w="320" w:type="dxa"/>
            <w:vAlign w:val="bottom"/>
          </w:tcPr>
          <w:p>
            <w:pPr>
              <w:spacing w:after="0"/>
              <w:rPr>
                <w:sz w:val="21"/>
                <w:szCs w:val="21"/>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11,350,408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11,346,379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Average noninterest-bearing deposits as a percent of total</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average deposits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ind w:left="580"/>
              <w:spacing w:after="0"/>
              <w:rPr>
                <w:sz w:val="20"/>
                <w:szCs w:val="20"/>
                <w:color w:val="auto"/>
              </w:rPr>
            </w:pPr>
            <w:r>
              <w:rPr>
                <w:rFonts w:ascii="Arial" w:cs="Arial" w:eastAsia="Arial" w:hAnsi="Arial"/>
                <w:sz w:val="18"/>
                <w:szCs w:val="18"/>
                <w:color w:val="auto"/>
                <w:w w:val="99"/>
              </w:rPr>
              <w:t>220 bps</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Total average deposits as a percent of total average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(40) bps</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14"/>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3"/>
              </w:rPr>
              <w:t>Nine Months Ended September 30,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interest-earning assets</w:t>
            </w:r>
          </w:p>
        </w:tc>
        <w:tc>
          <w:tcPr>
            <w:tcW w:w="3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11,550,887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10,651,386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Average interest-bearing liabilities</w:t>
            </w:r>
          </w:p>
        </w:tc>
        <w:tc>
          <w:tcPr>
            <w:tcW w:w="320" w:type="dxa"/>
            <w:vAlign w:val="bottom"/>
          </w:tcPr>
          <w:p>
            <w:pPr>
              <w:spacing w:after="0"/>
              <w:rPr>
                <w:sz w:val="21"/>
                <w:szCs w:val="21"/>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7,611,314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7,114,856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496,458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noninterest-bearing deposits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3,569,562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3,010,999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558,563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average deposits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10,566,668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9,588,530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978,138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average liabilities</w:t>
            </w:r>
          </w:p>
        </w:tc>
        <w:tc>
          <w:tcPr>
            <w:tcW w:w="320" w:type="dxa"/>
            <w:vAlign w:val="bottom"/>
          </w:tcPr>
          <w:p>
            <w:pPr>
              <w:spacing w:after="0"/>
              <w:rPr>
                <w:sz w:val="21"/>
                <w:szCs w:val="21"/>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11,328,171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10,247,699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1,080,472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Average noninterest-bearing deposits as a percent of total</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average deposits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ind w:left="560"/>
              <w:spacing w:after="0"/>
              <w:rPr>
                <w:sz w:val="20"/>
                <w:szCs w:val="20"/>
                <w:color w:val="auto"/>
              </w:rPr>
            </w:pPr>
            <w:r>
              <w:rPr>
                <w:rFonts w:ascii="Arial" w:cs="Arial" w:eastAsia="Arial" w:hAnsi="Arial"/>
                <w:sz w:val="18"/>
                <w:szCs w:val="18"/>
                <w:color w:val="auto"/>
              </w:rPr>
              <w:t>240 bps</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Total average deposits as a percent of total average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(30) bps</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554"/>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net interest income and net interest margin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260"/>
              <w:spacing w:after="0"/>
              <w:rPr>
                <w:sz w:val="20"/>
                <w:szCs w:val="20"/>
                <w:color w:val="auto"/>
              </w:rPr>
            </w:pPr>
            <w:r>
              <w:rPr>
                <w:rFonts w:ascii="Arial" w:cs="Arial" w:eastAsia="Arial" w:hAnsi="Arial"/>
                <w:sz w:val="18"/>
                <w:szCs w:val="18"/>
                <w:color w:val="auto"/>
              </w:rPr>
              <w:t>Interest income, on a tax-equivalent basis</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95,958</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78,462</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17,496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(9,110)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(7,109)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63"/>
        </w:trPr>
        <w:tc>
          <w:tcPr>
            <w:tcW w:w="4800" w:type="dxa"/>
            <w:vAlign w:val="bottom"/>
          </w:tcPr>
          <w:p>
            <w:pPr>
              <w:ind w:left="20"/>
              <w:spacing w:after="0"/>
              <w:rPr>
                <w:sz w:val="20"/>
                <w:szCs w:val="20"/>
                <w:color w:val="auto"/>
              </w:rPr>
            </w:pPr>
            <w:r>
              <w:rPr>
                <w:rFonts w:ascii="Arial" w:cs="Arial" w:eastAsia="Arial" w:hAnsi="Arial"/>
                <w:sz w:val="18"/>
                <w:szCs w:val="18"/>
                <w:color w:val="auto"/>
              </w:rPr>
              <w:t>Net interest income, on a tax-equivalent basis</w:t>
            </w:r>
            <w:r>
              <w:rPr>
                <w:rFonts w:ascii="Arial" w:cs="Arial" w:eastAsia="Arial" w:hAnsi="Arial"/>
                <w:sz w:val="23"/>
                <w:szCs w:val="23"/>
                <w:color w:val="auto"/>
                <w:vertAlign w:val="superscript"/>
              </w:rPr>
              <w:t>1</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rPr>
              <w:t>86,848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71,353</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800" w:type="dxa"/>
            <w:vAlign w:val="bottom"/>
          </w:tcPr>
          <w:p>
            <w:pPr>
              <w:ind w:left="20"/>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23"/>
                <w:szCs w:val="23"/>
                <w:color w:val="auto"/>
                <w:vertAlign w:val="superscript"/>
              </w:rPr>
              <w:t>1, 2</w:t>
            </w: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 bps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Nine Months Ended September 30,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260"/>
              <w:spacing w:after="0"/>
              <w:rPr>
                <w:sz w:val="20"/>
                <w:szCs w:val="20"/>
                <w:color w:val="auto"/>
              </w:rPr>
            </w:pPr>
            <w:r>
              <w:rPr>
                <w:rFonts w:ascii="Arial" w:cs="Arial" w:eastAsia="Arial" w:hAnsi="Arial"/>
                <w:sz w:val="18"/>
                <w:szCs w:val="18"/>
                <w:color w:val="auto"/>
              </w:rPr>
              <w:t>Interest income, on a tax-equivalent basis</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255,737</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223,661</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32,076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(21,813)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(21,693)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63"/>
        </w:trPr>
        <w:tc>
          <w:tcPr>
            <w:tcW w:w="4800" w:type="dxa"/>
            <w:vAlign w:val="bottom"/>
          </w:tcPr>
          <w:p>
            <w:pPr>
              <w:ind w:left="20"/>
              <w:spacing w:after="0"/>
              <w:rPr>
                <w:sz w:val="20"/>
                <w:szCs w:val="20"/>
                <w:color w:val="auto"/>
              </w:rPr>
            </w:pPr>
            <w:r>
              <w:rPr>
                <w:rFonts w:ascii="Arial" w:cs="Arial" w:eastAsia="Arial" w:hAnsi="Arial"/>
                <w:sz w:val="18"/>
                <w:szCs w:val="18"/>
                <w:color w:val="auto"/>
              </w:rPr>
              <w:t>Net interest income, on a tax-equivalent basis</w:t>
            </w:r>
            <w:r>
              <w:rPr>
                <w:rFonts w:ascii="Arial" w:cs="Arial" w:eastAsia="Arial" w:hAnsi="Arial"/>
                <w:sz w:val="23"/>
                <w:szCs w:val="23"/>
                <w:color w:val="auto"/>
                <w:vertAlign w:val="superscript"/>
              </w:rPr>
              <w:t>1</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rPr>
              <w:t>233,924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201,968</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800" w:type="dxa"/>
            <w:vAlign w:val="bottom"/>
          </w:tcPr>
          <w:p>
            <w:pPr>
              <w:ind w:left="20"/>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23"/>
                <w:szCs w:val="23"/>
                <w:color w:val="auto"/>
                <w:vertAlign w:val="superscript"/>
              </w:rPr>
              <w:t>1, 2</w:t>
            </w: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 bps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1551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176" w:lineRule="exact"/>
        <w:rPr>
          <w:sz w:val="20"/>
          <w:szCs w:val="20"/>
          <w:color w:val="auto"/>
        </w:rPr>
      </w:pPr>
    </w:p>
    <w:p>
      <w:pPr>
        <w:ind w:left="340" w:hanging="202"/>
        <w:spacing w:after="0" w:line="266" w:lineRule="auto"/>
        <w:tabs>
          <w:tab w:leader="none" w:pos="335"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Assuming a federal income tax rate of 21.0%.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ind w:left="320" w:hanging="18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interest income expressed as a percentage of average earning assets, stated on a tax-equivalent basis.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FOMC raised rates by 150 basis points during the third quarter of 2022, and a total of 300 basis points during the first three quarters of 2022. Rising rates have a positive impact on net interest margin, as assets, in particular commercial loans, reprice more quickly and to a greater extent than liabilities. Given the timing of the FOMC meetings in September, the full benefit of the associated movement in rates to our net interest margin will be realized in subsequent quarters. In general, net interest margins have been impacted over the last two years by PPP loans, significant growth in the Company’s liquidity position, organic portfolio loan growth over the past six quarters, and the issuance of debt, with more recent impacts resulting from rate increases.</w:t>
      </w:r>
    </w:p>
    <w:p>
      <w:pPr>
        <w:spacing w:after="0" w:line="11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First Busey remains substantially core deposit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funded, with robust liquidity and significant market share in the communities we serve. As of September 30, 2022, our loan to deposit ratio was 72.4% and core deposits represented 99.0% of total deposits.</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spread, which represents the difference between the average rate earned on earning assets and the average rate paid on interest-bearing liabilities, was 2.83% and 2.58% for the three and nine months ended September 30, 2022, respectively, compared to 2.29% and 2.40% for the three and nine months ended September 30, 2021, each on a tax-equivalent basis.</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net interest margin discussion above is based upon the results and average balances for the three and nine months ended September 30, 2022, and 2021. Annualized net interest margins for the quarterly periods indicated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gridSpan w:val="2"/>
          </w:tcPr>
          <w:p>
            <w:pPr>
              <w:ind w:left="860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39"/>
        </w:trPr>
        <w:tc>
          <w:tcPr>
            <w:tcW w:w="79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2.45 %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2.68 %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14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firstLine="8"/>
        <w:spacing w:after="0" w:line="201" w:lineRule="auto"/>
        <w:tabs>
          <w:tab w:leader="none" w:pos="103"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 xml:space="preserve">Core deposits is 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pricing discipline, and operational efficiencies. For a description of accounting policies underlying the recognition of interest income and expense, refer to the Notes to Consolidated Financial Statements in the Company’s 2021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noninterest income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Wealth management and payment technology income:</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Wealth management fees</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12,508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980" w:type="dxa"/>
            <w:vAlign w:val="bottom"/>
          </w:tcPr>
          <w:p>
            <w:pPr>
              <w:ind w:left="520"/>
              <w:spacing w:after="0"/>
              <w:rPr>
                <w:sz w:val="20"/>
                <w:szCs w:val="20"/>
                <w:color w:val="auto"/>
              </w:rPr>
            </w:pPr>
            <w:r>
              <w:rPr>
                <w:rFonts w:ascii="Arial" w:cs="Arial" w:eastAsia="Arial" w:hAnsi="Arial"/>
                <w:sz w:val="18"/>
                <w:szCs w:val="18"/>
                <w:color w:val="auto"/>
              </w:rPr>
              <w:t>Payment technology solutions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Combined, wealth management fees and payment technology</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solutions</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17,588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Fees for customer services</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Mortgage revenue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on bank owned life insurance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Securities income: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520"/>
              <w:spacing w:after="0"/>
              <w:rPr>
                <w:sz w:val="20"/>
                <w:szCs w:val="20"/>
                <w:color w:val="auto"/>
              </w:rPr>
            </w:pPr>
            <w:r>
              <w:rPr>
                <w:rFonts w:ascii="Arial" w:cs="Arial" w:eastAsia="Arial" w:hAnsi="Arial"/>
                <w:sz w:val="18"/>
                <w:szCs w:val="18"/>
                <w:color w:val="auto"/>
              </w:rPr>
              <w:t>Realized net gains (losses) on securities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1"/>
              </w:rPr>
              <w:t>Unrealized net gains (losses) recognized on equity securities</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37"/>
        </w:trPr>
        <w:tc>
          <w:tcPr>
            <w:tcW w:w="4980" w:type="dxa"/>
            <w:vAlign w:val="bottom"/>
          </w:tcPr>
          <w:p>
            <w:pPr>
              <w:ind w:left="260"/>
              <w:spacing w:after="0"/>
              <w:rPr>
                <w:sz w:val="20"/>
                <w:szCs w:val="20"/>
                <w:color w:val="auto"/>
              </w:rPr>
            </w:pPr>
            <w:r>
              <w:rPr>
                <w:rFonts w:ascii="Arial" w:cs="Arial" w:eastAsia="Arial" w:hAnsi="Arial"/>
                <w:sz w:val="18"/>
                <w:szCs w:val="18"/>
                <w:color w:val="auto"/>
              </w:rPr>
              <w:t>Net securities gains (losses)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53.9 %</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noninterest income</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30,933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98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9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10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Wealth management and payment technology income:</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Wealth management fees</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42,422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3"/>
        </w:trPr>
        <w:tc>
          <w:tcPr>
            <w:tcW w:w="4980" w:type="dxa"/>
            <w:vAlign w:val="bottom"/>
          </w:tcPr>
          <w:p>
            <w:pPr>
              <w:ind w:left="520"/>
              <w:spacing w:after="0"/>
              <w:rPr>
                <w:sz w:val="20"/>
                <w:szCs w:val="20"/>
                <w:color w:val="auto"/>
              </w:rPr>
            </w:pPr>
            <w:r>
              <w:rPr>
                <w:rFonts w:ascii="Arial" w:cs="Arial" w:eastAsia="Arial" w:hAnsi="Arial"/>
                <w:sz w:val="18"/>
                <w:szCs w:val="18"/>
                <w:color w:val="auto"/>
              </w:rPr>
              <w:t>Payment technology solutions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15,045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Combined, wealth management fees and payment technology</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solutions</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57,467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Fees for customer services</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26,122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Mortgage revenue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on bank owned life insurance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Securities income: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520"/>
              <w:spacing w:after="0"/>
              <w:rPr>
                <w:sz w:val="20"/>
                <w:szCs w:val="20"/>
                <w:color w:val="auto"/>
              </w:rPr>
            </w:pPr>
            <w:r>
              <w:rPr>
                <w:rFonts w:ascii="Arial" w:cs="Arial" w:eastAsia="Arial" w:hAnsi="Arial"/>
                <w:sz w:val="18"/>
                <w:szCs w:val="18"/>
                <w:color w:val="auto"/>
              </w:rPr>
              <w:t>Realized net gains (losses) on securities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1"/>
              </w:rPr>
              <w:t>Unrealized net gains (losses) recognized on equity securities</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(2,376)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37"/>
        </w:trPr>
        <w:tc>
          <w:tcPr>
            <w:tcW w:w="4980" w:type="dxa"/>
            <w:vAlign w:val="bottom"/>
          </w:tcPr>
          <w:p>
            <w:pPr>
              <w:ind w:left="260"/>
              <w:spacing w:after="0"/>
              <w:rPr>
                <w:sz w:val="20"/>
                <w:szCs w:val="20"/>
                <w:color w:val="auto"/>
              </w:rPr>
            </w:pPr>
            <w:r>
              <w:rPr>
                <w:rFonts w:ascii="Arial" w:cs="Arial" w:eastAsia="Arial" w:hAnsi="Arial"/>
                <w:sz w:val="18"/>
                <w:szCs w:val="18"/>
                <w:color w:val="auto"/>
              </w:rPr>
              <w:t>Net securities gains (losses)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(2,324)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12,046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85.8 %</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noninterest income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97,724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noninterest income was $30.9 million for the three months ended September 30, 2022, a 7.0% decrease from the comparable period in 2021, and was $97.7 million for the nine months ended September 30, 2022, consistent with the comparable period in 2021. Results for the nine months ended September 30, 2021, included four months of operating income for GSB, whereas results for the same period in 2022 reflect the fully integrated acquisition for the complete period. Revenues from wealth management fees and payment technology solutions represented 56.9% and 58.8% of the Company’s noninterest income for the three and nine months ended September 30, 2022, respectively, providing a complement to spread-based revenue from traditional banking activities. On a combined basis, revenue from these two critical operating areas was $17.6 million for the three months ended September 30, 2022, a 4.3% decrease from the comparable period in 2021, and was $57.5 million for the nine months ended September 30, 2022, an 8.2% increase from the comparable period in 2021.</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Wealth management fees were $12.5 million for the three months ended September 30, 2022, a 9.0% decrease from the comparable period in 2021, and were $42.4 million for the nine months ended September 30, 2022, a 7.8% increase from the comparable period for 2021. First Busey’s Wealth Management division ended the third quarter of 2022 with $10.7 billion in assets under care, compared to $12.7 billion as of December 31, 2021. The decrease in assets under care was principally due to a reduction in market valuations. Our portfolio management team continues to produce solid results in the face of very volatile markets. In the third quarter, Busey's core investment strategy outperformed its blended benchmark, which consists of 60% MSCI All Country World Index and 40% Bloomberg Intermediate Government/Credit Index.</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Payment technology solutions revenue relates to our payment processing company, FirsTech. Payment technology solutions revenue was $5.1 million for the three months ended September 30, 2022, a 10.0% increase from the comparable period in 2021, and was $15.0 million for the nine months ended September 30, 2022, a 9.3% increase from the comparable period in 2021. FirsTech segment revenue was $5.6 million for the three months ended September 30, 2022, a 10.8% increase from the comparable period of 2021, and was $16.4 million for the nine months ended September 30, 2022, an 11.0% increase from the comparable period in 2021. FirsTech operations add important diversity to our revenue stream while widening our array of service offerings to larger commercial clients both within our footprint and nationally. We are currently making strategic investments in FirsTech to enhance future growth, including further upgrades to the product and engineering teams to build an Application Programming Interface (API) cloud-based platform to provide for fully integrated payment capabilities as well as the continued development of our Banking as a Service (BaaS) platform.</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Fees for customer services were $7.6 million for the three months ended September 30, 2022, a 17.9% decrease from the comparable period in 2021, and were $26.1 million for the nine months ended September 30, 2022, a 0.7% increase from the comparable period in 2021. Beginning on July 1, 2022, we became subject to the Durbin Amendment of the Dodd-Frank Act. The Durbin Amendment requires the Federal Reserve to establish a maximum permissible interchange fee for many types of debit transactions, which resulted in a $2.4 million reduction in fee income during the three months ended September 30, 2022.</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Mortgage revenue was $0.4 million for the three months ended September 30, 2022, a 74.8% decrease from the comparable period in 2021, and was $1.7 million for the nine months ended September 30, 2022, a 72.4% decrease from the comparable period in 2021. Decreases primarily resulted from declines in sold-loan mortgage volume and gain on sale premiums. General economic conditions and interest rate volatility may impact fees in future quarters.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on bank owned life insurance was $1.0 million for the three months ended September 30, 2022, a 4.1% decrease from the comparable period in 2021, and was $2.7 million for the nine months ended September 30, 2022, a 21.0% decrease from the comparable period in 2021. Decreases resulted from lower life insurance proceeds and a decline in earnings on the cash surrender value of the policies.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was $4.3 million for the three months ended September 30, 2022, a $1.5 million increase from the comparable period in 2021, and was $12.0 million for the nine months ended September 30, 2022, a $5.6 million increase from the comparable period in 2021. Other income benefited from higher income recognized on venture capital investments, check sales, and swap origination fees, partially offset by losses on fixed asset disposal and lower commercial loan sale gains recorded during the three and nine months ended September 30,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noninterest expense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39,762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41,949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5,447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7,782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Premises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Net occupancy expense of premises</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4,797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Furniture and equipment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2,208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9"/>
        </w:trPr>
        <w:tc>
          <w:tcPr>
            <w:tcW w:w="4800" w:type="dxa"/>
            <w:vAlign w:val="bottom"/>
          </w:tcPr>
          <w:p>
            <w:pPr>
              <w:ind w:left="180"/>
              <w:spacing w:after="0"/>
              <w:rPr>
                <w:sz w:val="20"/>
                <w:szCs w:val="20"/>
                <w:color w:val="auto"/>
              </w:rPr>
            </w:pPr>
            <w:r>
              <w:rPr>
                <w:rFonts w:ascii="Arial" w:cs="Arial" w:eastAsia="Arial" w:hAnsi="Arial"/>
                <w:sz w:val="18"/>
                <w:szCs w:val="18"/>
                <w:color w:val="auto"/>
                <w:w w:val="94"/>
              </w:rPr>
              <w:t>Combined, net occupancy expense of premises and furniture</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and equipment expenses</w:t>
            </w:r>
          </w:p>
        </w:tc>
        <w:tc>
          <w:tcPr>
            <w:tcW w:w="32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7,005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3,149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Interchange expense</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12,999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10,807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63"/>
        </w:trPr>
        <w:tc>
          <w:tcPr>
            <w:tcW w:w="4800" w:type="dxa"/>
            <w:vAlign w:val="bottom"/>
          </w:tcPr>
          <w:p>
            <w:pPr>
              <w:ind w:left="20"/>
              <w:spacing w:after="0"/>
              <w:rPr>
                <w:sz w:val="20"/>
                <w:szCs w:val="20"/>
                <w:color w:val="auto"/>
              </w:rPr>
            </w:pPr>
            <w:r>
              <w:rPr>
                <w:rFonts w:ascii="Arial" w:cs="Arial" w:eastAsia="Arial" w:hAnsi="Arial"/>
                <w:sz w:val="18"/>
                <w:szCs w:val="18"/>
                <w:color w:val="auto"/>
              </w:rPr>
              <w:t>Total noninterest expense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70,736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73,487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8,477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6,455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3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19.2 %</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19.9 %</w:t>
            </w:r>
          </w:p>
        </w:tc>
        <w:tc>
          <w:tcPr>
            <w:tcW w:w="2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rPr>
              <w:t>(70) bps</w:t>
            </w:r>
          </w:p>
        </w:tc>
      </w:tr>
      <w:tr>
        <w:trPr>
          <w:trHeight w:val="270"/>
        </w:trPr>
        <w:tc>
          <w:tcPr>
            <w:tcW w:w="386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Efficiency ratio</w:t>
            </w:r>
            <w:r>
              <w:rPr>
                <w:rFonts w:ascii="Arial" w:cs="Arial" w:eastAsia="Arial" w:hAnsi="Arial"/>
                <w:sz w:val="23"/>
                <w:szCs w:val="23"/>
                <w:color w:val="auto"/>
                <w:vertAlign w:val="superscript"/>
              </w:rPr>
              <w:t>1</w:t>
            </w:r>
          </w:p>
        </w:tc>
        <w:tc>
          <w:tcPr>
            <w:tcW w:w="3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57.6 %</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67.3 %</w:t>
            </w:r>
          </w:p>
        </w:tc>
        <w:tc>
          <w:tcPr>
            <w:tcW w:w="2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rPr>
              <w:t>(970) bps</w:t>
            </w:r>
          </w:p>
        </w:tc>
      </w:tr>
      <w:tr>
        <w:trPr>
          <w:trHeight w:val="312"/>
        </w:trPr>
        <w:tc>
          <w:tcPr>
            <w:tcW w:w="3860" w:type="dxa"/>
            <w:vAlign w:val="bottom"/>
          </w:tcPr>
          <w:p>
            <w:pPr>
              <w:ind w:left="20"/>
              <w:spacing w:after="0"/>
              <w:rPr>
                <w:sz w:val="20"/>
                <w:szCs w:val="20"/>
                <w:color w:val="auto"/>
              </w:rPr>
            </w:pPr>
            <w:r>
              <w:rPr>
                <w:rFonts w:ascii="Arial" w:cs="Arial" w:eastAsia="Arial" w:hAnsi="Arial"/>
                <w:sz w:val="18"/>
                <w:szCs w:val="18"/>
                <w:color w:val="auto"/>
              </w:rPr>
              <w:t>Adjusted efficiency ratio</w:t>
            </w:r>
            <w:r>
              <w:rPr>
                <w:rFonts w:ascii="Arial" w:cs="Arial" w:eastAsia="Arial" w:hAnsi="Arial"/>
                <w:sz w:val="23"/>
                <w:szCs w:val="23"/>
                <w:color w:val="auto"/>
                <w:vertAlign w:val="superscript"/>
              </w:rPr>
              <w:t>1</w:t>
            </w:r>
          </w:p>
        </w:tc>
        <w:tc>
          <w:tcPr>
            <w:tcW w:w="3080" w:type="dxa"/>
            <w:vAlign w:val="bottom"/>
          </w:tcPr>
          <w:p>
            <w:pPr>
              <w:jc w:val="right"/>
              <w:ind w:right="490"/>
              <w:spacing w:after="0"/>
              <w:rPr>
                <w:sz w:val="20"/>
                <w:szCs w:val="20"/>
                <w:color w:val="auto"/>
              </w:rPr>
            </w:pPr>
            <w:r>
              <w:rPr>
                <w:rFonts w:ascii="Arial" w:cs="Arial" w:eastAsia="Arial" w:hAnsi="Arial"/>
                <w:sz w:val="18"/>
                <w:szCs w:val="18"/>
                <w:color w:val="auto"/>
              </w:rPr>
              <w:t>56.8 %</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59.0 %</w:t>
            </w:r>
          </w:p>
        </w:tc>
        <w:tc>
          <w:tcPr>
            <w:tcW w:w="2780" w:type="dxa"/>
            <w:vAlign w:val="bottom"/>
          </w:tcPr>
          <w:p>
            <w:pPr>
              <w:jc w:val="right"/>
              <w:ind w:right="1590"/>
              <w:spacing w:after="0"/>
              <w:rPr>
                <w:sz w:val="20"/>
                <w:szCs w:val="20"/>
                <w:color w:val="auto"/>
              </w:rPr>
            </w:pPr>
            <w:r>
              <w:rPr>
                <w:rFonts w:ascii="Arial" w:cs="Arial" w:eastAsia="Arial" w:hAnsi="Arial"/>
                <w:sz w:val="18"/>
                <w:szCs w:val="18"/>
                <w:color w:val="auto"/>
              </w:rPr>
              <w:t>(220)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15513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176" w:lineRule="exact"/>
        <w:rPr>
          <w:sz w:val="20"/>
          <w:szCs w:val="20"/>
          <w:color w:val="auto"/>
        </w:rPr>
      </w:pPr>
    </w:p>
    <w:p>
      <w:pPr>
        <w:ind w:left="340" w:right="20" w:hanging="202"/>
        <w:spacing w:after="0" w:line="293" w:lineRule="auto"/>
        <w:tabs>
          <w:tab w:leader="none" w:pos="335"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financial GAAP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117,226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107,222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15,800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16,881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Premises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Net occupancy expense of premises</w:t>
            </w:r>
          </w:p>
        </w:tc>
        <w:tc>
          <w:tcPr>
            <w:tcW w:w="34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14,492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13,606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Furniture and equipment expenses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5,874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6,300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4800" w:type="dxa"/>
            <w:vAlign w:val="bottom"/>
          </w:tcPr>
          <w:p>
            <w:pPr>
              <w:ind w:left="180"/>
              <w:spacing w:after="0"/>
              <w:rPr>
                <w:sz w:val="20"/>
                <w:szCs w:val="20"/>
                <w:color w:val="auto"/>
              </w:rPr>
            </w:pPr>
            <w:r>
              <w:rPr>
                <w:rFonts w:ascii="Arial" w:cs="Arial" w:eastAsia="Arial" w:hAnsi="Arial"/>
                <w:sz w:val="18"/>
                <w:szCs w:val="18"/>
                <w:color w:val="auto"/>
                <w:w w:val="94"/>
              </w:rPr>
              <w:t>Combined, net occupancy expense of premises and furniture</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and equipment expenses</w:t>
            </w:r>
          </w:p>
        </w:tc>
        <w:tc>
          <w:tcPr>
            <w:tcW w:w="340" w:type="dxa"/>
            <w:vAlign w:val="bottom"/>
          </w:tcPr>
          <w:p>
            <w:pPr>
              <w:spacing w:after="0"/>
              <w:rPr>
                <w:sz w:val="20"/>
                <w:szCs w:val="20"/>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20,366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19,906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5,617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8,833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8,200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Interchange expense</w:t>
            </w:r>
          </w:p>
        </w:tc>
        <w:tc>
          <w:tcPr>
            <w:tcW w:w="34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4,360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38,680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28,425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63"/>
        </w:trPr>
        <w:tc>
          <w:tcPr>
            <w:tcW w:w="4800" w:type="dxa"/>
            <w:vAlign w:val="bottom"/>
          </w:tcPr>
          <w:p>
            <w:pPr>
              <w:ind w:left="20"/>
              <w:spacing w:after="0"/>
              <w:rPr>
                <w:sz w:val="20"/>
                <w:szCs w:val="20"/>
                <w:color w:val="auto"/>
              </w:rPr>
            </w:pPr>
            <w:r>
              <w:rPr>
                <w:rFonts w:ascii="Arial" w:cs="Arial" w:eastAsia="Arial" w:hAnsi="Arial"/>
                <w:sz w:val="18"/>
                <w:szCs w:val="18"/>
                <w:color w:val="auto"/>
              </w:rPr>
              <w:t>Total noninterest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210,204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190,611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22,121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24,136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(2,015)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2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19.1 %</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20.5 %</w:t>
            </w:r>
          </w:p>
        </w:tc>
        <w:tc>
          <w:tcPr>
            <w:tcW w:w="1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(140) bps</w:t>
            </w:r>
          </w:p>
        </w:tc>
        <w:tc>
          <w:tcPr>
            <w:tcW w:w="1060" w:type="dxa"/>
            <w:vAlign w:val="bottom"/>
            <w:shd w:val="clear" w:color="auto" w:fill="CCEEFF"/>
          </w:tcPr>
          <w:p>
            <w:pPr>
              <w:spacing w:after="0"/>
              <w:rPr>
                <w:sz w:val="23"/>
                <w:szCs w:val="23"/>
                <w:color w:val="auto"/>
              </w:rPr>
            </w:pPr>
          </w:p>
        </w:tc>
      </w:tr>
      <w:tr>
        <w:trPr>
          <w:trHeight w:val="270"/>
        </w:trPr>
        <w:tc>
          <w:tcPr>
            <w:tcW w:w="46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Efficiency ratio</w:t>
            </w:r>
            <w:r>
              <w:rPr>
                <w:rFonts w:ascii="Arial" w:cs="Arial" w:eastAsia="Arial" w:hAnsi="Arial"/>
                <w:sz w:val="23"/>
                <w:szCs w:val="23"/>
                <w:color w:val="auto"/>
                <w:vertAlign w:val="superscript"/>
              </w:rPr>
              <w:t>1</w:t>
            </w:r>
          </w:p>
        </w:tc>
        <w:tc>
          <w:tcPr>
            <w:tcW w:w="22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60.3 %</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61.4 %</w:t>
            </w:r>
          </w:p>
        </w:tc>
        <w:tc>
          <w:tcPr>
            <w:tcW w:w="1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(110) bps</w:t>
            </w:r>
          </w:p>
        </w:tc>
        <w:tc>
          <w:tcPr>
            <w:tcW w:w="1060" w:type="dxa"/>
            <w:vAlign w:val="bottom"/>
            <w:shd w:val="clear" w:color="auto" w:fill="CCEEFF"/>
          </w:tcPr>
          <w:p>
            <w:pPr>
              <w:spacing w:after="0"/>
              <w:rPr>
                <w:sz w:val="23"/>
                <w:szCs w:val="23"/>
                <w:color w:val="auto"/>
              </w:rPr>
            </w:pPr>
          </w:p>
        </w:tc>
      </w:tr>
      <w:tr>
        <w:trPr>
          <w:trHeight w:val="270"/>
        </w:trPr>
        <w:tc>
          <w:tcPr>
            <w:tcW w:w="4680" w:type="dxa"/>
            <w:vAlign w:val="bottom"/>
          </w:tcPr>
          <w:p>
            <w:pPr>
              <w:ind w:left="20"/>
              <w:spacing w:after="0"/>
              <w:rPr>
                <w:sz w:val="20"/>
                <w:szCs w:val="20"/>
                <w:color w:val="auto"/>
              </w:rPr>
            </w:pPr>
            <w:r>
              <w:rPr>
                <w:rFonts w:ascii="Arial" w:cs="Arial" w:eastAsia="Arial" w:hAnsi="Arial"/>
                <w:sz w:val="18"/>
                <w:szCs w:val="18"/>
                <w:color w:val="auto"/>
              </w:rPr>
              <w:t>Adjusted efficiency ratio</w:t>
            </w:r>
            <w:r>
              <w:rPr>
                <w:rFonts w:ascii="Arial" w:cs="Arial" w:eastAsia="Arial" w:hAnsi="Arial"/>
                <w:sz w:val="23"/>
                <w:szCs w:val="23"/>
                <w:color w:val="auto"/>
                <w:vertAlign w:val="superscript"/>
              </w:rPr>
              <w:t>1</w:t>
            </w: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59.7 %</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57.5 %</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220 bps</w:t>
            </w:r>
          </w:p>
        </w:tc>
        <w:tc>
          <w:tcPr>
            <w:tcW w:w="1060" w:type="dxa"/>
            <w:vAlign w:val="bottom"/>
          </w:tcPr>
          <w:p>
            <w:pPr>
              <w:spacing w:after="0"/>
              <w:rPr>
                <w:sz w:val="23"/>
                <w:szCs w:val="23"/>
                <w:color w:val="auto"/>
              </w:rPr>
            </w:pPr>
          </w:p>
        </w:tc>
      </w:tr>
      <w:tr>
        <w:trPr>
          <w:trHeight w:val="270"/>
        </w:trPr>
        <w:tc>
          <w:tcPr>
            <w:tcW w:w="468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Full-time equivalent employees as of period-end</w:t>
            </w: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1,513</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1,462</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51</w:t>
            </w:r>
          </w:p>
        </w:tc>
        <w:tc>
          <w:tcPr>
            <w:tcW w:w="1060" w:type="dxa"/>
            <w:vAlign w:val="bottom"/>
          </w:tcPr>
          <w:p>
            <w:pPr>
              <w:jc w:val="right"/>
              <w:spacing w:after="0"/>
              <w:rPr>
                <w:sz w:val="20"/>
                <w:szCs w:val="20"/>
                <w:color w:val="auto"/>
              </w:rPr>
            </w:pPr>
            <w:r>
              <w:rPr>
                <w:rFonts w:ascii="Arial" w:cs="Arial" w:eastAsia="Arial" w:hAnsi="Arial"/>
                <w:sz w:val="18"/>
                <w:szCs w:val="18"/>
                <w:color w:val="auto"/>
              </w:rPr>
              <w:t>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513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45" w:lineRule="exact"/>
        <w:rPr>
          <w:sz w:val="20"/>
          <w:szCs w:val="20"/>
          <w:color w:val="auto"/>
        </w:rPr>
      </w:pPr>
    </w:p>
    <w:p>
      <w:pPr>
        <w:ind w:left="340" w:right="20" w:hanging="202"/>
        <w:spacing w:after="0" w:line="293" w:lineRule="auto"/>
        <w:tabs>
          <w:tab w:leader="none" w:pos="335"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financial GAAP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noninterest expense was $70.7 million for the three months ended September 30, 2022, a 3.7% decrease from the comparable period in 2021, and was $210.2 million for the nine months ended September 30, 2022, a 10.3% increase from the comparable period in 2021. Results for the nine months ended September 30, 2021, included four months of operating expenses for GSB, whereas results for the same period in 2022 reflect the fully integrated acquisition for the complete period.</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Salaries, wages, and employee benefits were $39.8 million for the three months ended September 30, 2022, a 5.2% decrease from the comparable period in 2021, and were $117.2 million for the nine months ended September 30, 2022, a 9.3% increase from the comparable period in 2021. Full-time equivalents were 1,513 as of September 30, 2022, compared to 1,462 at September 30, 2021. The Company continues to invest in talent across our business lines and our risk management infrastructure. Labor market trends over the past year reflected a shrinking labor supply, while job growth resulted in increased demands for a skilled workforce, putting further upward pressure on salaries, wages, and employee benefits.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Data processing expense was $5.4 million for the three months ended September 30, 2022, a 30.0% decrease from the comparable period in 2021, and was $15.8 million for the nine months ended September 30, 2022, a 6.4% decrease from the comparable period in 2021. Decreases were primarily attributable to higher expenses in 2021 related to the CAC acquisition. Excluding non-operating expenses, data processing expenses increased by $0.8 million and $2.3 million for the three and nine months ended September 30, 2022, compared to the same periods in 2021.</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Combined, net occupancy expense of premises and furniture and equipment expense totaled $6.5 million for the three months ended September 30, 2022, a 7.2% decrease from the comparable period in 2021, and $20.4 million for the nine months ended September 30, 2022, a 2.3% increase from the comparable period in 2021. Year-over-year increases are primarily attributable to higher maintenance costs, elevated utility costs, and increased real estate taxes.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fees were $1.6 million for the three months ended September 30, 2022, a 16.0% increase from the comparable period in 2021, and $4.7 million for the nine months ended September 30, 2022, a 16.5% decrease from the comparable period in 2021. Excluding non-operating expenses, professional fees increased by $0.3 million and $0.2 million for the three and nine months ended September 30, 2022, compared to the same periods in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intangible assets was $2.9 million for the three months ended September 30, 2022, an 8.8% decrease from the comparable period in 2021, and $8.8 million for the nine months ended September 30, 2022, a 7.7% increase from the comparable period for 2021. Year-over-year increases primarily related to intangible assets acquired in the acquisition of CAC during the second quarter of 2021.</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Interchange expense was $1.6 million for the three months ended September 30, 2022, a 9.8% increase from the comparable period in 2021, and was $4.6 million for the nine months ended September 30, 2022, a 5.6% increase from the comparable period in 2021. Fluctuations in interchange expense were primarily the result of increased payment and volume activity at FirsTech.</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 was $13.0 million for the three months ended September 30, 2022, a $2.2 million increase from the comparable period in 2021, and was $38.7 million for the nine months ended September 30, 2022, an $10.3 million increase from the comparable period in 2021. Increases were across multiple expense categories including marketing and business development, NMTC amortization, regulatory expenses, and fluctuations in provision for unfunded commitments.</w:t>
      </w:r>
    </w:p>
    <w:p>
      <w:pPr>
        <w:spacing w:after="0" w:line="14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The efficiency ratio</w:t>
      </w:r>
      <w:r>
        <w:rPr>
          <w:rFonts w:ascii="Arial" w:cs="Arial" w:eastAsia="Arial" w:hAnsi="Arial"/>
          <w:sz w:val="23"/>
          <w:szCs w:val="23"/>
          <w:color w:val="auto"/>
          <w:vertAlign w:val="superscript"/>
        </w:rPr>
        <w:t>2</w:t>
      </w:r>
      <w:r>
        <w:rPr>
          <w:rFonts w:ascii="Arial" w:cs="Arial" w:eastAsia="Arial" w:hAnsi="Arial"/>
          <w:sz w:val="18"/>
          <w:szCs w:val="18"/>
          <w:color w:val="auto"/>
        </w:rPr>
        <w:t>, which is a measure commonly used by management and the banking industry, measures the amount of expense incurred to generate a dollar of revenue. Our efficiency ratios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57.6% and 60.3% for the three and nine months ended September 30, 2022, respectively, compared to 67.3% and 61.4% for the three and nine months ended September 30, 2021, respectively.</w:t>
      </w:r>
    </w:p>
    <w:p>
      <w:pPr>
        <w:spacing w:after="0" w:line="16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adjusted efficiency ratios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56.8% and 59.7% for the three and nine months ended September 30, 2022, respectively, compared to 59.0% and 57.5% for three and nine months ended September 30, 2021. The Company remains focused on expense discipline, while making necessary investments to promote the organic growth of our key business lines and related support and risk management functions.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income tax rates of 19.2% and 19.9% for the three and nine months ended September 30, 2022, respectively, were lower than the combined federal and state statutory rate of approximately 28.0% due to tax exempt interest income, such as municipal bond interest and bank owned life insurance income, and investments in various federal and state tax credits. We continue to monitor evolving federal and state tax legislation and its potential impact on operations on an ongoing basis. As of September 30, 2022, we were not under examination by any tax authority; however, we have received an inquiry from the State of Illinois regarding our prior franchise tax filings. In the event the Company is required to amend our prior franchise tax filings, we could incur additional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4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71" w:lineRule="exact"/>
        <w:rPr>
          <w:sz w:val="20"/>
          <w:szCs w:val="20"/>
          <w:color w:val="auto"/>
        </w:rPr>
      </w:pPr>
    </w:p>
    <w:p>
      <w:pPr>
        <w:ind w:firstLine="8"/>
        <w:spacing w:after="0" w:line="201" w:lineRule="auto"/>
        <w:tabs>
          <w:tab w:leader="none" w:pos="103"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GAAP financial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EE"/>
        </w:rPr>
        <w:t>Item 2. Management’s Discussion and Analysis—Non-GAAP Financial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in this Quarterly Report.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Changes in significant items included in our unaudited Consolidated Balance Sheets are summarized as follows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9"/>
        </w:trPr>
        <w:tc>
          <w:tcPr>
            <w:tcW w:w="49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173"/>
        </w:trPr>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6"/>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39"/>
        </w:trPr>
        <w:tc>
          <w:tcPr>
            <w:tcW w:w="49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Debt securities available for sale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2,547,041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3,981,251</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(1,434,210)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 held to maturity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936,328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Portfolio loans, net of ACL</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7,579,392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7,101,111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478,281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12,497,388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12,859,689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(362,301)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4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Noninterest-bearing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3,670,267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Interest-bearing</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6,973,228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7,098,310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(125,082)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10,601,397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10,768,577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(167,180)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234,597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270,139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(35,542)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Subordinated notes, net of unamortized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182,773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71,765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71,635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11,390,800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11,540,577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(149,777)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4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1,106,588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1,319,112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(212,524)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4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making sound and profitable loans is a necessary and desirable means of employing funds available for investment. First Busey maintains lending policies and procedures designed to focus lending efforts on the types, locations, and duration of loans most appropriate for its business model and markets. While not specifically limited, we attempt to focus our lending on short to intermediate-term (0-10 years) loans in geographic areas within 125 miles of our lending offices. Loans originated outside of these areas are generally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reviews and approves Busey Bank’s lending policies and procedures on a regular basis. Management routinely (at least quarterly) 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 well-diversified loan portfolio and, as a matter of policy and practice, limits concentration exposure in any particular loan segment.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and its subsidiaries, are reviewed for compliance with regulatory guidelines.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First Busey maintains an independent loan review department that reviews loans for compliance with our loan policy on a periodic basis. In addition, the loan review department reviews risk assessments made by our credit department, lenders, and loan committees. Results of these reviews are presented to management and the audit committee at least quarterly.</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Busey Bank’s lending activities can be summarized into five primary areas: commercial loans, commercial real estate loans, real estate construction loans, retail real estate loans, and retail other loans. A description of each of the lending areas can be found in the Company’s 2021 Annual Report. A significant majority of our portfolio lending activity occurs in the Illinois and Missouri markets, with the remainder in the Florida and Indiana markets.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based on originations, by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2022</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Illinois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Missouri</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Florida</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Indiana</w:t>
            </w: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1,371,973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475,655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47,527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50,738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1,945,893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2,211,923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680,607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183,227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3,278,684</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135,102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41,062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33,148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499,560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1,643,099</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297,772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302,878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portfolio loans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5,412,484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1,504,234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415,096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338,300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7,670,114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ACL</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(90,722)</w:t>
            </w:r>
          </w:p>
        </w:tc>
        <w:tc>
          <w:tcPr>
            <w:tcW w:w="0" w:type="dxa"/>
            <w:vAlign w:val="bottom"/>
          </w:tcPr>
          <w:p>
            <w:pPr>
              <w:spacing w:after="0" w:line="20" w:lineRule="exact"/>
              <w:rPr>
                <w:sz w:val="1"/>
                <w:szCs w:val="1"/>
                <w:color w:val="auto"/>
              </w:rPr>
            </w:pPr>
          </w:p>
        </w:tc>
      </w:tr>
      <w:tr>
        <w:trPr>
          <w:trHeight w:val="190"/>
        </w:trPr>
        <w:tc>
          <w:tcPr>
            <w:tcW w:w="3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Portfolio loans, net of ACL</w:t>
            </w: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7,579,392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Illinois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Missouri</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Florida</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Indiana</w:t>
            </w: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1,372,584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463,085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55,180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53,037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1,943,886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691,969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172,854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3,119,807</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199,471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34,475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385,996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1,124,486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1,512,976</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226,333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portfolio loans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4,979,222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1,514,606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376,492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318,678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7,188,998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ACL</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(87,887)</w:t>
            </w:r>
          </w:p>
        </w:tc>
        <w:tc>
          <w:tcPr>
            <w:tcW w:w="0" w:type="dxa"/>
            <w:vAlign w:val="bottom"/>
          </w:tcPr>
          <w:p>
            <w:pPr>
              <w:spacing w:after="0" w:line="20" w:lineRule="exact"/>
              <w:rPr>
                <w:sz w:val="1"/>
                <w:szCs w:val="1"/>
                <w:color w:val="auto"/>
              </w:rPr>
            </w:pPr>
          </w:p>
        </w:tc>
      </w:tr>
      <w:tr>
        <w:trPr>
          <w:trHeight w:val="190"/>
        </w:trPr>
        <w:tc>
          <w:tcPr>
            <w:tcW w:w="3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Portfolio loans, net of ACL</w:t>
            </w: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7,101,111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portfolio loan balances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9"/>
        </w:trPr>
        <w:tc>
          <w:tcPr>
            <w:tcW w:w="4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160"/>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36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86"/>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0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39"/>
        </w:trPr>
        <w:tc>
          <w:tcPr>
            <w:tcW w:w="4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Commercial loans: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1,943,886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940" w:type="dxa"/>
            <w:vAlign w:val="bottom"/>
          </w:tcPr>
          <w:p>
            <w:pPr>
              <w:ind w:left="44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3,278,684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3,119,807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Real estate construction</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385,996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113,564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7"/>
        </w:trPr>
        <w:tc>
          <w:tcPr>
            <w:tcW w:w="4940" w:type="dxa"/>
            <w:vAlign w:val="bottom"/>
          </w:tcPr>
          <w:p>
            <w:pPr>
              <w:ind w:left="180"/>
              <w:spacing w:after="0"/>
              <w:rPr>
                <w:sz w:val="20"/>
                <w:szCs w:val="20"/>
                <w:color w:val="auto"/>
              </w:rPr>
            </w:pPr>
            <w:r>
              <w:rPr>
                <w:rFonts w:ascii="Arial" w:cs="Arial" w:eastAsia="Arial" w:hAnsi="Arial"/>
                <w:sz w:val="18"/>
                <w:szCs w:val="18"/>
                <w:color w:val="auto"/>
              </w:rPr>
              <w:t>Commercial loan balances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5,724,137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5,449,689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274,448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Retail loans: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Retail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1,512,976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130,123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4940" w:type="dxa"/>
            <w:vAlign w:val="bottom"/>
          </w:tcPr>
          <w:p>
            <w:pPr>
              <w:ind w:left="440"/>
              <w:spacing w:after="0"/>
              <w:rPr>
                <w:sz w:val="20"/>
                <w:szCs w:val="20"/>
                <w:color w:val="auto"/>
              </w:rPr>
            </w:pPr>
            <w:r>
              <w:rPr>
                <w:rFonts w:ascii="Arial" w:cs="Arial" w:eastAsia="Arial" w:hAnsi="Arial"/>
                <w:sz w:val="18"/>
                <w:szCs w:val="18"/>
                <w:color w:val="auto"/>
              </w:rPr>
              <w:t>Retail other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302,878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226,333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76,545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loan balances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206,668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49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spacing w:after="0"/>
              <w:rPr>
                <w:sz w:val="23"/>
                <w:szCs w:val="23"/>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portfolio loans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7,670,114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481,116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ACL</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(87,887)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8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Portfolio loans, net of ACL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7,579,392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7,101,111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478,281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Excluding the amortized cost of PPP loans, changes in commercial loan balances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9"/>
        </w:trPr>
        <w:tc>
          <w:tcPr>
            <w:tcW w:w="4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160"/>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36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86"/>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0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39"/>
        </w:trPr>
        <w:tc>
          <w:tcPr>
            <w:tcW w:w="4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loan balances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5,724,137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274,448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PPP loans amortized cost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(74,958)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73,532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(98.1)%</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8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loan balances, excluding PPP loans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5,722,711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5,374,731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347,980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50"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As of September 30, 2022, the Company has experienced its sixth consecutive quarter of strong core loan</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growth. As has been our practice, we remain steadfast in our disciplined underwriting.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and Provision for Credit Losses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ACL is a significant estimate in our unaudited consolidated financial statements,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ACL is established through the provision for credit loss expense charged to income.</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Provision for credit loss expenses increased for the three months ended September 30, 2022, due to a provision expense of $2.4 million, compared to a provision release of $1.9 million for the same period in 2021. Provision expense increased for the nine months ended September 30, 2022, due to a provision expense of $3.8 million, compared to a provision release of $10.4 million for the same period in 2021. Releases in 2021 reflect a normalization of the reserve balances following a build-up at the onset of the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83" w:lineRule="exact"/>
        <w:rPr>
          <w:sz w:val="20"/>
          <w:szCs w:val="20"/>
          <w:color w:val="auto"/>
        </w:rPr>
      </w:pPr>
    </w:p>
    <w:p>
      <w:pPr>
        <w:ind w:firstLine="8"/>
        <w:spacing w:after="0" w:line="201" w:lineRule="auto"/>
        <w:tabs>
          <w:tab w:leader="none" w:pos="103"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 xml:space="preserve">Core loans is 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relationship between our portfolio loan balances and our ACL is summarized as follows, as of each of the dates indicated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2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2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260" w:type="dxa"/>
            <w:vAlign w:val="bottom"/>
          </w:tcPr>
          <w:p>
            <w:pPr>
              <w:jc w:val="right"/>
              <w:ind w:right="195"/>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6"/>
        </w:trPr>
        <w:tc>
          <w:tcPr>
            <w:tcW w:w="24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11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7,670,114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7,272,873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7,188,998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7,150,635</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PPP loans amortized cost</w:t>
            </w:r>
          </w:p>
        </w:tc>
        <w:tc>
          <w:tcPr>
            <w:tcW w:w="1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(178,231)</w:t>
            </w:r>
          </w:p>
        </w:tc>
      </w:tr>
      <w:tr>
        <w:trPr>
          <w:trHeight w:val="263"/>
        </w:trPr>
        <w:tc>
          <w:tcPr>
            <w:tcW w:w="2480" w:type="dxa"/>
            <w:vAlign w:val="bottom"/>
          </w:tcPr>
          <w:p>
            <w:pPr>
              <w:ind w:left="20"/>
              <w:spacing w:after="0"/>
              <w:rPr>
                <w:sz w:val="20"/>
                <w:szCs w:val="20"/>
                <w:color w:val="auto"/>
              </w:rPr>
            </w:pPr>
            <w:r>
              <w:rPr>
                <w:rFonts w:ascii="Arial" w:cs="Arial" w:eastAsia="Arial" w:hAnsi="Arial"/>
                <w:sz w:val="18"/>
                <w:szCs w:val="18"/>
                <w:color w:val="auto"/>
              </w:rPr>
              <w:t>Core loans</w:t>
            </w:r>
            <w:r>
              <w:rPr>
                <w:rFonts w:ascii="Arial" w:cs="Arial" w:eastAsia="Arial" w:hAnsi="Arial"/>
                <w:sz w:val="23"/>
                <w:szCs w:val="23"/>
                <w:color w:val="auto"/>
                <w:vertAlign w:val="superscript"/>
              </w:rPr>
              <w:t>1</w:t>
            </w:r>
          </w:p>
        </w:tc>
        <w:tc>
          <w:tcPr>
            <w:tcW w:w="1100" w:type="dxa"/>
            <w:vAlign w:val="bottom"/>
          </w:tcPr>
          <w:p>
            <w:pPr>
              <w:ind w:left="420"/>
              <w:spacing w:after="0"/>
              <w:rPr>
                <w:sz w:val="20"/>
                <w:szCs w:val="20"/>
                <w:color w:val="auto"/>
              </w:rPr>
            </w:pPr>
            <w:r>
              <w:rPr>
                <w:rFonts w:ascii="Arial" w:cs="Arial" w:eastAsia="Arial" w:hAnsi="Arial"/>
                <w:sz w:val="18"/>
                <w:szCs w:val="18"/>
                <w:color w:val="auto"/>
              </w:rPr>
              <w:t>[b]</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7,668,688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7,490,162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7,241,104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7,114,040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6,972,404</w:t>
            </w: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ACL</w:t>
            </w:r>
          </w:p>
        </w:tc>
        <w:tc>
          <w:tcPr>
            <w:tcW w:w="1100" w:type="dxa"/>
            <w:vAlign w:val="bottom"/>
          </w:tcPr>
          <w:p>
            <w:pPr>
              <w:ind w:left="420"/>
              <w:spacing w:after="0"/>
              <w:rPr>
                <w:sz w:val="20"/>
                <w:szCs w:val="20"/>
                <w:color w:val="auto"/>
              </w:rPr>
            </w:pPr>
            <w:r>
              <w:rPr>
                <w:rFonts w:ascii="Arial" w:cs="Arial" w:eastAsia="Arial" w:hAnsi="Arial"/>
                <w:sz w:val="18"/>
                <w:szCs w:val="18"/>
                <w:color w:val="auto"/>
              </w:rPr>
              <w:t>[c]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90,722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88,757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88,213</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87,887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92,802</w:t>
            </w:r>
          </w:p>
        </w:tc>
      </w:tr>
      <w:tr>
        <w:trPr>
          <w:trHeight w:val="27"/>
        </w:trPr>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Ratios</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2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ACL to portfolio loans</w:t>
            </w:r>
          </w:p>
        </w:tc>
        <w:tc>
          <w:tcPr>
            <w:tcW w:w="11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[c÷a]</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312"/>
        </w:trPr>
        <w:tc>
          <w:tcPr>
            <w:tcW w:w="2480" w:type="dxa"/>
            <w:vAlign w:val="bottom"/>
          </w:tcPr>
          <w:p>
            <w:pPr>
              <w:ind w:left="240"/>
              <w:spacing w:after="0"/>
              <w:rPr>
                <w:sz w:val="20"/>
                <w:szCs w:val="20"/>
                <w:color w:val="auto"/>
              </w:rPr>
            </w:pPr>
            <w:r>
              <w:rPr>
                <w:rFonts w:ascii="Arial" w:cs="Arial" w:eastAsia="Arial" w:hAnsi="Arial"/>
                <w:sz w:val="18"/>
                <w:szCs w:val="18"/>
                <w:color w:val="auto"/>
              </w:rPr>
              <w:t>ACL to core loans</w:t>
            </w:r>
            <w:r>
              <w:rPr>
                <w:rFonts w:ascii="Arial" w:cs="Arial" w:eastAsia="Arial" w:hAnsi="Arial"/>
                <w:sz w:val="23"/>
                <w:szCs w:val="23"/>
                <w:color w:val="auto"/>
                <w:vertAlign w:val="superscript"/>
              </w:rPr>
              <w:t>1</w:t>
            </w:r>
          </w:p>
        </w:tc>
        <w:tc>
          <w:tcPr>
            <w:tcW w:w="1100" w:type="dxa"/>
            <w:vAlign w:val="bottom"/>
          </w:tcPr>
          <w:p>
            <w:pPr>
              <w:ind w:left="420"/>
              <w:spacing w:after="0"/>
              <w:rPr>
                <w:sz w:val="20"/>
                <w:szCs w:val="20"/>
                <w:color w:val="auto"/>
              </w:rPr>
            </w:pPr>
            <w:r>
              <w:rPr>
                <w:rFonts w:ascii="Arial" w:cs="Arial" w:eastAsia="Arial" w:hAnsi="Arial"/>
                <w:sz w:val="18"/>
                <w:szCs w:val="18"/>
                <w:color w:val="auto"/>
              </w:rPr>
              <w:t>[c÷b]</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5513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176" w:lineRule="exact"/>
        <w:rPr>
          <w:sz w:val="20"/>
          <w:szCs w:val="20"/>
          <w:color w:val="auto"/>
        </w:rPr>
      </w:pPr>
    </w:p>
    <w:p>
      <w:pPr>
        <w:ind w:left="340" w:right="20" w:hanging="202"/>
        <w:spacing w:after="0" w:line="293" w:lineRule="auto"/>
        <w:tabs>
          <w:tab w:leader="none" w:pos="337" w:val="left"/>
        </w:tabs>
        <w:numPr>
          <w:ilvl w:val="0"/>
          <w:numId w:val="17"/>
        </w:numPr>
        <w:rPr>
          <w:rFonts w:ascii="Arial" w:cs="Arial" w:eastAsia="Arial" w:hAnsi="Arial"/>
          <w:sz w:val="9"/>
          <w:szCs w:val="9"/>
          <w:color w:val="auto"/>
        </w:rPr>
      </w:pPr>
      <w:r>
        <w:rPr>
          <w:rFonts w:ascii="Arial" w:cs="Arial" w:eastAsia="Arial" w:hAnsi="Arial"/>
          <w:sz w:val="14"/>
          <w:szCs w:val="14"/>
          <w:color w:val="auto"/>
        </w:rPr>
        <w:t xml:space="preserve">Core loans is 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September 30, 2022,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credit performance trends, portfolio duration, and other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Non-performing Loans and Non-performing Assets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following table sets forth information concerning non-performing loans and performing restructured loans,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9"/>
        </w:trPr>
        <w:tc>
          <w:tcPr>
            <w:tcW w:w="3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60"/>
        </w:trPr>
        <w:tc>
          <w:tcPr>
            <w:tcW w:w="3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18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3"/>
                <w:szCs w:val="13"/>
                <w:color w:val="auto"/>
              </w:rPr>
            </w:pPr>
          </w:p>
        </w:tc>
        <w:tc>
          <w:tcPr>
            <w:tcW w:w="12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60" w:type="dxa"/>
            <w:vAlign w:val="bottom"/>
          </w:tcPr>
          <w:p>
            <w:pPr>
              <w:jc w:val="right"/>
              <w:ind w:right="136"/>
              <w:spacing w:after="0" w:line="160" w:lineRule="exact"/>
              <w:rPr>
                <w:sz w:val="20"/>
                <w:szCs w:val="20"/>
                <w:color w:val="auto"/>
              </w:rPr>
            </w:pPr>
            <w:r>
              <w:rPr>
                <w:rFonts w:ascii="Arial" w:cs="Arial" w:eastAsia="Arial" w:hAnsi="Arial"/>
                <w:sz w:val="14"/>
                <w:szCs w:val="14"/>
                <w:b w:val="1"/>
                <w:bCs w:val="1"/>
                <w:color w:val="auto"/>
                <w:w w:val="96"/>
              </w:rPr>
              <w:t>September 30,</w:t>
            </w:r>
          </w:p>
        </w:tc>
      </w:tr>
      <w:tr>
        <w:trPr>
          <w:trHeight w:val="186"/>
        </w:trPr>
        <w:tc>
          <w:tcPr>
            <w:tcW w:w="3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39"/>
        </w:trPr>
        <w:tc>
          <w:tcPr>
            <w:tcW w:w="32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Portfolio loans</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7,670,114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7,497,778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7,272,873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7,188,998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7,150,635</w:t>
            </w:r>
          </w:p>
        </w:tc>
      </w:tr>
      <w:tr>
        <w:trPr>
          <w:trHeight w:val="225"/>
        </w:trPr>
        <w:tc>
          <w:tcPr>
            <w:tcW w:w="3260" w:type="dxa"/>
            <w:vAlign w:val="bottom"/>
          </w:tcPr>
          <w:p>
            <w:pPr>
              <w:ind w:left="20"/>
              <w:spacing w:after="0"/>
              <w:rPr>
                <w:sz w:val="20"/>
                <w:szCs w:val="20"/>
                <w:color w:val="auto"/>
              </w:rPr>
            </w:pPr>
            <w:r>
              <w:rPr>
                <w:rFonts w:ascii="Arial" w:cs="Arial" w:eastAsia="Arial" w:hAnsi="Arial"/>
                <w:sz w:val="17"/>
                <w:szCs w:val="17"/>
                <w:color w:val="auto"/>
              </w:rPr>
              <w:t>Non-GAAP adjustments: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PPP loans amortized cost</w:t>
            </w: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(1,426)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(7,616)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(31,769)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(74,958)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(178,231)</w:t>
            </w:r>
          </w:p>
        </w:tc>
      </w:tr>
      <w:tr>
        <w:trPr>
          <w:trHeight w:val="250"/>
        </w:trPr>
        <w:tc>
          <w:tcPr>
            <w:tcW w:w="3260" w:type="dxa"/>
            <w:vAlign w:val="bottom"/>
          </w:tcPr>
          <w:p>
            <w:pPr>
              <w:ind w:left="20"/>
              <w:spacing w:after="0" w:line="250" w:lineRule="exact"/>
              <w:rPr>
                <w:sz w:val="20"/>
                <w:szCs w:val="20"/>
                <w:color w:val="auto"/>
              </w:rPr>
            </w:pPr>
            <w:r>
              <w:rPr>
                <w:rFonts w:ascii="Arial" w:cs="Arial" w:eastAsia="Arial" w:hAnsi="Arial"/>
                <w:sz w:val="17"/>
                <w:szCs w:val="17"/>
                <w:color w:val="auto"/>
              </w:rPr>
              <w:t>Core loans</w:t>
            </w:r>
            <w:r>
              <w:rPr>
                <w:rFonts w:ascii="Arial" w:cs="Arial" w:eastAsia="Arial" w:hAnsi="Arial"/>
                <w:sz w:val="22"/>
                <w:szCs w:val="22"/>
                <w:color w:val="auto"/>
                <w:vertAlign w:val="superscript"/>
              </w:rPr>
              <w:t>1</w:t>
            </w:r>
          </w:p>
        </w:tc>
        <w:tc>
          <w:tcPr>
            <w:tcW w:w="980" w:type="dxa"/>
            <w:vAlign w:val="bottom"/>
          </w:tcPr>
          <w:p>
            <w:pPr>
              <w:ind w:left="40"/>
              <w:spacing w:after="0"/>
              <w:rPr>
                <w:sz w:val="20"/>
                <w:szCs w:val="20"/>
                <w:color w:val="auto"/>
              </w:rPr>
            </w:pPr>
            <w:r>
              <w:rPr>
                <w:rFonts w:ascii="Arial" w:cs="Arial" w:eastAsia="Arial" w:hAnsi="Arial"/>
                <w:sz w:val="17"/>
                <w:szCs w:val="17"/>
                <w:color w:val="auto"/>
              </w:rPr>
              <w:t>[b]</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7,668,688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7,490,162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7,241,104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7,114,040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6,972,404</w:t>
            </w: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3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3260" w:type="dxa"/>
            <w:vAlign w:val="bottom"/>
          </w:tcPr>
          <w:p>
            <w:pPr>
              <w:ind w:left="20"/>
              <w:spacing w:after="0"/>
              <w:rPr>
                <w:sz w:val="20"/>
                <w:szCs w:val="20"/>
                <w:color w:val="auto"/>
              </w:rPr>
            </w:pPr>
            <w:r>
              <w:rPr>
                <w:rFonts w:ascii="Arial" w:cs="Arial" w:eastAsia="Arial" w:hAnsi="Arial"/>
                <w:sz w:val="17"/>
                <w:szCs w:val="17"/>
                <w:color w:val="auto"/>
              </w:rPr>
              <w:t>Loans 30 – 89 days past due</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6,307</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5,157</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3,916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16"/>
              <w:spacing w:after="0"/>
              <w:rPr>
                <w:sz w:val="20"/>
                <w:szCs w:val="20"/>
                <w:color w:val="auto"/>
              </w:rPr>
            </w:pPr>
            <w:r>
              <w:rPr>
                <w:rFonts w:ascii="Arial" w:cs="Arial" w:eastAsia="Arial" w:hAnsi="Arial"/>
                <w:sz w:val="17"/>
                <w:szCs w:val="17"/>
                <w:color w:val="auto"/>
              </w:rPr>
              <w:t>6,261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6,446</w:t>
            </w: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6"/>
        </w:trPr>
        <w:tc>
          <w:tcPr>
            <w:tcW w:w="326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980" w:type="dxa"/>
            <w:vAlign w:val="bottom"/>
          </w:tcPr>
          <w:p>
            <w:pPr>
              <w:ind w:left="40"/>
              <w:spacing w:after="0"/>
              <w:rPr>
                <w:sz w:val="20"/>
                <w:szCs w:val="20"/>
                <w:color w:val="auto"/>
              </w:rPr>
            </w:pPr>
            <w:r>
              <w:rPr>
                <w:rFonts w:ascii="Arial" w:cs="Arial" w:eastAsia="Arial" w:hAnsi="Arial"/>
                <w:sz w:val="17"/>
                <w:szCs w:val="17"/>
                <w:color w:val="auto"/>
              </w:rPr>
              <w:t>[c]</w:t>
            </w:r>
          </w:p>
        </w:tc>
        <w:tc>
          <w:tcPr>
            <w:tcW w:w="160" w:type="dxa"/>
            <w:vAlign w:val="bottom"/>
          </w:tcPr>
          <w:p>
            <w:pPr>
              <w:spacing w:after="0"/>
              <w:rPr>
                <w:sz w:val="19"/>
                <w:szCs w:val="19"/>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12,497,388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12,356,433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12,567,509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6"/>
              <w:spacing w:after="0"/>
              <w:rPr>
                <w:sz w:val="20"/>
                <w:szCs w:val="20"/>
                <w:color w:val="auto"/>
              </w:rPr>
            </w:pPr>
            <w:r>
              <w:rPr>
                <w:rFonts w:ascii="Arial" w:cs="Arial" w:eastAsia="Arial" w:hAnsi="Arial"/>
                <w:sz w:val="17"/>
                <w:szCs w:val="17"/>
                <w:color w:val="auto"/>
              </w:rPr>
              <w:t>12,859,689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12,899,330</w:t>
            </w: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6"/>
        </w:trPr>
        <w:tc>
          <w:tcPr>
            <w:tcW w:w="3260" w:type="dxa"/>
            <w:vAlign w:val="bottom"/>
          </w:tcPr>
          <w:p>
            <w:pPr>
              <w:ind w:left="20"/>
              <w:spacing w:after="0"/>
              <w:rPr>
                <w:sz w:val="20"/>
                <w:szCs w:val="20"/>
                <w:color w:val="auto"/>
              </w:rPr>
            </w:pPr>
            <w:r>
              <w:rPr>
                <w:rFonts w:ascii="Arial" w:cs="Arial" w:eastAsia="Arial" w:hAnsi="Arial"/>
                <w:sz w:val="17"/>
                <w:szCs w:val="17"/>
                <w:b w:val="1"/>
                <w:bCs w:val="1"/>
                <w:color w:val="auto"/>
              </w:rPr>
              <w:t>Non-performing assets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Non-performing loans:</w:t>
            </w: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5"/>
        </w:trPr>
        <w:tc>
          <w:tcPr>
            <w:tcW w:w="3260" w:type="dxa"/>
            <w:vAlign w:val="bottom"/>
          </w:tcPr>
          <w:p>
            <w:pPr>
              <w:ind w:left="520"/>
              <w:spacing w:after="0"/>
              <w:rPr>
                <w:sz w:val="20"/>
                <w:szCs w:val="20"/>
                <w:color w:val="auto"/>
              </w:rPr>
            </w:pPr>
            <w:r>
              <w:rPr>
                <w:rFonts w:ascii="Arial" w:cs="Arial" w:eastAsia="Arial" w:hAnsi="Arial"/>
                <w:sz w:val="17"/>
                <w:szCs w:val="17"/>
                <w:color w:val="auto"/>
              </w:rPr>
              <w:t>Non-accrual loans</w:t>
            </w:r>
          </w:p>
        </w:tc>
        <w:tc>
          <w:tcPr>
            <w:tcW w:w="980" w:type="dxa"/>
            <w:vAlign w:val="bottom"/>
          </w:tcPr>
          <w:p>
            <w:pPr>
              <w:ind w:left="40"/>
              <w:spacing w:after="0"/>
              <w:rPr>
                <w:sz w:val="20"/>
                <w:szCs w:val="20"/>
                <w:color w:val="auto"/>
              </w:rPr>
            </w:pPr>
            <w:r>
              <w:rPr>
                <w:rFonts w:ascii="Arial" w:cs="Arial" w:eastAsia="Arial" w:hAnsi="Arial"/>
                <w:sz w:val="17"/>
                <w:szCs w:val="17"/>
                <w:color w:val="auto"/>
              </w:rPr>
              <w:t>[d]</w:t>
            </w:r>
          </w:p>
        </w:tc>
        <w:tc>
          <w:tcPr>
            <w:tcW w:w="160" w:type="dxa"/>
            <w:vAlign w:val="bottom"/>
          </w:tcPr>
          <w:p>
            <w:pPr>
              <w:spacing w:after="0"/>
              <w:rPr>
                <w:sz w:val="19"/>
                <w:szCs w:val="19"/>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15,425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15,840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12,488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6"/>
              <w:spacing w:after="0"/>
              <w:rPr>
                <w:sz w:val="20"/>
                <w:szCs w:val="20"/>
                <w:color w:val="auto"/>
              </w:rPr>
            </w:pPr>
            <w:r>
              <w:rPr>
                <w:rFonts w:ascii="Arial" w:cs="Arial" w:eastAsia="Arial" w:hAnsi="Arial"/>
                <w:sz w:val="17"/>
                <w:szCs w:val="17"/>
                <w:color w:val="auto"/>
              </w:rPr>
              <w:t>15,946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25,369</w:t>
            </w: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2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Loans 90+ days past due and still</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7"/>
        </w:trPr>
        <w:tc>
          <w:tcPr>
            <w:tcW w:w="3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accruing</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491</w:t>
            </w:r>
          </w:p>
        </w:tc>
      </w:tr>
      <w:tr>
        <w:trPr>
          <w:trHeight w:val="219"/>
        </w:trPr>
        <w:tc>
          <w:tcPr>
            <w:tcW w:w="3260" w:type="dxa"/>
            <w:vAlign w:val="bottom"/>
          </w:tcPr>
          <w:p>
            <w:pPr>
              <w:ind w:left="260"/>
              <w:spacing w:after="0"/>
              <w:rPr>
                <w:sz w:val="20"/>
                <w:szCs w:val="20"/>
                <w:color w:val="auto"/>
              </w:rPr>
            </w:pPr>
            <w:r>
              <w:rPr>
                <w:rFonts w:ascii="Arial" w:cs="Arial" w:eastAsia="Arial" w:hAnsi="Arial"/>
                <w:sz w:val="17"/>
                <w:szCs w:val="17"/>
                <w:color w:val="auto"/>
              </w:rPr>
              <w:t>Total non-performing loans</w:t>
            </w:r>
          </w:p>
        </w:tc>
        <w:tc>
          <w:tcPr>
            <w:tcW w:w="980" w:type="dxa"/>
            <w:vAlign w:val="bottom"/>
          </w:tcPr>
          <w:p>
            <w:pPr>
              <w:ind w:left="40"/>
              <w:spacing w:after="0"/>
              <w:rPr>
                <w:sz w:val="20"/>
                <w:szCs w:val="20"/>
                <w:color w:val="auto"/>
              </w:rPr>
            </w:pPr>
            <w:r>
              <w:rPr>
                <w:rFonts w:ascii="Arial" w:cs="Arial" w:eastAsia="Arial" w:hAnsi="Arial"/>
                <w:sz w:val="17"/>
                <w:szCs w:val="17"/>
                <w:color w:val="auto"/>
              </w:rPr>
              <w:t>[e]</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16,654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17,494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12,685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16,852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25,860</w:t>
            </w: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OREO and other repossessed assets</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1,219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3,606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4,416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3,184</w:t>
            </w:r>
          </w:p>
        </w:tc>
      </w:tr>
      <w:tr>
        <w:trPr>
          <w:trHeight w:val="219"/>
        </w:trPr>
        <w:tc>
          <w:tcPr>
            <w:tcW w:w="3260" w:type="dxa"/>
            <w:vAlign w:val="bottom"/>
          </w:tcPr>
          <w:p>
            <w:pPr>
              <w:ind w:left="20"/>
              <w:spacing w:after="0"/>
              <w:rPr>
                <w:sz w:val="20"/>
                <w:szCs w:val="20"/>
                <w:color w:val="auto"/>
              </w:rPr>
            </w:pPr>
            <w:r>
              <w:rPr>
                <w:rFonts w:ascii="Arial" w:cs="Arial" w:eastAsia="Arial" w:hAnsi="Arial"/>
                <w:sz w:val="17"/>
                <w:szCs w:val="17"/>
                <w:color w:val="auto"/>
              </w:rPr>
              <w:t>Total non-performing assets</w:t>
            </w:r>
          </w:p>
        </w:tc>
        <w:tc>
          <w:tcPr>
            <w:tcW w:w="980" w:type="dxa"/>
            <w:vAlign w:val="bottom"/>
          </w:tcPr>
          <w:p>
            <w:pPr>
              <w:ind w:left="40"/>
              <w:spacing w:after="0"/>
              <w:rPr>
                <w:sz w:val="20"/>
                <w:szCs w:val="20"/>
                <w:color w:val="auto"/>
              </w:rPr>
            </w:pPr>
            <w:r>
              <w:rPr>
                <w:rFonts w:ascii="Arial" w:cs="Arial" w:eastAsia="Arial" w:hAnsi="Arial"/>
                <w:sz w:val="17"/>
                <w:szCs w:val="17"/>
                <w:color w:val="auto"/>
              </w:rPr>
              <w:t>[g]</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17,873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18,923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16,291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21,268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29,044</w:t>
            </w: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5"/>
        </w:trPr>
        <w:tc>
          <w:tcPr>
            <w:tcW w:w="3260" w:type="dxa"/>
            <w:vAlign w:val="bottom"/>
          </w:tcPr>
          <w:p>
            <w:pPr>
              <w:ind w:left="20"/>
              <w:spacing w:after="0"/>
              <w:rPr>
                <w:sz w:val="20"/>
                <w:szCs w:val="20"/>
                <w:color w:val="auto"/>
              </w:rPr>
            </w:pPr>
            <w:r>
              <w:rPr>
                <w:rFonts w:ascii="Arial" w:cs="Arial" w:eastAsia="Arial" w:hAnsi="Arial"/>
                <w:sz w:val="17"/>
                <w:szCs w:val="17"/>
                <w:color w:val="auto"/>
                <w:w w:val="99"/>
              </w:rPr>
              <w:t>Substandard (excludes 90+ days past due)</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84,148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84,411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79,962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6"/>
              <w:spacing w:after="0"/>
              <w:rPr>
                <w:sz w:val="20"/>
                <w:szCs w:val="20"/>
                <w:color w:val="auto"/>
              </w:rPr>
            </w:pPr>
            <w:r>
              <w:rPr>
                <w:rFonts w:ascii="Arial" w:cs="Arial" w:eastAsia="Arial" w:hAnsi="Arial"/>
                <w:sz w:val="17"/>
                <w:szCs w:val="17"/>
                <w:color w:val="auto"/>
              </w:rPr>
              <w:t>70,565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51,740</w:t>
            </w:r>
          </w:p>
        </w:tc>
      </w:tr>
      <w:tr>
        <w:trPr>
          <w:trHeight w:val="31"/>
        </w:trPr>
        <w:tc>
          <w:tcPr>
            <w:tcW w:w="3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3"/>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Classified assets</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102,021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103,334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96,253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91,833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80,784</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9"/>
        </w:trPr>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Performing TDRs (includes 30 – 89 days past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w:t>
            </w: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1,940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2,029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1,771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1,801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2,083</w:t>
            </w:r>
          </w:p>
        </w:tc>
      </w:tr>
      <w:tr>
        <w:trPr>
          <w:trHeight w:val="225"/>
        </w:trPr>
        <w:tc>
          <w:tcPr>
            <w:tcW w:w="3260" w:type="dxa"/>
            <w:vAlign w:val="bottom"/>
          </w:tcPr>
          <w:p>
            <w:pPr>
              <w:ind w:left="20"/>
              <w:spacing w:after="0"/>
              <w:rPr>
                <w:sz w:val="20"/>
                <w:szCs w:val="20"/>
                <w:color w:val="auto"/>
              </w:rPr>
            </w:pPr>
            <w:r>
              <w:rPr>
                <w:rFonts w:ascii="Arial" w:cs="Arial" w:eastAsia="Arial" w:hAnsi="Arial"/>
                <w:sz w:val="17"/>
                <w:szCs w:val="17"/>
                <w:color w:val="auto"/>
              </w:rPr>
              <w:t>ACL</w:t>
            </w:r>
          </w:p>
        </w:tc>
        <w:tc>
          <w:tcPr>
            <w:tcW w:w="980" w:type="dxa"/>
            <w:vAlign w:val="bottom"/>
          </w:tcPr>
          <w:p>
            <w:pPr>
              <w:ind w:left="40"/>
              <w:spacing w:after="0"/>
              <w:rPr>
                <w:sz w:val="20"/>
                <w:szCs w:val="20"/>
                <w:color w:val="auto"/>
              </w:rPr>
            </w:pPr>
            <w:r>
              <w:rPr>
                <w:rFonts w:ascii="Arial" w:cs="Arial" w:eastAsia="Arial" w:hAnsi="Arial"/>
                <w:sz w:val="17"/>
                <w:szCs w:val="17"/>
                <w:color w:val="auto"/>
              </w:rPr>
              <w:t>[i]</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90,722</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88,757</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88,213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16"/>
              <w:spacing w:after="0"/>
              <w:rPr>
                <w:sz w:val="20"/>
                <w:szCs w:val="20"/>
                <w:color w:val="auto"/>
              </w:rPr>
            </w:pPr>
            <w:r>
              <w:rPr>
                <w:rFonts w:ascii="Arial" w:cs="Arial" w:eastAsia="Arial" w:hAnsi="Arial"/>
                <w:sz w:val="17"/>
                <w:szCs w:val="17"/>
                <w:color w:val="auto"/>
              </w:rPr>
              <w:t>87,887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92,802</w:t>
            </w: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Bank Tier 1 Capital</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[j]</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1,288,945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1,265,418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1,247,370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1,241,303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1,238,060</w:t>
            </w:r>
          </w:p>
        </w:tc>
      </w:tr>
      <w:tr>
        <w:trPr>
          <w:trHeight w:val="270"/>
        </w:trPr>
        <w:tc>
          <w:tcPr>
            <w:tcW w:w="3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6"/>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Ratios</w:t>
            </w: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6"/>
        </w:trPr>
        <w:tc>
          <w:tcPr>
            <w:tcW w:w="3260" w:type="dxa"/>
            <w:vAlign w:val="bottom"/>
          </w:tcPr>
          <w:p>
            <w:pPr>
              <w:ind w:left="260"/>
              <w:spacing w:after="0"/>
              <w:rPr>
                <w:sz w:val="20"/>
                <w:szCs w:val="20"/>
                <w:color w:val="auto"/>
              </w:rPr>
            </w:pPr>
            <w:r>
              <w:rPr>
                <w:rFonts w:ascii="Arial" w:cs="Arial" w:eastAsia="Arial" w:hAnsi="Arial"/>
                <w:sz w:val="17"/>
                <w:szCs w:val="17"/>
                <w:color w:val="auto"/>
              </w:rPr>
              <w:t>ACL to non-accrual loans</w:t>
            </w:r>
          </w:p>
        </w:tc>
        <w:tc>
          <w:tcPr>
            <w:tcW w:w="980" w:type="dxa"/>
            <w:vAlign w:val="bottom"/>
          </w:tcPr>
          <w:p>
            <w:pPr>
              <w:ind w:left="40"/>
              <w:spacing w:after="0"/>
              <w:rPr>
                <w:sz w:val="20"/>
                <w:szCs w:val="20"/>
                <w:color w:val="auto"/>
              </w:rPr>
            </w:pPr>
            <w:r>
              <w:rPr>
                <w:rFonts w:ascii="Arial" w:cs="Arial" w:eastAsia="Arial" w:hAnsi="Arial"/>
                <w:sz w:val="17"/>
                <w:szCs w:val="17"/>
                <w:color w:val="auto"/>
              </w:rPr>
              <w:t>[i÷d]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588.15 %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560.33 %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706.38 %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551.15 %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365.81 %</w:t>
            </w: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ACL to non-performing loans</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[i÷e]</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544.75 %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507.36 %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695.41 %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521.52 %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358.86 %</w:t>
            </w:r>
          </w:p>
        </w:tc>
      </w:tr>
      <w:tr>
        <w:trPr>
          <w:trHeight w:val="226"/>
        </w:trPr>
        <w:tc>
          <w:tcPr>
            <w:tcW w:w="3260" w:type="dxa"/>
            <w:vAlign w:val="bottom"/>
          </w:tcPr>
          <w:p>
            <w:pPr>
              <w:ind w:left="260"/>
              <w:spacing w:after="0"/>
              <w:rPr>
                <w:sz w:val="20"/>
                <w:szCs w:val="20"/>
                <w:color w:val="auto"/>
              </w:rPr>
            </w:pPr>
            <w:r>
              <w:rPr>
                <w:rFonts w:ascii="Arial" w:cs="Arial" w:eastAsia="Arial" w:hAnsi="Arial"/>
                <w:sz w:val="17"/>
                <w:szCs w:val="17"/>
                <w:color w:val="auto"/>
              </w:rPr>
              <w:t>ACL to non-performing assets</w:t>
            </w:r>
          </w:p>
        </w:tc>
        <w:tc>
          <w:tcPr>
            <w:tcW w:w="980" w:type="dxa"/>
            <w:vAlign w:val="bottom"/>
          </w:tcPr>
          <w:p>
            <w:pPr>
              <w:ind w:left="40"/>
              <w:spacing w:after="0"/>
              <w:rPr>
                <w:sz w:val="20"/>
                <w:szCs w:val="20"/>
                <w:color w:val="auto"/>
              </w:rPr>
            </w:pPr>
            <w:r>
              <w:rPr>
                <w:rFonts w:ascii="Arial" w:cs="Arial" w:eastAsia="Arial" w:hAnsi="Arial"/>
                <w:sz w:val="17"/>
                <w:szCs w:val="17"/>
                <w:color w:val="auto"/>
              </w:rPr>
              <w:t>[i÷g]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507.59 %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469.04 %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541.48 %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413.24 %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319.52 %</w:t>
            </w: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Non-accrual loans to portfolio loans</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[d÷a]</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0.21 %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0.17 %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0.35 %</w:t>
            </w:r>
          </w:p>
        </w:tc>
      </w:tr>
      <w:tr>
        <w:trPr>
          <w:trHeight w:val="225"/>
        </w:trPr>
        <w:tc>
          <w:tcPr>
            <w:tcW w:w="3260" w:type="dxa"/>
            <w:vAlign w:val="bottom"/>
          </w:tcPr>
          <w:p>
            <w:pPr>
              <w:ind w:left="260"/>
              <w:spacing w:after="0"/>
              <w:rPr>
                <w:sz w:val="20"/>
                <w:szCs w:val="20"/>
                <w:color w:val="auto"/>
              </w:rPr>
            </w:pPr>
            <w:r>
              <w:rPr>
                <w:rFonts w:ascii="Arial" w:cs="Arial" w:eastAsia="Arial" w:hAnsi="Arial"/>
                <w:sz w:val="17"/>
                <w:szCs w:val="17"/>
                <w:color w:val="auto"/>
              </w:rPr>
              <w:t>Non-performing loans to portfolio loans</w:t>
            </w:r>
          </w:p>
        </w:tc>
        <w:tc>
          <w:tcPr>
            <w:tcW w:w="980" w:type="dxa"/>
            <w:vAlign w:val="bottom"/>
          </w:tcPr>
          <w:p>
            <w:pPr>
              <w:ind w:left="40"/>
              <w:spacing w:after="0"/>
              <w:rPr>
                <w:sz w:val="20"/>
                <w:szCs w:val="20"/>
                <w:color w:val="auto"/>
              </w:rPr>
            </w:pPr>
            <w:r>
              <w:rPr>
                <w:rFonts w:ascii="Arial" w:cs="Arial" w:eastAsia="Arial" w:hAnsi="Arial"/>
                <w:sz w:val="17"/>
                <w:szCs w:val="17"/>
                <w:color w:val="auto"/>
              </w:rPr>
              <w:t>[e÷a]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0.22 %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0.23 %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0.36 %</w:t>
            </w: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3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Non-performing loans to core loans</w:t>
            </w:r>
            <w:r>
              <w:rPr>
                <w:rFonts w:ascii="Arial" w:cs="Arial" w:eastAsia="Arial" w:hAnsi="Arial"/>
                <w:sz w:val="22"/>
                <w:szCs w:val="22"/>
                <w:color w:val="auto"/>
                <w:vertAlign w:val="superscript"/>
              </w:rPr>
              <w:t>1</w:t>
            </w:r>
          </w:p>
        </w:tc>
        <w:tc>
          <w:tcPr>
            <w:tcW w:w="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[e÷b]</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0.37 %</w:t>
            </w:r>
          </w:p>
        </w:tc>
      </w:tr>
      <w:tr>
        <w:trPr>
          <w:trHeight w:val="225"/>
        </w:trPr>
        <w:tc>
          <w:tcPr>
            <w:tcW w:w="3260" w:type="dxa"/>
            <w:vAlign w:val="bottom"/>
          </w:tcPr>
          <w:p>
            <w:pPr>
              <w:ind w:left="260"/>
              <w:spacing w:after="0"/>
              <w:rPr>
                <w:sz w:val="20"/>
                <w:szCs w:val="20"/>
                <w:color w:val="auto"/>
              </w:rPr>
            </w:pPr>
            <w:r>
              <w:rPr>
                <w:rFonts w:ascii="Arial" w:cs="Arial" w:eastAsia="Arial" w:hAnsi="Arial"/>
                <w:sz w:val="17"/>
                <w:szCs w:val="17"/>
                <w:color w:val="auto"/>
              </w:rPr>
              <w:t>Non-performing assets to total assets</w:t>
            </w:r>
          </w:p>
        </w:tc>
        <w:tc>
          <w:tcPr>
            <w:tcW w:w="980" w:type="dxa"/>
            <w:vAlign w:val="bottom"/>
          </w:tcPr>
          <w:p>
            <w:pPr>
              <w:ind w:left="40"/>
              <w:spacing w:after="0"/>
              <w:rPr>
                <w:sz w:val="20"/>
                <w:szCs w:val="20"/>
                <w:color w:val="auto"/>
              </w:rPr>
            </w:pPr>
            <w:r>
              <w:rPr>
                <w:rFonts w:ascii="Arial" w:cs="Arial" w:eastAsia="Arial" w:hAnsi="Arial"/>
                <w:sz w:val="17"/>
                <w:szCs w:val="17"/>
                <w:color w:val="auto"/>
              </w:rPr>
              <w:t>[g÷c]</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0.14 %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0.17 %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0.23 %</w:t>
            </w:r>
          </w:p>
        </w:tc>
      </w:tr>
      <w:tr>
        <w:trPr>
          <w:trHeight w:val="31"/>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26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9"/>
              </w:rPr>
              <w:t>Non-performing assets to portfolio loans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7"/>
        </w:trPr>
        <w:tc>
          <w:tcPr>
            <w:tcW w:w="3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and OREO</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[g÷(a+f)]</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0.23 %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0.25 %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0.22 %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0.41 %</w:t>
            </w:r>
          </w:p>
        </w:tc>
      </w:tr>
      <w:tr>
        <w:trPr>
          <w:trHeight w:val="212"/>
        </w:trPr>
        <w:tc>
          <w:tcPr>
            <w:tcW w:w="3260" w:type="dxa"/>
            <w:vAlign w:val="bottom"/>
          </w:tcPr>
          <w:p>
            <w:pPr>
              <w:ind w:left="240"/>
              <w:spacing w:after="0"/>
              <w:rPr>
                <w:sz w:val="20"/>
                <w:szCs w:val="20"/>
                <w:color w:val="auto"/>
              </w:rPr>
            </w:pPr>
            <w:r>
              <w:rPr>
                <w:rFonts w:ascii="Arial" w:cs="Arial" w:eastAsia="Arial" w:hAnsi="Arial"/>
                <w:sz w:val="17"/>
                <w:szCs w:val="17"/>
                <w:color w:val="auto"/>
                <w:w w:val="91"/>
              </w:rPr>
              <w:t>Classified assets to Bank Tier 1 Capital and</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260" w:type="dxa"/>
            <w:vAlign w:val="bottom"/>
          </w:tcPr>
          <w:p>
            <w:pPr>
              <w:ind w:left="240"/>
              <w:spacing w:after="0"/>
              <w:rPr>
                <w:sz w:val="20"/>
                <w:szCs w:val="20"/>
                <w:color w:val="auto"/>
              </w:rPr>
            </w:pPr>
            <w:r>
              <w:rPr>
                <w:rFonts w:ascii="Arial" w:cs="Arial" w:eastAsia="Arial" w:hAnsi="Arial"/>
                <w:sz w:val="17"/>
                <w:szCs w:val="17"/>
                <w:color w:val="auto"/>
              </w:rPr>
              <w:t>ACL</w:t>
            </w:r>
          </w:p>
        </w:tc>
        <w:tc>
          <w:tcPr>
            <w:tcW w:w="980" w:type="dxa"/>
            <w:vAlign w:val="bottom"/>
          </w:tcPr>
          <w:p>
            <w:pPr>
              <w:ind w:left="40"/>
              <w:spacing w:after="0"/>
              <w:rPr>
                <w:sz w:val="20"/>
                <w:szCs w:val="20"/>
                <w:color w:val="auto"/>
              </w:rPr>
            </w:pPr>
            <w:r>
              <w:rPr>
                <w:rFonts w:ascii="Arial" w:cs="Arial" w:eastAsia="Arial" w:hAnsi="Arial"/>
                <w:sz w:val="17"/>
                <w:szCs w:val="17"/>
                <w:color w:val="auto"/>
              </w:rPr>
              <w:t>[h÷(i+j)]</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5513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249" w:lineRule="exact"/>
        <w:rPr>
          <w:sz w:val="20"/>
          <w:szCs w:val="20"/>
          <w:color w:val="auto"/>
        </w:rPr>
      </w:pPr>
    </w:p>
    <w:p>
      <w:pPr>
        <w:ind w:left="340" w:right="20" w:hanging="202"/>
        <w:spacing w:after="0" w:line="226" w:lineRule="auto"/>
        <w:tabs>
          <w:tab w:leader="none" w:pos="33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 xml:space="preserve">Core loans is 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Asset quality remains strong by both historical as well as present-day industry standards. Non-performing loan balances decreased by 1.2% to $16.7 million as of September 30, 2022, compared with $16.9 million as of December 31, 2021. Continued disciplined credit management resulted in non-performing loans as a percentage of portfolio loans of 0.22% as of September 30, 2022, and 0.23% as of December 31, 2021.</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quality metrics remain dependent upon market-specific economic conditions, which may fluctuate from period to period. If economic conditions were to deteriorate, we would expect the credit quality of our loan portfolio to decline and loan defaults to increase.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Potential Problem Loans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Potential problem loans are loans classified as substandard which are not individually evaluated,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$83.7 million as of September 30, 2022, compared to $70.5 million as of December 31, 2021. Management continues to monitor these credits and anticipates that restructurings, guarantees, additional collateral, or other planned actions will result in full repayment of the debts. As of September 30, 2022, management identified no other loans that represent or result from trends or uncertainties which would be expected to materially impact future operating results, liquidity, or capital resources.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Modifications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alleviate some of the financial hardships faced as a result of COVID-19, the Company offered a Financial Relief Program to qualifying customers. The program included options for short-term loan payment deferrals and certain fee waivers. As of September 30, 2022, the Company had no loans remaining on full payment deferral, 8 commercial loans on interest-only payment deferral representing $20.6 million in loans, and one payment deferred retail loan representing $0.1 million in loans. In comparison, the Company had 32 commercial loans on interest-only payment deferral representing $128.7 million in loans, and two payment deferred retail loans representing $0.1 million as of December 31, 2021. As these deferrals expire, the Company will continue to monitor credits for potential problem loans.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deposits decreased by 1.6% to $10.6 billion as of September 30, 2022, compared to $10.8 billion as of December 31, 2021. We focus on deepening our relationships with customers to foster core deposit</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growth, allowing us to reduce our reliance on wholesale funding. Core deposits include non-brokered transaction accounts, money market deposit accounts, and time deposits of $250,000 or less. Fluctuations in deposit balances can be attributed to the retention of PPP loan funding in customer deposit accounts, the impacts of fiscal stimulus, inflation and related economic effects on our customers, as well as typical seasonality aspects within our portfolio.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66" w:lineRule="exact"/>
        <w:rPr>
          <w:sz w:val="20"/>
          <w:szCs w:val="20"/>
          <w:color w:val="auto"/>
        </w:rPr>
      </w:pPr>
    </w:p>
    <w:p>
      <w:pPr>
        <w:ind w:firstLine="8"/>
        <w:spacing w:after="0" w:line="201" w:lineRule="auto"/>
        <w:tabs>
          <w:tab w:leader="none" w:pos="103" w:val="left"/>
        </w:tabs>
        <w:numPr>
          <w:ilvl w:val="0"/>
          <w:numId w:val="19"/>
        </w:numPr>
        <w:rPr>
          <w:rFonts w:ascii="Arial" w:cs="Arial" w:eastAsia="Arial" w:hAnsi="Arial"/>
          <w:sz w:val="23"/>
          <w:szCs w:val="23"/>
          <w:color w:val="auto"/>
          <w:vertAlign w:val="superscript"/>
        </w:rPr>
      </w:pPr>
      <w:r>
        <w:rPr>
          <w:rFonts w:ascii="Arial" w:cs="Arial" w:eastAsia="Arial" w:hAnsi="Arial"/>
          <w:sz w:val="14"/>
          <w:szCs w:val="14"/>
          <w:color w:val="auto"/>
        </w:rPr>
        <w:t xml:space="preserve">Core deposits is 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First Busey’s primary sources of funds consist of deposits, investment maturities and sales, loan principal repayments, and capital funds. Additional liquidity is provided by the ability to borrow from the FHLB, the Federal Reserve, First Busey’s revolving credit facility, or to utilize brokered deposits, as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0"/>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6"/>
              <w:spacing w:after="0" w:line="160" w:lineRule="exact"/>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borrowing capacity available from:</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FHLB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1,824,424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1,536,019</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 Reserve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752,733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624,627</w:t>
            </w: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borrowing capacity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2,617,157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Busey Bank routinely enters into commitments to extend credit and standby letters of credit in the normal course of business to meet the financing needs of its customers. We had outstanding loan commitments and standby letters of credit of $2.1 billion as of both September 30, 2022, and December 31, 2021.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2022, our reserve for unfunded commitments was $7.1 million, compared to $6.5 million as of December 31, 2021. We recorded a $0.3 million release of the provision for unfunded commitments for the three months ended September 30, 2022, compared with a provision release of $1.0 million for the same period in 2021. We recorded $0.5 million of expenses for the provision for unfunded commitments for the nine months ended September 30, 2022, compared to provision releases totaling $1.1 million for the same period in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September 30, 2022:</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Minimum Capital</w:t>
            </w:r>
          </w:p>
        </w:tc>
        <w:tc>
          <w:tcPr>
            <w:tcW w:w="328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As of September 30, 2022</w:t>
            </w:r>
          </w:p>
        </w:tc>
        <w:tc>
          <w:tcPr>
            <w:tcW w:w="0" w:type="dxa"/>
            <w:vAlign w:val="bottom"/>
          </w:tcPr>
          <w:p>
            <w:pPr>
              <w:spacing w:after="0"/>
              <w:rPr>
                <w:sz w:val="1"/>
                <w:szCs w:val="1"/>
                <w:color w:val="auto"/>
              </w:rPr>
            </w:pPr>
          </w:p>
        </w:tc>
      </w:tr>
      <w:tr>
        <w:trPr>
          <w:trHeight w:val="39"/>
        </w:trPr>
        <w:tc>
          <w:tcPr>
            <w:tcW w:w="62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Requirements with</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First Busey</w:t>
            </w:r>
          </w:p>
        </w:tc>
        <w:tc>
          <w:tcPr>
            <w:tcW w:w="1580" w:type="dxa"/>
            <w:vAlign w:val="bottom"/>
          </w:tcPr>
          <w:p>
            <w:pPr>
              <w:jc w:val="right"/>
              <w:ind w:right="516"/>
              <w:spacing w:after="0"/>
              <w:rPr>
                <w:sz w:val="20"/>
                <w:szCs w:val="20"/>
                <w:color w:val="auto"/>
              </w:rPr>
            </w:pPr>
            <w:r>
              <w:rPr>
                <w:rFonts w:ascii="Arial" w:cs="Arial" w:eastAsia="Arial" w:hAnsi="Arial"/>
                <w:sz w:val="14"/>
                <w:szCs w:val="14"/>
                <w:b w:val="1"/>
                <w:bCs w:val="1"/>
                <w:color w:val="auto"/>
              </w:rPr>
              <w:t>Busey</w:t>
            </w:r>
          </w:p>
        </w:tc>
        <w:tc>
          <w:tcPr>
            <w:tcW w:w="0" w:type="dxa"/>
            <w:vAlign w:val="bottom"/>
          </w:tcPr>
          <w:p>
            <w:pPr>
              <w:spacing w:after="0"/>
              <w:rPr>
                <w:sz w:val="1"/>
                <w:szCs w:val="1"/>
                <w:color w:val="auto"/>
              </w:rPr>
            </w:pPr>
          </w:p>
        </w:tc>
      </w:tr>
      <w:tr>
        <w:trPr>
          <w:trHeight w:val="200"/>
        </w:trPr>
        <w:tc>
          <w:tcPr>
            <w:tcW w:w="626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Capital Buffer</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Corporation</w:t>
            </w:r>
          </w:p>
        </w:tc>
        <w:tc>
          <w:tcPr>
            <w:tcW w:w="1580" w:type="dxa"/>
            <w:vAlign w:val="bottom"/>
          </w:tcPr>
          <w:p>
            <w:pPr>
              <w:jc w:val="right"/>
              <w:ind w:right="536"/>
              <w:spacing w:after="0"/>
              <w:rPr>
                <w:sz w:val="20"/>
                <w:szCs w:val="20"/>
                <w:color w:val="auto"/>
              </w:rPr>
            </w:pPr>
            <w:r>
              <w:rPr>
                <w:rFonts w:ascii="Arial" w:cs="Arial" w:eastAsia="Arial" w:hAnsi="Arial"/>
                <w:sz w:val="14"/>
                <w:szCs w:val="14"/>
                <w:b w:val="1"/>
                <w:bCs w:val="1"/>
                <w:color w:val="auto"/>
              </w:rPr>
              <w:t>Bank</w:t>
            </w:r>
          </w:p>
        </w:tc>
        <w:tc>
          <w:tcPr>
            <w:tcW w:w="0" w:type="dxa"/>
            <w:vAlign w:val="bottom"/>
          </w:tcPr>
          <w:p>
            <w:pPr>
              <w:spacing w:after="0"/>
              <w:rPr>
                <w:sz w:val="1"/>
                <w:szCs w:val="1"/>
                <w:color w:val="auto"/>
              </w:rPr>
            </w:pPr>
          </w:p>
        </w:tc>
      </w:tr>
      <w:tr>
        <w:trPr>
          <w:trHeight w:val="25"/>
        </w:trPr>
        <w:tc>
          <w:tcPr>
            <w:tcW w:w="62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Equity Tier 1 Capital to Risk Weighted Assets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14.45 %</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Tier 1 Capital to Risk Weighted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12.62 %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14.45 %</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to Risk Weighted Assets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15.31 %</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Leverage Ratio of Tier 1 Capital to Average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9.15 %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10.47 %</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discussion of capital resources and requirements, see </w:t>
      </w:r>
      <w:r>
        <w:rPr>
          <w:rFonts w:ascii="Arial" w:cs="Arial" w:eastAsia="Arial" w:hAnsi="Arial"/>
          <w:sz w:val="18"/>
          <w:szCs w:val="18"/>
          <w:color w:val="0000FF"/>
        </w:rPr>
        <w:t>“</w:t>
      </w:r>
      <w:r>
        <w:rPr>
          <w:rFonts w:ascii="Arial" w:cs="Arial" w:eastAsia="Arial" w:hAnsi="Arial"/>
          <w:sz w:val="18"/>
          <w:szCs w:val="18"/>
          <w:i w:val="1"/>
          <w:iCs w:val="1"/>
          <w:u w:val="single" w:color="auto"/>
          <w:color w:val="0000FF"/>
        </w:rPr>
        <w:t>Note 7: Regulatory Capital.</w:t>
      </w:r>
      <w:r>
        <w:rPr>
          <w:rFonts w:ascii="Arial" w:cs="Arial" w:eastAsia="Arial" w:hAnsi="Arial"/>
          <w:sz w:val="18"/>
          <w:szCs w:val="18"/>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Quarterly Report contains certain financial information determined by methods other than GAAP. Management uses these non-GAAP measures, together with the related GAAP measures, in analysis of the Company’s performance and in making business decisions, as well as for comparison to the Company’s peers. The Company believes the adjusted measures are useful for investors and management to understand the effects of certain non-recurring noninterest items and provide additional perspective on the Company’s performance over time.</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reconciliation of non-GAAP financial measures to what management believes to be the most directly comparable GAAP financial measures— specifically, net interest income, total noninterest income, net security gains and losses, and total noninterest expense in the case of pre-provision net revenue, adjusted pre-provision net revenue, pre-provision net revenue to average assets, and adjusted pre-provision net revenue to average assets; net income in the case of adjusted net income, adjusted diluted earnings per share, adjusted return on average assets, return on average tangible common equity, and adjusted return on average tangible common equity; net interest income in the case of adjusted net interest income and adjusted net interest margin; net interest income, total noninterest income, and total noninterest expense in the case of adjusted noninterest expense, adjusted core expense, efficiency ratio, adjusted efficiency ratio, and adjusted core efficiency ratio; total stockholders’ equity in the case of tangible book value per common share; total assets and total stockholders’ equity in the case of tangible common equity and tangible common equity to tangible assets; portfolio loans in the case of core loans and core loans to portfolio loans; total deposits in the case of core deposits and core deposits to total deposits; and portfolio loans and total deposits in the case of core loans to core deposits—appears below.</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operating results reported in accordance with GAAP, nor are they necessarily comparable to non-GAAP performance measures that may be presented by other companies. Tax effected numbers included in these non-GAAP disclosures are based on estimated statutory rates or effective rates as appropriate.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Pre-Provision Net Revenue, Adjusted Pre-Provision Net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Pre-Provision Net Revenue to Average Assets, and Adjusted Pre-Provision Net Revenue to Average Assets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86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Nine Months Ended</w:t>
            </w:r>
          </w:p>
        </w:tc>
      </w:tr>
      <w:tr>
        <w:trPr>
          <w:trHeight w:val="39"/>
        </w:trPr>
        <w:tc>
          <w:tcPr>
            <w:tcW w:w="4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3"/>
        </w:trPr>
        <w:tc>
          <w:tcPr>
            <w:tcW w:w="4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80" w:type="dxa"/>
            <w:vAlign w:val="bottom"/>
          </w:tcPr>
          <w:p>
            <w:pPr>
              <w:jc w:val="right"/>
              <w:ind w:right="212"/>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4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6"/>
        </w:trPr>
        <w:tc>
          <w:tcPr>
            <w:tcW w:w="4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PRE-PROVISION NET REVENUE</w:t>
            </w: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Net interest income</w:t>
            </w:r>
          </w:p>
        </w:tc>
        <w:tc>
          <w:tcPr>
            <w:tcW w:w="8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86,305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70,755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232,289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200,190</w:t>
            </w:r>
          </w:p>
        </w:tc>
      </w:tr>
      <w:tr>
        <w:trPr>
          <w:trHeight w:val="27"/>
        </w:trPr>
        <w:tc>
          <w:tcPr>
            <w:tcW w:w="4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noninterest income</w:t>
            </w: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97,715</w:t>
            </w: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Net security (gains) losses</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(2,596)</w:t>
            </w:r>
          </w:p>
        </w:tc>
      </w:tr>
      <w:tr>
        <w:trPr>
          <w:trHeight w:val="27"/>
        </w:trPr>
        <w:tc>
          <w:tcPr>
            <w:tcW w:w="4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noninterest expense</w:t>
            </w: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(70,736)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(190,611)</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Pre-provision net revenue</w:t>
            </w:r>
          </w:p>
        </w:tc>
        <w:tc>
          <w:tcPr>
            <w:tcW w:w="8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46,498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104,698</w:t>
            </w:r>
          </w:p>
        </w:tc>
      </w:tr>
      <w:tr>
        <w:trPr>
          <w:trHeight w:val="27"/>
        </w:trPr>
        <w:tc>
          <w:tcPr>
            <w:tcW w:w="4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Acquisition and other restructuring expenses</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11,710</w:t>
            </w:r>
          </w:p>
        </w:tc>
      </w:tr>
      <w:tr>
        <w:trPr>
          <w:trHeight w:val="27"/>
        </w:trPr>
        <w:tc>
          <w:tcPr>
            <w:tcW w:w="4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 for unfunded commitments</w:t>
            </w: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Amortization of New Markets Tax Credits</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7"/>
        </w:trPr>
        <w:tc>
          <w:tcPr>
            <w:tcW w:w="4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pre-provision net revenue</w:t>
            </w:r>
          </w:p>
        </w:tc>
        <w:tc>
          <w:tcPr>
            <w:tcW w:w="8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119,648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Pre-provision net revenue, annualized</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139,981</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Adjusted pre-provision net revenue, annualized</w:t>
            </w:r>
          </w:p>
        </w:tc>
        <w:tc>
          <w:tcPr>
            <w:tcW w:w="840" w:type="dxa"/>
            <w:vAlign w:val="bottom"/>
          </w:tcPr>
          <w:p>
            <w:pPr>
              <w:ind w:left="18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193,609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156,351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159,969</w:t>
            </w:r>
          </w:p>
        </w:tc>
      </w:tr>
      <w:tr>
        <w:trPr>
          <w:trHeight w:val="27"/>
        </w:trPr>
        <w:tc>
          <w:tcPr>
            <w:tcW w:w="4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total assets</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12,531,856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12,697,795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12,547,816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11,571,270</w:t>
            </w:r>
          </w:p>
        </w:tc>
      </w:tr>
      <w:tr>
        <w:trPr>
          <w:trHeight w:val="270"/>
        </w:trPr>
        <w:tc>
          <w:tcPr>
            <w:tcW w:w="4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 xml:space="preserve">Reported: </w:t>
            </w:r>
            <w:r>
              <w:rPr>
                <w:rFonts w:ascii="Arial" w:cs="Arial" w:eastAsia="Arial" w:hAnsi="Arial"/>
                <w:sz w:val="18"/>
                <w:szCs w:val="18"/>
                <w:color w:val="auto"/>
                <w:w w:val="92"/>
              </w:rPr>
              <w:t>Pre-provision net revenue to average assets</w:t>
            </w:r>
            <w:r>
              <w:rPr>
                <w:rFonts w:ascii="Arial" w:cs="Arial" w:eastAsia="Arial" w:hAnsi="Arial"/>
                <w:sz w:val="23"/>
                <w:szCs w:val="23"/>
                <w:color w:val="auto"/>
                <w:w w:val="92"/>
                <w:vertAlign w:val="superscript"/>
              </w:rPr>
              <w:t>1</w:t>
            </w:r>
          </w:p>
        </w:tc>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312"/>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w w:val="92"/>
              </w:rPr>
              <w:t xml:space="preserve">Adjusted: </w:t>
            </w:r>
            <w:r>
              <w:rPr>
                <w:rFonts w:ascii="Arial" w:cs="Arial" w:eastAsia="Arial" w:hAnsi="Arial"/>
                <w:sz w:val="18"/>
                <w:szCs w:val="18"/>
                <w:color w:val="auto"/>
                <w:w w:val="92"/>
              </w:rPr>
              <w:t>Pre-provision net revenue to average assets</w:t>
            </w:r>
            <w:r>
              <w:rPr>
                <w:rFonts w:ascii="Arial" w:cs="Arial" w:eastAsia="Arial" w:hAnsi="Arial"/>
                <w:sz w:val="23"/>
                <w:szCs w:val="23"/>
                <w:color w:val="auto"/>
                <w:w w:val="92"/>
                <w:vertAlign w:val="superscript"/>
              </w:rPr>
              <w:t>1</w:t>
            </w:r>
          </w:p>
        </w:tc>
        <w:tc>
          <w:tcPr>
            <w:tcW w:w="840" w:type="dxa"/>
            <w:vAlign w:val="bottom"/>
          </w:tcPr>
          <w:p>
            <w:pPr>
              <w:ind w:left="180"/>
              <w:spacing w:after="0"/>
              <w:rPr>
                <w:sz w:val="20"/>
                <w:szCs w:val="20"/>
                <w:color w:val="auto"/>
              </w:rPr>
            </w:pPr>
            <w:r>
              <w:rPr>
                <w:rFonts w:ascii="Arial" w:cs="Arial" w:eastAsia="Arial" w:hAnsi="Arial"/>
                <w:sz w:val="18"/>
                <w:szCs w:val="18"/>
                <w:color w:val="auto"/>
              </w:rPr>
              <w:t>[b÷c]</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551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Annualized measure.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Adjusted Net Income, Adjusted Diluted Earnings Per Share, Adjusted Return on Average Assets,</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Return on Average Tangible Common Equity, and Adjusted Return on Average Tangible Common Equity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980" w:type="dxa"/>
            <w:vAlign w:val="bottom"/>
            <w:gridSpan w:val="4"/>
          </w:tcPr>
          <w:p>
            <w:pPr>
              <w:jc w:val="right"/>
              <w:ind w:right="904"/>
              <w:spacing w:after="0"/>
              <w:rPr>
                <w:sz w:val="20"/>
                <w:szCs w:val="20"/>
                <w:color w:val="auto"/>
              </w:rPr>
            </w:pPr>
            <w:r>
              <w:rPr>
                <w:rFonts w:ascii="Arial" w:cs="Arial" w:eastAsia="Arial" w:hAnsi="Arial"/>
                <w:sz w:val="14"/>
                <w:szCs w:val="14"/>
                <w:b w:val="1"/>
                <w:bCs w:val="1"/>
                <w:color w:val="auto"/>
              </w:rPr>
              <w:t>Nine Months Ended</w:t>
            </w:r>
          </w:p>
        </w:tc>
      </w:tr>
      <w:tr>
        <w:trPr>
          <w:trHeight w:val="39"/>
        </w:trPr>
        <w:tc>
          <w:tcPr>
            <w:tcW w:w="24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73"/>
        </w:trPr>
        <w:tc>
          <w:tcPr>
            <w:tcW w:w="2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340" w:type="dxa"/>
            <w:vAlign w:val="bottom"/>
          </w:tcPr>
          <w:p>
            <w:pPr>
              <w:jc w:val="right"/>
              <w:ind w:right="264"/>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2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26"/>
        </w:trPr>
        <w:tc>
          <w:tcPr>
            <w:tcW w:w="24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ADJUSTED FOR NON-OPERATING</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ITEMS</w:t>
            </w:r>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08"/>
        </w:trPr>
        <w:tc>
          <w:tcPr>
            <w:tcW w:w="406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income</w:t>
            </w:r>
          </w:p>
        </w:tc>
        <w:tc>
          <w:tcPr>
            <w:tcW w:w="720" w:type="dxa"/>
            <w:vAlign w:val="bottom"/>
          </w:tcPr>
          <w:p>
            <w:pPr>
              <w:ind w:left="60"/>
              <w:spacing w:after="0"/>
              <w:rPr>
                <w:sz w:val="20"/>
                <w:szCs w:val="20"/>
                <w:color w:val="auto"/>
              </w:rPr>
            </w:pPr>
            <w:r>
              <w:rPr>
                <w:rFonts w:ascii="Arial" w:cs="Arial" w:eastAsia="Arial" w:hAnsi="Arial"/>
                <w:sz w:val="15"/>
                <w:szCs w:val="15"/>
                <w:color w:val="auto"/>
              </w:rPr>
              <w:t>[a]</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35,661</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25,941</w:t>
            </w:r>
          </w:p>
        </w:tc>
        <w:tc>
          <w:tcPr>
            <w:tcW w:w="10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93,924</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93,523</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Non-GAAP adjustments:</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08"/>
        </w:trPr>
        <w:tc>
          <w:tcPr>
            <w:tcW w:w="4060" w:type="dxa"/>
            <w:vAlign w:val="bottom"/>
            <w:gridSpan w:val="2"/>
          </w:tcPr>
          <w:p>
            <w:pPr>
              <w:ind w:left="260"/>
              <w:spacing w:after="0"/>
              <w:rPr>
                <w:sz w:val="20"/>
                <w:szCs w:val="20"/>
                <w:color w:val="auto"/>
              </w:rPr>
            </w:pPr>
            <w:r>
              <w:rPr>
                <w:rFonts w:ascii="Arial" w:cs="Arial" w:eastAsia="Arial" w:hAnsi="Arial"/>
                <w:sz w:val="15"/>
                <w:szCs w:val="15"/>
                <w:color w:val="auto"/>
              </w:rPr>
              <w:t>Acquisition expenses: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40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5"/>
                <w:szCs w:val="15"/>
                <w:color w:val="auto"/>
              </w:rPr>
              <w:t>Salaries, wages, and employee benefits</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4,462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587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5,587</w:t>
            </w:r>
          </w:p>
        </w:tc>
      </w:tr>
      <w:tr>
        <w:trPr>
          <w:trHeight w:val="208"/>
        </w:trPr>
        <w:tc>
          <w:tcPr>
            <w:tcW w:w="4060" w:type="dxa"/>
            <w:vAlign w:val="bottom"/>
            <w:gridSpan w:val="2"/>
          </w:tcPr>
          <w:p>
            <w:pPr>
              <w:ind w:left="520"/>
              <w:spacing w:after="0"/>
              <w:rPr>
                <w:sz w:val="20"/>
                <w:szCs w:val="20"/>
                <w:color w:val="auto"/>
              </w:rPr>
            </w:pPr>
            <w:r>
              <w:rPr>
                <w:rFonts w:ascii="Arial" w:cs="Arial" w:eastAsia="Arial" w:hAnsi="Arial"/>
                <w:sz w:val="15"/>
                <w:szCs w:val="15"/>
                <w:color w:val="auto"/>
              </w:rPr>
              <w:t>Data processing</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3,182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214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3,557</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40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5"/>
                <w:szCs w:val="15"/>
                <w:color w:val="auto"/>
              </w:rPr>
              <w:t>Loss on leases or fixed asset impairment</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r>
      <w:tr>
        <w:trPr>
          <w:trHeight w:val="208"/>
        </w:trPr>
        <w:tc>
          <w:tcPr>
            <w:tcW w:w="4060" w:type="dxa"/>
            <w:vAlign w:val="bottom"/>
            <w:gridSpan w:val="2"/>
          </w:tcPr>
          <w:p>
            <w:pPr>
              <w:ind w:left="520"/>
              <w:spacing w:after="0"/>
              <w:rPr>
                <w:sz w:val="20"/>
                <w:szCs w:val="20"/>
                <w:color w:val="auto"/>
              </w:rPr>
            </w:pPr>
            <w:r>
              <w:rPr>
                <w:rFonts w:ascii="Arial" w:cs="Arial" w:eastAsia="Arial" w:hAnsi="Arial"/>
                <w:sz w:val="15"/>
                <w:szCs w:val="15"/>
                <w:color w:val="auto"/>
              </w:rPr>
              <w:t>Professional fees, occupancy, and other</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776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242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2,309</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4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Other restructuring expenses:</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08"/>
        </w:trPr>
        <w:tc>
          <w:tcPr>
            <w:tcW w:w="4060" w:type="dxa"/>
            <w:vAlign w:val="bottom"/>
            <w:gridSpan w:val="2"/>
          </w:tcPr>
          <w:p>
            <w:pPr>
              <w:ind w:left="520"/>
              <w:spacing w:after="0"/>
              <w:rPr>
                <w:sz w:val="20"/>
                <w:szCs w:val="20"/>
                <w:color w:val="auto"/>
              </w:rPr>
            </w:pPr>
            <w:r>
              <w:rPr>
                <w:rFonts w:ascii="Arial" w:cs="Arial" w:eastAsia="Arial" w:hAnsi="Arial"/>
                <w:sz w:val="15"/>
                <w:szCs w:val="15"/>
                <w:color w:val="auto"/>
              </w:rPr>
              <w:t>Salaries, wages, and employee benefits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257</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40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5"/>
                <w:szCs w:val="15"/>
                <w:color w:val="auto"/>
              </w:rPr>
              <w:t>Data processing</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r>
      <w:tr>
        <w:trPr>
          <w:trHeight w:val="208"/>
        </w:trPr>
        <w:tc>
          <w:tcPr>
            <w:tcW w:w="4060" w:type="dxa"/>
            <w:vAlign w:val="bottom"/>
            <w:gridSpan w:val="2"/>
          </w:tcPr>
          <w:p>
            <w:pPr>
              <w:ind w:left="520"/>
              <w:spacing w:after="0"/>
              <w:rPr>
                <w:sz w:val="20"/>
                <w:szCs w:val="20"/>
                <w:color w:val="auto"/>
              </w:rPr>
            </w:pPr>
            <w:r>
              <w:rPr>
                <w:rFonts w:ascii="Arial" w:cs="Arial" w:eastAsia="Arial" w:hAnsi="Arial"/>
                <w:sz w:val="15"/>
                <w:szCs w:val="15"/>
                <w:color w:val="auto"/>
              </w:rPr>
              <w:t>Loss on leases or fixed asset impairment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877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976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4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Professional fees, occupancy, and other</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76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76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r>
      <w:tr>
        <w:trPr>
          <w:trHeight w:val="208"/>
        </w:trPr>
        <w:tc>
          <w:tcPr>
            <w:tcW w:w="4060" w:type="dxa"/>
            <w:vAlign w:val="bottom"/>
            <w:gridSpan w:val="2"/>
          </w:tcPr>
          <w:p>
            <w:pPr>
              <w:ind w:left="260"/>
              <w:spacing w:after="0"/>
              <w:rPr>
                <w:sz w:val="20"/>
                <w:szCs w:val="20"/>
                <w:color w:val="auto"/>
              </w:rPr>
            </w:pPr>
            <w:r>
              <w:rPr>
                <w:rFonts w:ascii="Arial" w:cs="Arial" w:eastAsia="Arial" w:hAnsi="Arial"/>
                <w:sz w:val="15"/>
                <w:szCs w:val="15"/>
                <w:color w:val="auto"/>
              </w:rPr>
              <w:t>MSR valuation impairment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4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Related tax benefit</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(183)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(1,773)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(399)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(2,402)</w:t>
            </w:r>
          </w:p>
        </w:tc>
      </w:tr>
      <w:tr>
        <w:trPr>
          <w:trHeight w:val="208"/>
        </w:trPr>
        <w:tc>
          <w:tcPr>
            <w:tcW w:w="4060" w:type="dxa"/>
            <w:vAlign w:val="bottom"/>
            <w:gridSpan w:val="2"/>
          </w:tcPr>
          <w:p>
            <w:pPr>
              <w:ind w:left="240"/>
              <w:spacing w:after="0"/>
              <w:rPr>
                <w:sz w:val="20"/>
                <w:szCs w:val="20"/>
                <w:color w:val="auto"/>
              </w:rPr>
            </w:pPr>
            <w:r>
              <w:rPr>
                <w:rFonts w:ascii="Arial" w:cs="Arial" w:eastAsia="Arial" w:hAnsi="Arial"/>
                <w:sz w:val="15"/>
                <w:szCs w:val="15"/>
                <w:color w:val="auto"/>
              </w:rPr>
              <w:t>TJCA related adjustment</w:t>
            </w:r>
          </w:p>
        </w:tc>
        <w:tc>
          <w:tcPr>
            <w:tcW w:w="7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w:t>
            </w:r>
          </w:p>
        </w:tc>
      </w:tr>
      <w:tr>
        <w:trPr>
          <w:trHeight w:val="22"/>
        </w:trPr>
        <w:tc>
          <w:tcPr>
            <w:tcW w:w="24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Adjusted net income</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[b]</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36,435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32,845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95,620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102,831</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DILUTED EARNINGS PER SHARE</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08"/>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Diluted average common shares outstanding</w:t>
            </w:r>
          </w:p>
        </w:tc>
        <w:tc>
          <w:tcPr>
            <w:tcW w:w="720" w:type="dxa"/>
            <w:vAlign w:val="bottom"/>
          </w:tcPr>
          <w:p>
            <w:pPr>
              <w:ind w:left="60"/>
              <w:spacing w:after="0"/>
              <w:rPr>
                <w:sz w:val="20"/>
                <w:szCs w:val="20"/>
                <w:color w:val="auto"/>
              </w:rPr>
            </w:pPr>
            <w:r>
              <w:rPr>
                <w:rFonts w:ascii="Arial" w:cs="Arial" w:eastAsia="Arial" w:hAnsi="Arial"/>
                <w:sz w:val="15"/>
                <w:szCs w:val="15"/>
                <w:color w:val="auto"/>
              </w:rPr>
              <w:t>[c]</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56,073,164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56,832,518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56,123,756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55,872,835</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1"/>
        </w:trPr>
        <w:tc>
          <w:tcPr>
            <w:tcW w:w="4060" w:type="dxa"/>
            <w:vAlign w:val="bottom"/>
            <w:gridSpan w:val="2"/>
          </w:tcPr>
          <w:p>
            <w:pPr>
              <w:ind w:left="20"/>
              <w:spacing w:after="0"/>
              <w:rPr>
                <w:sz w:val="20"/>
                <w:szCs w:val="20"/>
                <w:color w:val="auto"/>
              </w:rPr>
            </w:pPr>
            <w:r>
              <w:rPr>
                <w:rFonts w:ascii="Arial" w:cs="Arial" w:eastAsia="Arial" w:hAnsi="Arial"/>
                <w:sz w:val="15"/>
                <w:szCs w:val="15"/>
                <w:b w:val="1"/>
                <w:bCs w:val="1"/>
                <w:color w:val="auto"/>
              </w:rPr>
              <w:t xml:space="preserve">Reported: </w:t>
            </w:r>
            <w:r>
              <w:rPr>
                <w:rFonts w:ascii="Arial" w:cs="Arial" w:eastAsia="Arial" w:hAnsi="Arial"/>
                <w:sz w:val="15"/>
                <w:szCs w:val="15"/>
                <w:color w:val="auto"/>
              </w:rPr>
              <w:t>Diluted earnings per share</w:t>
            </w:r>
          </w:p>
        </w:tc>
        <w:tc>
          <w:tcPr>
            <w:tcW w:w="720" w:type="dxa"/>
            <w:vAlign w:val="bottom"/>
          </w:tcPr>
          <w:p>
            <w:pPr>
              <w:ind w:left="60"/>
              <w:spacing w:after="0"/>
              <w:rPr>
                <w:sz w:val="20"/>
                <w:szCs w:val="20"/>
                <w:color w:val="auto"/>
              </w:rPr>
            </w:pPr>
            <w:r>
              <w:rPr>
                <w:rFonts w:ascii="Arial" w:cs="Arial" w:eastAsia="Arial" w:hAnsi="Arial"/>
                <w:sz w:val="15"/>
                <w:szCs w:val="15"/>
                <w:color w:val="auto"/>
              </w:rPr>
              <w:t>[a÷c]</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0.64</w:t>
            </w:r>
          </w:p>
        </w:tc>
        <w:tc>
          <w:tcPr>
            <w:tcW w:w="8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0.46</w:t>
            </w:r>
          </w:p>
        </w:tc>
        <w:tc>
          <w:tcPr>
            <w:tcW w:w="10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1.67</w:t>
            </w:r>
          </w:p>
        </w:tc>
        <w:tc>
          <w:tcPr>
            <w:tcW w:w="8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1.67</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 xml:space="preserve">Adjusted: </w:t>
            </w:r>
            <w:r>
              <w:rPr>
                <w:rFonts w:ascii="Arial" w:cs="Arial" w:eastAsia="Arial" w:hAnsi="Arial"/>
                <w:sz w:val="15"/>
                <w:szCs w:val="15"/>
                <w:color w:val="auto"/>
              </w:rPr>
              <w:t>Diluted earnings per share</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[b÷c]</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0.65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0.58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1.70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1.84</w:t>
            </w:r>
          </w:p>
        </w:tc>
      </w:tr>
      <w:tr>
        <w:trPr>
          <w:trHeight w:val="270"/>
        </w:trPr>
        <w:tc>
          <w:tcPr>
            <w:tcW w:w="24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RETURN ON AVERAGE ASSETS</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08"/>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Net income, annualized</w:t>
            </w:r>
          </w:p>
        </w:tc>
        <w:tc>
          <w:tcPr>
            <w:tcW w:w="720" w:type="dxa"/>
            <w:vAlign w:val="bottom"/>
          </w:tcPr>
          <w:p>
            <w:pPr>
              <w:ind w:left="60"/>
              <w:spacing w:after="0"/>
              <w:rPr>
                <w:sz w:val="20"/>
                <w:szCs w:val="20"/>
                <w:color w:val="auto"/>
              </w:rPr>
            </w:pPr>
            <w:r>
              <w:rPr>
                <w:rFonts w:ascii="Arial" w:cs="Arial" w:eastAsia="Arial" w:hAnsi="Arial"/>
                <w:sz w:val="15"/>
                <w:szCs w:val="15"/>
                <w:color w:val="auto"/>
              </w:rPr>
              <w:t>[d]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141,481</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102,918</w:t>
            </w:r>
          </w:p>
        </w:tc>
        <w:tc>
          <w:tcPr>
            <w:tcW w:w="10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125,576</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125,040</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Adjusted net income, annualized</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[e]</w:t>
            </w: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144,552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130,309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127,844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137,485</w:t>
            </w:r>
          </w:p>
        </w:tc>
      </w:tr>
      <w:tr>
        <w:trPr>
          <w:trHeight w:val="208"/>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Average total assets</w:t>
            </w:r>
          </w:p>
        </w:tc>
        <w:tc>
          <w:tcPr>
            <w:tcW w:w="720" w:type="dxa"/>
            <w:vAlign w:val="bottom"/>
          </w:tcPr>
          <w:p>
            <w:pPr>
              <w:ind w:left="60"/>
              <w:spacing w:after="0"/>
              <w:rPr>
                <w:sz w:val="20"/>
                <w:szCs w:val="20"/>
                <w:color w:val="auto"/>
              </w:rPr>
            </w:pPr>
            <w:r>
              <w:rPr>
                <w:rFonts w:ascii="Arial" w:cs="Arial" w:eastAsia="Arial" w:hAnsi="Arial"/>
                <w:sz w:val="15"/>
                <w:szCs w:val="15"/>
                <w:color w:val="auto"/>
              </w:rPr>
              <w:t>[f]</w:t>
            </w:r>
          </w:p>
        </w:tc>
        <w:tc>
          <w:tcPr>
            <w:tcW w:w="200" w:type="dxa"/>
            <w:vAlign w:val="bottom"/>
          </w:tcPr>
          <w:p>
            <w:pPr>
              <w:spacing w:after="0"/>
              <w:rPr>
                <w:sz w:val="18"/>
                <w:szCs w:val="18"/>
                <w:color w:val="auto"/>
              </w:rPr>
            </w:pP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12,531,856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12,697,795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12,547,816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11,571,270</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4060" w:type="dxa"/>
            <w:vAlign w:val="bottom"/>
            <w:gridSpan w:val="2"/>
          </w:tcPr>
          <w:p>
            <w:pPr>
              <w:ind w:left="20"/>
              <w:spacing w:after="0"/>
              <w:rPr>
                <w:sz w:val="20"/>
                <w:szCs w:val="20"/>
                <w:color w:val="auto"/>
              </w:rPr>
            </w:pPr>
            <w:r>
              <w:rPr>
                <w:rFonts w:ascii="Arial" w:cs="Arial" w:eastAsia="Arial" w:hAnsi="Arial"/>
                <w:sz w:val="15"/>
                <w:szCs w:val="15"/>
                <w:b w:val="1"/>
                <w:bCs w:val="1"/>
                <w:color w:val="auto"/>
              </w:rPr>
              <w:t xml:space="preserve">Reported: </w:t>
            </w:r>
            <w:r>
              <w:rPr>
                <w:rFonts w:ascii="Arial" w:cs="Arial" w:eastAsia="Arial" w:hAnsi="Arial"/>
                <w:sz w:val="15"/>
                <w:szCs w:val="15"/>
                <w:color w:val="auto"/>
              </w:rPr>
              <w:t>Return on average assets</w:t>
            </w:r>
            <w:r>
              <w:rPr>
                <w:rFonts w:ascii="Arial" w:cs="Arial" w:eastAsia="Arial" w:hAnsi="Arial"/>
                <w:sz w:val="19"/>
                <w:szCs w:val="19"/>
                <w:color w:val="auto"/>
                <w:vertAlign w:val="superscript"/>
              </w:rPr>
              <w:t>1</w:t>
            </w:r>
          </w:p>
        </w:tc>
        <w:tc>
          <w:tcPr>
            <w:tcW w:w="720" w:type="dxa"/>
            <w:vAlign w:val="bottom"/>
          </w:tcPr>
          <w:p>
            <w:pPr>
              <w:ind w:left="60"/>
              <w:spacing w:after="0"/>
              <w:rPr>
                <w:sz w:val="20"/>
                <w:szCs w:val="20"/>
                <w:color w:val="auto"/>
              </w:rPr>
            </w:pPr>
            <w:r>
              <w:rPr>
                <w:rFonts w:ascii="Arial" w:cs="Arial" w:eastAsia="Arial" w:hAnsi="Arial"/>
                <w:sz w:val="15"/>
                <w:szCs w:val="15"/>
                <w:color w:val="auto"/>
              </w:rPr>
              <w:t>[d÷f]</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0.81 %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1.08 %</w:t>
            </w:r>
          </w:p>
        </w:tc>
      </w:tr>
      <w:tr>
        <w:trPr>
          <w:trHeight w:val="23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 xml:space="preserve">Adjusted: </w:t>
            </w:r>
            <w:r>
              <w:rPr>
                <w:rFonts w:ascii="Arial" w:cs="Arial" w:eastAsia="Arial" w:hAnsi="Arial"/>
                <w:sz w:val="15"/>
                <w:szCs w:val="15"/>
                <w:color w:val="auto"/>
              </w:rPr>
              <w:t>Return on average assets</w:t>
            </w:r>
            <w:r>
              <w:rPr>
                <w:rFonts w:ascii="Arial" w:cs="Arial" w:eastAsia="Arial" w:hAnsi="Arial"/>
                <w:sz w:val="19"/>
                <w:szCs w:val="19"/>
                <w:color w:val="auto"/>
                <w:vertAlign w:val="superscript"/>
              </w:rPr>
              <w:t>1</w:t>
            </w:r>
          </w:p>
        </w:tc>
        <w:tc>
          <w:tcPr>
            <w:tcW w:w="720" w:type="dxa"/>
            <w:vAlign w:val="bottom"/>
            <w:shd w:val="clear" w:color="auto" w:fill="CCEEFF"/>
          </w:tcPr>
          <w:p>
            <w:pPr>
              <w:ind w:left="60"/>
              <w:spacing w:after="0"/>
              <w:rPr>
                <w:sz w:val="20"/>
                <w:szCs w:val="20"/>
                <w:color w:val="auto"/>
              </w:rPr>
            </w:pPr>
            <w:r>
              <w:rPr>
                <w:rFonts w:ascii="Arial" w:cs="Arial" w:eastAsia="Arial" w:hAnsi="Arial"/>
                <w:sz w:val="15"/>
                <w:szCs w:val="15"/>
                <w:color w:val="auto"/>
              </w:rPr>
              <w:t>[e÷f]</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1.19 %</w:t>
            </w:r>
          </w:p>
        </w:tc>
      </w:tr>
      <w:tr>
        <w:trPr>
          <w:trHeight w:val="270"/>
        </w:trPr>
        <w:tc>
          <w:tcPr>
            <w:tcW w:w="24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RETURN ON AVERAGE TANGIBLE COMMON EQUITY</w:t>
            </w:r>
          </w:p>
        </w:tc>
        <w:tc>
          <w:tcPr>
            <w:tcW w:w="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08"/>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Average common equity</w:t>
            </w:r>
          </w:p>
        </w:tc>
        <w:tc>
          <w:tcPr>
            <w:tcW w:w="7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1,181,448</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1,351,416</w:t>
            </w:r>
          </w:p>
        </w:tc>
        <w:tc>
          <w:tcPr>
            <w:tcW w:w="10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1,219,645</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1,323,571</w:t>
            </w:r>
          </w:p>
        </w:tc>
      </w:tr>
      <w:tr>
        <w:trPr>
          <w:trHeight w:val="22"/>
        </w:trPr>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3"/>
        </w:trPr>
        <w:tc>
          <w:tcPr>
            <w:tcW w:w="4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Average goodwill and other intangible assets, net</w:t>
            </w: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(368,981)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(380,885)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(371,873)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(370,829)</w:t>
            </w:r>
          </w:p>
        </w:tc>
      </w:tr>
      <w:tr>
        <w:trPr>
          <w:trHeight w:val="223"/>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Average tangible common equity</w:t>
            </w:r>
          </w:p>
        </w:tc>
        <w:tc>
          <w:tcPr>
            <w:tcW w:w="720" w:type="dxa"/>
            <w:vAlign w:val="bottom"/>
          </w:tcPr>
          <w:p>
            <w:pPr>
              <w:ind w:left="60"/>
              <w:spacing w:after="0"/>
              <w:rPr>
                <w:sz w:val="20"/>
                <w:szCs w:val="20"/>
                <w:color w:val="auto"/>
              </w:rPr>
            </w:pPr>
            <w:r>
              <w:rPr>
                <w:rFonts w:ascii="Arial" w:cs="Arial" w:eastAsia="Arial" w:hAnsi="Arial"/>
                <w:sz w:val="15"/>
                <w:szCs w:val="15"/>
                <w:color w:val="auto"/>
              </w:rPr>
              <w:t>[g]</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812,467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970,531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847,772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952,742</w:t>
            </w: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24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5"/>
                <w:szCs w:val="15"/>
                <w:b w:val="1"/>
                <w:bCs w:val="1"/>
                <w:color w:val="auto"/>
              </w:rPr>
              <w:t xml:space="preserve">Reported: </w:t>
            </w:r>
            <w:r>
              <w:rPr>
                <w:rFonts w:ascii="Arial" w:cs="Arial" w:eastAsia="Arial" w:hAnsi="Arial"/>
                <w:sz w:val="15"/>
                <w:szCs w:val="15"/>
                <w:color w:val="auto"/>
              </w:rPr>
              <w:t>Return on average tangible common equity</w:t>
            </w:r>
            <w:r>
              <w:rPr>
                <w:rFonts w:ascii="Arial" w:cs="Arial" w:eastAsia="Arial" w:hAnsi="Arial"/>
                <w:sz w:val="19"/>
                <w:szCs w:val="19"/>
                <w:color w:val="auto"/>
                <w:vertAlign w:val="superscript"/>
              </w:rPr>
              <w:t>1</w:t>
            </w:r>
          </w:p>
        </w:tc>
        <w:tc>
          <w:tcPr>
            <w:tcW w:w="720" w:type="dxa"/>
            <w:vAlign w:val="bottom"/>
          </w:tcPr>
          <w:p>
            <w:pPr>
              <w:ind w:left="60"/>
              <w:spacing w:after="0"/>
              <w:rPr>
                <w:sz w:val="20"/>
                <w:szCs w:val="20"/>
                <w:color w:val="auto"/>
              </w:rPr>
            </w:pPr>
            <w:r>
              <w:rPr>
                <w:rFonts w:ascii="Arial" w:cs="Arial" w:eastAsia="Arial" w:hAnsi="Arial"/>
                <w:sz w:val="15"/>
                <w:szCs w:val="15"/>
                <w:color w:val="auto"/>
              </w:rPr>
              <w:t>[d÷g]</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17.41 %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10.60 %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14.81 %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13.12 %</w:t>
            </w:r>
          </w:p>
        </w:tc>
      </w:tr>
      <w:tr>
        <w:trPr>
          <w:trHeight w:val="24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 xml:space="preserve">Adjusted: </w:t>
            </w:r>
            <w:r>
              <w:rPr>
                <w:rFonts w:ascii="Arial" w:cs="Arial" w:eastAsia="Arial" w:hAnsi="Arial"/>
                <w:sz w:val="15"/>
                <w:szCs w:val="15"/>
                <w:color w:val="auto"/>
              </w:rPr>
              <w:t>Return on average tangible common equity</w:t>
            </w:r>
            <w:r>
              <w:rPr>
                <w:rFonts w:ascii="Arial" w:cs="Arial" w:eastAsia="Arial" w:hAnsi="Arial"/>
                <w:sz w:val="19"/>
                <w:szCs w:val="19"/>
                <w:color w:val="auto"/>
                <w:vertAlign w:val="superscript"/>
              </w:rPr>
              <w:t>1</w:t>
            </w:r>
          </w:p>
        </w:tc>
        <w:tc>
          <w:tcPr>
            <w:tcW w:w="720" w:type="dxa"/>
            <w:vAlign w:val="bottom"/>
            <w:shd w:val="clear" w:color="auto" w:fill="CCEEFF"/>
          </w:tcPr>
          <w:p>
            <w:pPr>
              <w:ind w:left="60"/>
              <w:spacing w:after="0"/>
              <w:rPr>
                <w:sz w:val="20"/>
                <w:szCs w:val="20"/>
                <w:color w:val="auto"/>
              </w:rPr>
            </w:pPr>
            <w:r>
              <w:rPr>
                <w:rFonts w:ascii="Arial" w:cs="Arial" w:eastAsia="Arial" w:hAnsi="Arial"/>
                <w:sz w:val="15"/>
                <w:szCs w:val="15"/>
                <w:color w:val="auto"/>
              </w:rPr>
              <w:t>[e÷g]</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17.79 %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13.43 %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15.08 %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14.43 %</w:t>
            </w:r>
          </w:p>
        </w:tc>
      </w:tr>
      <w:tr>
        <w:trPr>
          <w:trHeight w:val="121"/>
        </w:trPr>
        <w:tc>
          <w:tcPr>
            <w:tcW w:w="246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r>
    </w:tbl>
    <w:p>
      <w:pPr>
        <w:spacing w:after="0" w:line="1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Annualized measure.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Net Interest Income and Adjusted Net Interest Margin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000" w:type="dxa"/>
            <w:vAlign w:val="bottom"/>
            <w:gridSpan w:val="4"/>
          </w:tcPr>
          <w:p>
            <w:pPr>
              <w:jc w:val="right"/>
              <w:ind w:right="913"/>
              <w:spacing w:after="0"/>
              <w:rPr>
                <w:sz w:val="20"/>
                <w:szCs w:val="20"/>
                <w:color w:val="auto"/>
              </w:rPr>
            </w:pPr>
            <w:r>
              <w:rPr>
                <w:rFonts w:ascii="Arial" w:cs="Arial" w:eastAsia="Arial" w:hAnsi="Arial"/>
                <w:sz w:val="14"/>
                <w:szCs w:val="14"/>
                <w:b w:val="1"/>
                <w:bCs w:val="1"/>
                <w:color w:val="auto"/>
              </w:rPr>
              <w:t>Nine Months Ended</w:t>
            </w:r>
          </w:p>
        </w:tc>
      </w:tr>
      <w:tr>
        <w:trPr>
          <w:trHeight w:val="39"/>
        </w:trPr>
        <w:tc>
          <w:tcPr>
            <w:tcW w:w="2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73"/>
        </w:trPr>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2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26"/>
        </w:trPr>
        <w:tc>
          <w:tcPr>
            <w:tcW w:w="24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86,305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70,755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232,289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200,190</w:t>
            </w: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Non-GAAP adjustments:</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Tax-equivalent adjustment</w:t>
            </w:r>
          </w:p>
        </w:tc>
        <w:tc>
          <w:tcPr>
            <w:tcW w:w="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1,778</w:t>
            </w:r>
          </w:p>
        </w:tc>
      </w:tr>
      <w:tr>
        <w:trPr>
          <w:trHeight w:val="237"/>
        </w:trPr>
        <w:tc>
          <w:tcPr>
            <w:tcW w:w="3940" w:type="dxa"/>
            <w:vAlign w:val="bottom"/>
            <w:gridSpan w:val="2"/>
          </w:tcPr>
          <w:p>
            <w:pPr>
              <w:ind w:left="260"/>
              <w:spacing w:after="0"/>
              <w:rPr>
                <w:sz w:val="20"/>
                <w:szCs w:val="20"/>
                <w:color w:val="auto"/>
              </w:rPr>
            </w:pPr>
            <w:r>
              <w:rPr>
                <w:rFonts w:ascii="Arial" w:cs="Arial" w:eastAsia="Arial" w:hAnsi="Arial"/>
                <w:sz w:val="18"/>
                <w:szCs w:val="18"/>
                <w:color w:val="auto"/>
              </w:rPr>
              <w:t>Tax-equivalent net interest income</w:t>
            </w:r>
          </w:p>
        </w:tc>
        <w:tc>
          <w:tcPr>
            <w:tcW w:w="7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86,848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71,353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233,924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201,968</w:t>
            </w:r>
          </w:p>
        </w:tc>
      </w:tr>
      <w:tr>
        <w:trPr>
          <w:trHeight w:val="27"/>
        </w:trPr>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3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Purchase accounting accretion related to business</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3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combinations</w:t>
            </w: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(5,682)</w:t>
            </w:r>
          </w:p>
        </w:tc>
      </w:tr>
      <w:tr>
        <w:trPr>
          <w:trHeight w:val="26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Adjusted net interest income</w:t>
            </w:r>
          </w:p>
        </w:tc>
        <w:tc>
          <w:tcPr>
            <w:tcW w:w="7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86,018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69,554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231,336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196,286</w:t>
            </w: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2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Tax-equivalent net interest income, annualized</w:t>
            </w:r>
          </w:p>
        </w:tc>
        <w:tc>
          <w:tcPr>
            <w:tcW w:w="760" w:type="dxa"/>
            <w:vAlign w:val="bottom"/>
          </w:tcPr>
          <w:p>
            <w:pPr>
              <w:ind w:left="100"/>
              <w:spacing w:after="0"/>
              <w:rPr>
                <w:sz w:val="20"/>
                <w:szCs w:val="20"/>
                <w:color w:val="auto"/>
              </w:rPr>
            </w:pPr>
            <w:r>
              <w:rPr>
                <w:rFonts w:ascii="Arial" w:cs="Arial" w:eastAsia="Arial" w:hAnsi="Arial"/>
                <w:sz w:val="18"/>
                <w:szCs w:val="18"/>
                <w:color w:val="auto"/>
              </w:rPr>
              <w:t>[a]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344,560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283,085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312,756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270,030</w:t>
            </w:r>
          </w:p>
        </w:tc>
      </w:tr>
      <w:tr>
        <w:trPr>
          <w:trHeight w:val="27"/>
        </w:trPr>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interest income, annualized</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341,267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275,948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309,295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262,434</w:t>
            </w: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Average interest-earning assets</w:t>
            </w:r>
          </w:p>
        </w:tc>
        <w:tc>
          <w:tcPr>
            <w:tcW w:w="760" w:type="dxa"/>
            <w:vAlign w:val="bottom"/>
          </w:tcPr>
          <w:p>
            <w:pPr>
              <w:ind w:left="100"/>
              <w:spacing w:after="0"/>
              <w:rPr>
                <w:sz w:val="20"/>
                <w:szCs w:val="20"/>
                <w:color w:val="auto"/>
              </w:rPr>
            </w:pPr>
            <w:r>
              <w:rPr>
                <w:rFonts w:ascii="Arial" w:cs="Arial" w:eastAsia="Arial" w:hAnsi="Arial"/>
                <w:sz w:val="18"/>
                <w:szCs w:val="18"/>
                <w:color w:val="auto"/>
              </w:rPr>
              <w:t>[c]</w:t>
            </w:r>
          </w:p>
        </w:tc>
        <w:tc>
          <w:tcPr>
            <w:tcW w:w="2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11,497,783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11,730,637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11,550,887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10,651,386</w:t>
            </w:r>
          </w:p>
        </w:tc>
      </w:tr>
      <w:tr>
        <w:trPr>
          <w:trHeight w:val="27"/>
        </w:trPr>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4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0"/>
        </w:trPr>
        <w:tc>
          <w:tcPr>
            <w:tcW w:w="394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Net interest margin</w:t>
            </w:r>
            <w:r>
              <w:rPr>
                <w:rFonts w:ascii="Arial" w:cs="Arial" w:eastAsia="Arial" w:hAnsi="Arial"/>
                <w:sz w:val="23"/>
                <w:szCs w:val="23"/>
                <w:color w:val="auto"/>
                <w:vertAlign w:val="superscript"/>
              </w:rPr>
              <w:t>1</w:t>
            </w:r>
          </w:p>
        </w:tc>
        <w:tc>
          <w:tcPr>
            <w:tcW w:w="760" w:type="dxa"/>
            <w:vAlign w:val="bottom"/>
          </w:tcPr>
          <w:p>
            <w:pPr>
              <w:ind w:left="100"/>
              <w:spacing w:after="0"/>
              <w:rPr>
                <w:sz w:val="20"/>
                <w:szCs w:val="20"/>
                <w:color w:val="auto"/>
              </w:rPr>
            </w:pPr>
            <w:r>
              <w:rPr>
                <w:rFonts w:ascii="Arial" w:cs="Arial" w:eastAsia="Arial" w:hAnsi="Arial"/>
                <w:sz w:val="18"/>
                <w:szCs w:val="18"/>
                <w:color w:val="auto"/>
              </w:rPr>
              <w:t>[a÷c]</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2.54 %</w:t>
            </w:r>
          </w:p>
        </w:tc>
      </w:tr>
      <w:tr>
        <w:trPr>
          <w:trHeight w:val="27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Net interest margin</w:t>
            </w:r>
            <w:r>
              <w:rPr>
                <w:rFonts w:ascii="Arial" w:cs="Arial" w:eastAsia="Arial" w:hAnsi="Arial"/>
                <w:sz w:val="23"/>
                <w:szCs w:val="23"/>
                <w:color w:val="auto"/>
                <w:vertAlign w:val="superscript"/>
              </w:rPr>
              <w:t>1</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[b÷c]</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r>
      <w:tr>
        <w:trPr>
          <w:trHeight w:val="121"/>
        </w:trPr>
        <w:tc>
          <w:tcPr>
            <w:tcW w:w="246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r>
    </w:tbl>
    <w:p>
      <w:pPr>
        <w:spacing w:after="0" w:line="1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Annualized measure.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Adjusted Noninterest Expense, Adjusted Core Expense,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Efficiency Ratio, Adjusted Efficiency Ratio, and Adjusted Core Efficiency Ratio</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80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60" w:type="dxa"/>
            <w:vAlign w:val="bottom"/>
          </w:tcPr>
          <w:p>
            <w:pPr>
              <w:jc w:val="right"/>
              <w:ind w:right="1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4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86,305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70,755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232,289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200,190</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Tax-equivalent adjustment</w:t>
            </w:r>
          </w:p>
        </w:tc>
        <w:tc>
          <w:tcPr>
            <w:tcW w:w="6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Tax-equivalent net interest income</w:t>
            </w:r>
          </w:p>
        </w:tc>
        <w:tc>
          <w:tcPr>
            <w:tcW w:w="6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86,848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71,353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233,924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201,968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Total noninterest income</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30,933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33,259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97,724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97,715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60"/>
              <w:spacing w:after="0"/>
              <w:rPr>
                <w:sz w:val="20"/>
                <w:szCs w:val="20"/>
                <w:color w:val="auto"/>
              </w:rPr>
            </w:pPr>
            <w:r>
              <w:rPr>
                <w:rFonts w:ascii="Arial" w:cs="Arial" w:eastAsia="Arial" w:hAnsi="Arial"/>
                <w:sz w:val="18"/>
                <w:szCs w:val="18"/>
                <w:color w:val="auto"/>
              </w:rPr>
              <w:t>Net security (gains) losses</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Noninterest income excluding net securities gains and losses</w:t>
            </w:r>
          </w:p>
        </w:tc>
        <w:tc>
          <w:tcPr>
            <w:tcW w:w="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30,929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33,202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100,048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95,119</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Tax-equivalent net interest income plus noninterest income</w:t>
            </w:r>
          </w:p>
        </w:tc>
        <w:tc>
          <w:tcPr>
            <w:tcW w:w="68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117,777</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104,555</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333,972</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297,087</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excluding net securities gains and losses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noninterest expense</w:t>
            </w: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70,736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73,487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210,204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190,611</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09"/>
        </w:trPr>
        <w:tc>
          <w:tcPr>
            <w:tcW w:w="4480" w:type="dxa"/>
            <w:vAlign w:val="bottom"/>
          </w:tcPr>
          <w:p>
            <w:pPr>
              <w:ind w:left="260"/>
              <w:spacing w:after="0"/>
              <w:rPr>
                <w:sz w:val="20"/>
                <w:szCs w:val="20"/>
                <w:color w:val="auto"/>
              </w:rPr>
            </w:pPr>
            <w:r>
              <w:rPr>
                <w:rFonts w:ascii="Arial" w:cs="Arial" w:eastAsia="Arial" w:hAnsi="Arial"/>
                <w:sz w:val="18"/>
                <w:szCs w:val="18"/>
                <w:color w:val="auto"/>
                <w:w w:val="91"/>
              </w:rPr>
              <w:t>Non-interest expense excluding amortization of intangible</w:t>
            </w:r>
          </w:p>
        </w:tc>
        <w:tc>
          <w:tcPr>
            <w:tcW w:w="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assets</w:t>
            </w:r>
          </w:p>
        </w:tc>
        <w:tc>
          <w:tcPr>
            <w:tcW w:w="680" w:type="dxa"/>
            <w:vAlign w:val="bottom"/>
          </w:tcPr>
          <w:p>
            <w:pPr>
              <w:ind w:left="20"/>
              <w:spacing w:after="0"/>
              <w:rPr>
                <w:sz w:val="20"/>
                <w:szCs w:val="20"/>
                <w:color w:val="auto"/>
              </w:rPr>
            </w:pPr>
            <w:r>
              <w:rPr>
                <w:rFonts w:ascii="Arial" w:cs="Arial" w:eastAsia="Arial" w:hAnsi="Arial"/>
                <w:sz w:val="18"/>
                <w:szCs w:val="18"/>
                <w:color w:val="auto"/>
              </w:rPr>
              <w:t>[c]</w:t>
            </w:r>
          </w:p>
        </w:tc>
        <w:tc>
          <w:tcPr>
            <w:tcW w:w="20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67,865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70,338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201,371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182,411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Non-operating adjustments:</w:t>
            </w: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40"/>
              <w:spacing w:after="0"/>
              <w:rPr>
                <w:sz w:val="20"/>
                <w:szCs w:val="20"/>
                <w:color w:val="auto"/>
              </w:rPr>
            </w:pPr>
            <w:r>
              <w:rPr>
                <w:rFonts w:ascii="Arial" w:cs="Arial" w:eastAsia="Arial" w:hAnsi="Arial"/>
                <w:sz w:val="18"/>
                <w:szCs w:val="18"/>
                <w:color w:val="auto"/>
              </w:rPr>
              <w:t>Salaries, wages, and employee benefits</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Data processing</w:t>
            </w: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43"/>
        </w:trPr>
        <w:tc>
          <w:tcPr>
            <w:tcW w:w="4480" w:type="dxa"/>
            <w:vAlign w:val="bottom"/>
          </w:tcPr>
          <w:p>
            <w:pPr>
              <w:ind w:left="440"/>
              <w:spacing w:after="0"/>
              <w:rPr>
                <w:sz w:val="20"/>
                <w:szCs w:val="20"/>
                <w:color w:val="auto"/>
              </w:rPr>
            </w:pPr>
            <w:r>
              <w:rPr>
                <w:rFonts w:ascii="Arial" w:cs="Arial" w:eastAsia="Arial" w:hAnsi="Arial"/>
                <w:sz w:val="18"/>
                <w:szCs w:val="18"/>
                <w:color w:val="auto"/>
                <w:w w:val="96"/>
              </w:rPr>
              <w:t>Impairment, professional fees, occupancy, and other</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noninterest expense</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66,908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61,661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199,276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170,701</w:t>
            </w:r>
          </w:p>
        </w:tc>
        <w:tc>
          <w:tcPr>
            <w:tcW w:w="0" w:type="dxa"/>
            <w:vAlign w:val="bottom"/>
          </w:tcPr>
          <w:p>
            <w:pPr>
              <w:spacing w:after="0"/>
              <w:rPr>
                <w:sz w:val="1"/>
                <w:szCs w:val="1"/>
                <w:color w:val="auto"/>
              </w:rPr>
            </w:pPr>
          </w:p>
        </w:tc>
      </w:tr>
      <w:tr>
        <w:trPr>
          <w:trHeight w:val="243"/>
        </w:trPr>
        <w:tc>
          <w:tcPr>
            <w:tcW w:w="4480" w:type="dxa"/>
            <w:vAlign w:val="bottom"/>
          </w:tcPr>
          <w:p>
            <w:pPr>
              <w:ind w:left="440"/>
              <w:spacing w:after="0"/>
              <w:rPr>
                <w:sz w:val="20"/>
                <w:szCs w:val="20"/>
                <w:color w:val="auto"/>
              </w:rPr>
            </w:pPr>
            <w:r>
              <w:rPr>
                <w:rFonts w:ascii="Arial" w:cs="Arial" w:eastAsia="Arial" w:hAnsi="Arial"/>
                <w:sz w:val="18"/>
                <w:szCs w:val="18"/>
                <w:color w:val="auto"/>
              </w:rPr>
              <w:t>Provision for unfunded commitments</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Amortization of New Markets Tax Credits</w:t>
            </w:r>
          </w:p>
        </w:tc>
        <w:tc>
          <w:tcPr>
            <w:tcW w:w="6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Adjusted core expense</w:t>
            </w:r>
          </w:p>
        </w:tc>
        <w:tc>
          <w:tcPr>
            <w:tcW w:w="680" w:type="dxa"/>
            <w:vAlign w:val="bottom"/>
          </w:tcPr>
          <w:p>
            <w:pPr>
              <w:ind w:left="20"/>
              <w:spacing w:after="0"/>
              <w:rPr>
                <w:sz w:val="20"/>
                <w:szCs w:val="20"/>
                <w:color w:val="auto"/>
              </w:rPr>
            </w:pPr>
            <w:r>
              <w:rPr>
                <w:rFonts w:ascii="Arial" w:cs="Arial" w:eastAsia="Arial" w:hAnsi="Arial"/>
                <w:sz w:val="18"/>
                <w:szCs w:val="18"/>
                <w:color w:val="auto"/>
              </w:rPr>
              <w:t>[g]</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65,563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61,399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194,083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167,461</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w w:val="94"/>
              </w:rPr>
              <w:t>Noninterest expense, excluding non-operating adjustments</w:t>
            </w:r>
          </w:p>
        </w:tc>
        <w:tc>
          <w:tcPr>
            <w:tcW w:w="680" w:type="dxa"/>
            <w:vAlign w:val="bottom"/>
          </w:tcPr>
          <w:p>
            <w:pPr>
              <w:ind w:left="20"/>
              <w:spacing w:after="0"/>
              <w:rPr>
                <w:sz w:val="20"/>
                <w:szCs w:val="20"/>
                <w:color w:val="auto"/>
              </w:rPr>
            </w:pPr>
            <w:r>
              <w:rPr>
                <w:rFonts w:ascii="Arial" w:cs="Arial" w:eastAsia="Arial" w:hAnsi="Arial"/>
                <w:sz w:val="18"/>
                <w:szCs w:val="18"/>
                <w:color w:val="auto"/>
              </w:rPr>
              <w:t>[f-b]</w:t>
            </w:r>
          </w:p>
        </w:tc>
        <w:tc>
          <w:tcPr>
            <w:tcW w:w="2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69,779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64,810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208,109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178,901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Efficiency ratio</w:t>
            </w:r>
          </w:p>
        </w:tc>
        <w:tc>
          <w:tcPr>
            <w:tcW w:w="680" w:type="dxa"/>
            <w:vAlign w:val="bottom"/>
          </w:tcPr>
          <w:p>
            <w:pPr>
              <w:ind w:left="20"/>
              <w:spacing w:after="0"/>
              <w:rPr>
                <w:sz w:val="20"/>
                <w:szCs w:val="20"/>
                <w:color w:val="auto"/>
              </w:rPr>
            </w:pPr>
            <w:r>
              <w:rPr>
                <w:rFonts w:ascii="Arial" w:cs="Arial" w:eastAsia="Arial" w:hAnsi="Arial"/>
                <w:sz w:val="18"/>
                <w:szCs w:val="18"/>
                <w:color w:val="auto"/>
              </w:rPr>
              <w:t>[c÷a]</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57.62 %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60.30 %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61.40 %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Efficiency ratio</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57.46 %</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Core efficiency ratio</w:t>
            </w:r>
          </w:p>
        </w:tc>
        <w:tc>
          <w:tcPr>
            <w:tcW w:w="680" w:type="dxa"/>
            <w:vAlign w:val="bottom"/>
          </w:tcPr>
          <w:p>
            <w:pPr>
              <w:ind w:left="20"/>
              <w:spacing w:after="0"/>
              <w:rPr>
                <w:sz w:val="20"/>
                <w:szCs w:val="20"/>
                <w:color w:val="auto"/>
              </w:rPr>
            </w:pPr>
            <w:r>
              <w:rPr>
                <w:rFonts w:ascii="Arial" w:cs="Arial" w:eastAsia="Arial" w:hAnsi="Arial"/>
                <w:sz w:val="18"/>
                <w:szCs w:val="18"/>
                <w:color w:val="auto"/>
              </w:rPr>
              <w:t>[g÷a]</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56.37 %</w:t>
            </w:r>
          </w:p>
        </w:tc>
        <w:tc>
          <w:tcPr>
            <w:tcW w:w="0" w:type="dxa"/>
            <w:vAlign w:val="bottom"/>
          </w:tcPr>
          <w:p>
            <w:pPr>
              <w:spacing w:after="0"/>
              <w:rPr>
                <w:sz w:val="1"/>
                <w:szCs w:val="1"/>
                <w:color w:val="auto"/>
              </w:rPr>
            </w:pPr>
          </w:p>
        </w:tc>
      </w:tr>
      <w:tr>
        <w:trPr>
          <w:trHeight w:val="756"/>
        </w:trPr>
        <w:tc>
          <w:tcPr>
            <w:tcW w:w="4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79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Tangible Book Value Per Common Share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24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2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2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24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4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1,319,112</w:t>
            </w:r>
          </w:p>
        </w:tc>
      </w:tr>
      <w:tr>
        <w:trPr>
          <w:trHeight w:val="243"/>
        </w:trPr>
        <w:tc>
          <w:tcPr>
            <w:tcW w:w="4100" w:type="dxa"/>
            <w:vAlign w:val="bottom"/>
            <w:gridSpan w:val="2"/>
          </w:tcPr>
          <w:p>
            <w:pPr>
              <w:ind w:left="260"/>
              <w:spacing w:after="0"/>
              <w:rPr>
                <w:sz w:val="20"/>
                <w:szCs w:val="20"/>
                <w:color w:val="auto"/>
              </w:rPr>
            </w:pPr>
            <w:r>
              <w:rPr>
                <w:rFonts w:ascii="Arial" w:cs="Arial" w:eastAsia="Arial" w:hAnsi="Arial"/>
                <w:sz w:val="18"/>
                <w:szCs w:val="18"/>
                <w:color w:val="auto"/>
              </w:rPr>
              <w:t>Goodwill and other intangible assets, net</w:t>
            </w: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(375,924)</w:t>
            </w:r>
          </w:p>
        </w:tc>
      </w:tr>
      <w:tr>
        <w:trPr>
          <w:trHeight w:val="27"/>
        </w:trPr>
        <w:tc>
          <w:tcPr>
            <w:tcW w:w="24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Tangible book value</w:t>
            </w:r>
          </w:p>
        </w:tc>
        <w:tc>
          <w:tcPr>
            <w:tcW w:w="408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739,497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943,188</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number of common shares outstanding</w:t>
            </w:r>
          </w:p>
        </w:tc>
        <w:tc>
          <w:tcPr>
            <w:tcW w:w="408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color w:val="auto"/>
              </w:rPr>
              <w:t>[b]</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55,435</w:t>
            </w:r>
          </w:p>
        </w:tc>
      </w:tr>
      <w:tr>
        <w:trPr>
          <w:trHeight w:val="270"/>
        </w:trPr>
        <w:tc>
          <w:tcPr>
            <w:tcW w:w="24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Tangible book value per common share</w:t>
            </w:r>
          </w:p>
        </w:tc>
        <w:tc>
          <w:tcPr>
            <w:tcW w:w="408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color w:val="auto"/>
              </w:rPr>
              <w:t>[a÷b]</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540"/>
        </w:trPr>
        <w:tc>
          <w:tcPr>
            <w:tcW w:w="2460" w:type="dxa"/>
            <w:vAlign w:val="bottom"/>
          </w:tcPr>
          <w:p>
            <w:pPr>
              <w:spacing w:after="0"/>
              <w:rPr>
                <w:sz w:val="24"/>
                <w:szCs w:val="24"/>
                <w:color w:val="auto"/>
              </w:rPr>
            </w:pPr>
          </w:p>
        </w:tc>
        <w:tc>
          <w:tcPr>
            <w:tcW w:w="7300" w:type="dxa"/>
            <w:vAlign w:val="bottom"/>
            <w:gridSpan w:val="5"/>
          </w:tcPr>
          <w:p>
            <w:pPr>
              <w:ind w:left="280"/>
              <w:spacing w:after="0"/>
              <w:rPr>
                <w:sz w:val="20"/>
                <w:szCs w:val="20"/>
                <w:color w:val="auto"/>
              </w:rPr>
            </w:pPr>
            <w:r>
              <w:rPr>
                <w:rFonts w:ascii="Arial" w:cs="Arial" w:eastAsia="Arial" w:hAnsi="Arial"/>
                <w:sz w:val="18"/>
                <w:szCs w:val="18"/>
                <w:b w:val="1"/>
                <w:bCs w:val="1"/>
                <w:color w:val="auto"/>
              </w:rPr>
              <w:t>Tangible Common Equity and Tangible Common Equity to Tangible Assets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24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80" w:type="dxa"/>
            <w:vAlign w:val="bottom"/>
          </w:tcPr>
          <w:p>
            <w:pPr>
              <w:ind w:left="7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487"/>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24"/>
                <w:szCs w:val="24"/>
                <w:color w:val="auto"/>
              </w:rPr>
            </w:pPr>
          </w:p>
        </w:tc>
      </w:tr>
      <w:tr>
        <w:trPr>
          <w:trHeight w:val="39"/>
        </w:trPr>
        <w:tc>
          <w:tcPr>
            <w:tcW w:w="24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2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2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24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12,497,388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12,859,689</w:t>
            </w:r>
          </w:p>
        </w:tc>
      </w:tr>
      <w:tr>
        <w:trPr>
          <w:trHeight w:val="24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Non-GAAP adjustments:</w:t>
            </w: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2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Goodwill and other intangible assets, net</w:t>
            </w:r>
          </w:p>
        </w:tc>
        <w:tc>
          <w:tcPr>
            <w:tcW w:w="4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(375,924)</w:t>
            </w:r>
          </w:p>
        </w:tc>
      </w:tr>
      <w:tr>
        <w:trPr>
          <w:trHeight w:val="270"/>
        </w:trPr>
        <w:tc>
          <w:tcPr>
            <w:tcW w:w="4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Tax effect of other intangible assets</w:t>
            </w:r>
            <w:r>
              <w:rPr>
                <w:rFonts w:ascii="Arial" w:cs="Arial" w:eastAsia="Arial" w:hAnsi="Arial"/>
                <w:sz w:val="23"/>
                <w:szCs w:val="23"/>
                <w:color w:val="auto"/>
                <w:vertAlign w:val="superscript"/>
              </w:rPr>
              <w:t>1</w:t>
            </w:r>
          </w:p>
        </w:tc>
        <w:tc>
          <w:tcPr>
            <w:tcW w:w="40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16,254</w:t>
            </w:r>
          </w:p>
        </w:tc>
      </w:tr>
      <w:tr>
        <w:trPr>
          <w:trHeight w:val="288"/>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Tangible assets</w:t>
            </w:r>
          </w:p>
        </w:tc>
        <w:tc>
          <w:tcPr>
            <w:tcW w:w="408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12,139,666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12,500,019</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4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1,319,112</w:t>
            </w:r>
          </w:p>
        </w:tc>
      </w:tr>
      <w:tr>
        <w:trPr>
          <w:trHeight w:val="24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Non-GAAP adjustments:</w:t>
            </w: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2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Goodwill and other intangible assets, net</w:t>
            </w:r>
          </w:p>
        </w:tc>
        <w:tc>
          <w:tcPr>
            <w:tcW w:w="4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(375,924)</w:t>
            </w:r>
          </w:p>
        </w:tc>
      </w:tr>
      <w:tr>
        <w:trPr>
          <w:trHeight w:val="270"/>
        </w:trPr>
        <w:tc>
          <w:tcPr>
            <w:tcW w:w="4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Tax effect of other intangible assets</w:t>
            </w:r>
            <w:r>
              <w:rPr>
                <w:rFonts w:ascii="Arial" w:cs="Arial" w:eastAsia="Arial" w:hAnsi="Arial"/>
                <w:sz w:val="23"/>
                <w:szCs w:val="23"/>
                <w:color w:val="auto"/>
                <w:vertAlign w:val="superscript"/>
              </w:rPr>
              <w:t>1</w:t>
            </w:r>
          </w:p>
        </w:tc>
        <w:tc>
          <w:tcPr>
            <w:tcW w:w="40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16,254</w:t>
            </w:r>
          </w:p>
        </w:tc>
      </w:tr>
      <w:tr>
        <w:trPr>
          <w:trHeight w:val="288"/>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Tangible common equity</w:t>
            </w:r>
          </w:p>
        </w:tc>
        <w:tc>
          <w:tcPr>
            <w:tcW w:w="408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color w:val="auto"/>
              </w:rPr>
              <w:t>[b]</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748,866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959,442</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Tangible common equity to tangible assets</w:t>
            </w:r>
            <w:r>
              <w:rPr>
                <w:rFonts w:ascii="Arial" w:cs="Arial" w:eastAsia="Arial" w:hAnsi="Arial"/>
                <w:sz w:val="23"/>
                <w:szCs w:val="23"/>
                <w:color w:val="auto"/>
                <w:vertAlign w:val="superscript"/>
              </w:rPr>
              <w:t>2</w:t>
            </w:r>
          </w:p>
        </w:tc>
        <w:tc>
          <w:tcPr>
            <w:tcW w:w="4080" w:type="dxa"/>
            <w:vAlign w:val="bottom"/>
            <w:shd w:val="clear" w:color="auto" w:fill="CCEEFF"/>
          </w:tcPr>
          <w:p>
            <w:pPr>
              <w:ind w:left="3400"/>
              <w:spacing w:after="0"/>
              <w:rPr>
                <w:sz w:val="20"/>
                <w:szCs w:val="20"/>
                <w:color w:val="auto"/>
              </w:rPr>
            </w:pPr>
            <w:r>
              <w:rPr>
                <w:rFonts w:ascii="Arial" w:cs="Arial" w:eastAsia="Arial" w:hAnsi="Arial"/>
                <w:sz w:val="18"/>
                <w:szCs w:val="18"/>
                <w:color w:val="auto"/>
              </w:rPr>
              <w:t>[b÷a]</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121"/>
        </w:trPr>
        <w:tc>
          <w:tcPr>
            <w:tcW w:w="2460" w:type="dxa"/>
            <w:vAlign w:val="bottom"/>
            <w:tcBorders>
              <w:bottom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116" w:lineRule="exact"/>
        <w:rPr>
          <w:sz w:val="20"/>
          <w:szCs w:val="20"/>
          <w:color w:val="auto"/>
        </w:rPr>
      </w:pPr>
    </w:p>
    <w:p>
      <w:pPr>
        <w:ind w:left="320" w:hanging="18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of estimated deferred tax liability.</w:t>
      </w:r>
    </w:p>
    <w:p>
      <w:pPr>
        <w:spacing w:after="0" w:line="13" w:lineRule="exact"/>
        <w:rPr>
          <w:rFonts w:ascii="Arial" w:cs="Arial" w:eastAsia="Arial" w:hAnsi="Arial"/>
          <w:sz w:val="14"/>
          <w:szCs w:val="14"/>
          <w:color w:val="auto"/>
        </w:rPr>
      </w:pPr>
    </w:p>
    <w:p>
      <w:pPr>
        <w:ind w:left="320" w:hanging="18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Tax-effected measure.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Core Loans, Core Loans to Portfolio Loans,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Core Deposits, Core Deposits to Total Deposits, and Core Loans to Core Deposits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51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51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5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6"/>
        </w:trPr>
        <w:tc>
          <w:tcPr>
            <w:tcW w:w="518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300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7,670,114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7,188,998</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PPP loans amortized cost</w:t>
            </w:r>
          </w:p>
        </w:tc>
        <w:tc>
          <w:tcPr>
            <w:tcW w:w="3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(74,958)</w:t>
            </w:r>
          </w:p>
        </w:tc>
      </w:tr>
      <w:tr>
        <w:trPr>
          <w:trHeight w:val="243"/>
        </w:trPr>
        <w:tc>
          <w:tcPr>
            <w:tcW w:w="5180" w:type="dxa"/>
            <w:vAlign w:val="bottom"/>
          </w:tcPr>
          <w:p>
            <w:pPr>
              <w:ind w:left="240"/>
              <w:spacing w:after="0"/>
              <w:rPr>
                <w:sz w:val="20"/>
                <w:szCs w:val="20"/>
                <w:color w:val="auto"/>
              </w:rPr>
            </w:pPr>
            <w:r>
              <w:rPr>
                <w:rFonts w:ascii="Arial" w:cs="Arial" w:eastAsia="Arial" w:hAnsi="Arial"/>
                <w:sz w:val="18"/>
                <w:szCs w:val="18"/>
                <w:color w:val="auto"/>
              </w:rPr>
              <w:t>Loans acquired in business combinations, prior to integration</w:t>
            </w:r>
          </w:p>
        </w:tc>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loans</w:t>
            </w:r>
          </w:p>
        </w:tc>
        <w:tc>
          <w:tcPr>
            <w:tcW w:w="300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color w:val="auto"/>
              </w:rPr>
              <w:t>[b]</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7,668,688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7,114,040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deposits</w:t>
            </w:r>
          </w:p>
        </w:tc>
        <w:tc>
          <w:tcPr>
            <w:tcW w:w="300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color w:val="auto"/>
              </w:rPr>
              <w:t>[c]</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10,601,397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10,768,577</w:t>
            </w:r>
          </w:p>
        </w:tc>
      </w:tr>
      <w:tr>
        <w:trPr>
          <w:trHeight w:val="243"/>
        </w:trPr>
        <w:tc>
          <w:tcPr>
            <w:tcW w:w="5180" w:type="dxa"/>
            <w:vAlign w:val="bottom"/>
          </w:tcPr>
          <w:p>
            <w:pPr>
              <w:ind w:left="60"/>
              <w:spacing w:after="0"/>
              <w:rPr>
                <w:sz w:val="20"/>
                <w:szCs w:val="20"/>
                <w:color w:val="auto"/>
              </w:rPr>
            </w:pPr>
            <w:r>
              <w:rPr>
                <w:rFonts w:ascii="Arial" w:cs="Arial" w:eastAsia="Arial" w:hAnsi="Arial"/>
                <w:sz w:val="18"/>
                <w:szCs w:val="18"/>
                <w:color w:val="auto"/>
              </w:rPr>
              <w:t>Non-GAAP adjustments:</w:t>
            </w:r>
          </w:p>
        </w:tc>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Brokered transaction accounts</w:t>
            </w:r>
          </w:p>
        </w:tc>
        <w:tc>
          <w:tcPr>
            <w:tcW w:w="3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43"/>
        </w:trPr>
        <w:tc>
          <w:tcPr>
            <w:tcW w:w="5180" w:type="dxa"/>
            <w:vAlign w:val="bottom"/>
          </w:tcPr>
          <w:p>
            <w:pPr>
              <w:ind w:left="240"/>
              <w:spacing w:after="0"/>
              <w:rPr>
                <w:sz w:val="20"/>
                <w:szCs w:val="20"/>
                <w:color w:val="auto"/>
              </w:rPr>
            </w:pPr>
            <w:r>
              <w:rPr>
                <w:rFonts w:ascii="Arial" w:cs="Arial" w:eastAsia="Arial" w:hAnsi="Arial"/>
                <w:sz w:val="18"/>
                <w:szCs w:val="18"/>
                <w:color w:val="auto"/>
              </w:rPr>
              <w:t>Time deposits of $250,000 or more</w:t>
            </w:r>
          </w:p>
        </w:tc>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(137,449)</w:t>
            </w:r>
          </w:p>
        </w:tc>
      </w:tr>
      <w:tr>
        <w:trPr>
          <w:trHeight w:val="27"/>
        </w:trPr>
        <w:tc>
          <w:tcPr>
            <w:tcW w:w="5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7"/>
              </w:rPr>
              <w:t>Deposits acquired in business combinations, prior to integration</w:t>
            </w:r>
          </w:p>
        </w:tc>
        <w:tc>
          <w:tcPr>
            <w:tcW w:w="3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180" w:type="dxa"/>
            <w:vAlign w:val="bottom"/>
          </w:tcPr>
          <w:p>
            <w:pPr>
              <w:ind w:left="20"/>
              <w:spacing w:after="0"/>
              <w:rPr>
                <w:sz w:val="20"/>
                <w:szCs w:val="20"/>
                <w:color w:val="auto"/>
              </w:rPr>
            </w:pPr>
            <w:r>
              <w:rPr>
                <w:rFonts w:ascii="Arial" w:cs="Arial" w:eastAsia="Arial" w:hAnsi="Arial"/>
                <w:sz w:val="18"/>
                <w:szCs w:val="18"/>
                <w:color w:val="auto"/>
              </w:rPr>
              <w:t>Core deposits</w:t>
            </w:r>
          </w:p>
        </w:tc>
        <w:tc>
          <w:tcPr>
            <w:tcW w:w="3000" w:type="dxa"/>
            <w:vAlign w:val="bottom"/>
          </w:tcPr>
          <w:p>
            <w:pPr>
              <w:ind w:left="2320"/>
              <w:spacing w:after="0"/>
              <w:rPr>
                <w:sz w:val="20"/>
                <w:szCs w:val="20"/>
                <w:color w:val="auto"/>
              </w:rPr>
            </w:pPr>
            <w:r>
              <w:rPr>
                <w:rFonts w:ascii="Arial" w:cs="Arial" w:eastAsia="Arial" w:hAnsi="Arial"/>
                <w:sz w:val="18"/>
                <w:szCs w:val="18"/>
                <w:color w:val="auto"/>
              </w:rPr>
              <w:t>[d]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10,495,857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10,628,880</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RATIOS</w:t>
            </w:r>
          </w:p>
        </w:tc>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loans to portfolio loans</w:t>
            </w:r>
          </w:p>
        </w:tc>
        <w:tc>
          <w:tcPr>
            <w:tcW w:w="300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color w:val="auto"/>
              </w:rPr>
              <w:t>[b÷a]</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98.96%</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Core deposits to total deposits</w:t>
            </w:r>
          </w:p>
        </w:tc>
        <w:tc>
          <w:tcPr>
            <w:tcW w:w="3000" w:type="dxa"/>
            <w:vAlign w:val="bottom"/>
          </w:tcPr>
          <w:p>
            <w:pPr>
              <w:ind w:left="2320"/>
              <w:spacing w:after="0"/>
              <w:rPr>
                <w:sz w:val="20"/>
                <w:szCs w:val="20"/>
                <w:color w:val="auto"/>
              </w:rPr>
            </w:pPr>
            <w:r>
              <w:rPr>
                <w:rFonts w:ascii="Arial" w:cs="Arial" w:eastAsia="Arial" w:hAnsi="Arial"/>
                <w:sz w:val="18"/>
                <w:szCs w:val="18"/>
                <w:color w:val="auto"/>
              </w:rPr>
              <w:t>[d÷c]</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98.70%</w:t>
            </w:r>
          </w:p>
        </w:tc>
      </w:tr>
      <w:tr>
        <w:trPr>
          <w:trHeight w:val="27"/>
        </w:trPr>
        <w:tc>
          <w:tcPr>
            <w:tcW w:w="5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loans to core deposits</w:t>
            </w:r>
          </w:p>
        </w:tc>
        <w:tc>
          <w:tcPr>
            <w:tcW w:w="300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color w:val="auto"/>
              </w:rPr>
              <w:t>[b÷d]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729"/>
        </w:trPr>
        <w:tc>
          <w:tcPr>
            <w:tcW w:w="5180" w:type="dxa"/>
            <w:vAlign w:val="bottom"/>
          </w:tcPr>
          <w:p>
            <w:pPr>
              <w:spacing w:after="0"/>
              <w:rPr>
                <w:sz w:val="24"/>
                <w:szCs w:val="24"/>
                <w:color w:val="auto"/>
              </w:rPr>
            </w:pPr>
          </w:p>
        </w:tc>
        <w:tc>
          <w:tcPr>
            <w:tcW w:w="3000" w:type="dxa"/>
            <w:vAlign w:val="bottom"/>
          </w:tcPr>
          <w:p>
            <w:pPr>
              <w:ind w:left="36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0"/>
        </w:trPr>
        <w:tc>
          <w:tcPr>
            <w:tcW w:w="51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Statements made in this document, other than those concerning historical financial information, may be considered forward-looking statements within the meaning of the Private Securities Litigation Reform Act of 1995 with respect to First Busey’s financial condition, results of operations, plans, objectives, future performance, and business.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state, national, and international economy (including effects of inflationary pressures and supply chain constraints); (ii) the economic impact of any future terrorist threats or attacks, widespread disease or pandemics (including the COVID-19 pandemic), or other adverse external events that could cause economic deterioration or instability in credit markets (including Russia’s invasion of Ukraine); (iii) changes in state and federal laws, regulations, and governmental policies concerning First Busey’s general business; (iv) changes in interest rates and prepayment rates of First Busey’s assets (including the impact of the LIBOR phase-out) (v) increased competition in the financial services sector and the inability to attract new customers; (vi) changes in technology and the ability to develop and maintain secure and reliable electronic systems; (vii) the loss of key executives or associates; (viii) changes in consumer spending; (ix) unexpected results of current and/or future acquisitions, which may include failure to realize the anticipated benefits of any acquisition and the possibility that transaction costs may be greater than anticipated; (x) unexpected outcomes of existing or new litigation involving First Busey; (xi) the economic impact of exceptional weather occurrences such as tornadoes, hurricanes, floods, and blizzards; and (xii) changes in accounting policies and practices. These risks and uncertainties should be considered in evaluating forward-looking statements and undue reliance should not be placed on such statements. Additional information concerning First Busey and our business, including additional factors that could materially affect our financial results, is included in our filings with the SEC.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First Busey has established various accounting policies that govern the application of GAAP in the preparation of its unaudited consolidated financial statements. Significant accounting policies are described in </w:t>
      </w:r>
      <w:r>
        <w:rPr>
          <w:rFonts w:ascii="Arial" w:cs="Arial" w:eastAsia="Arial" w:hAnsi="Arial"/>
          <w:sz w:val="17"/>
          <w:szCs w:val="17"/>
          <w:i w:val="1"/>
          <w:iCs w:val="1"/>
          <w:color w:val="auto"/>
        </w:rPr>
        <w:t>“Note 1. Significant Accounting Policies”</w:t>
      </w:r>
      <w:r>
        <w:rPr>
          <w:rFonts w:ascii="Arial" w:cs="Arial" w:eastAsia="Arial" w:hAnsi="Arial"/>
          <w:sz w:val="17"/>
          <w:szCs w:val="17"/>
          <w:color w:val="auto"/>
        </w:rPr>
        <w:t xml:space="preserve"> of the Company’s 2021 Annual Report.</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Management has reviewed these critical accounting estimates and related disclosures with our Audit Committee. The following accounting policies could be deemed critical: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 Securities Available for Sale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securities gains or losses are reported in the unaudited Consolidated Statements of Income. The cost of securities sold is based on the specific identification method.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ACL balance related to the debt security,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consider the following factors in assessing whether the decline is due to a credit loss:</w:t>
      </w:r>
    </w:p>
    <w:p>
      <w:pPr>
        <w:spacing w:after="0" w:line="18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98"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ACL balance for the debt security through the provision for credit losses. Impairment related to noncredit factors is recognized in AOCI, net of applicable taxes.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Business Combinations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 “the price that would be received to sell an asset or paid to transfer a liability in an orderly transaction between market participants at the measurement date.”</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fair value of a loan portfolio acquired in a business combination generally requires greater levels of management estimates and judgment than other assets acquired or liabilities assumed. Acquired loans are in the scope of ASC Topic 326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However, the offset to record the ACL on acquired loans at the date of acquisition depends on whether or not the loan is classified as PCD. The ACL for PCD loans is recorded through a gross-up effect, while the ACL for acquired non-PCD loans is recorded through provision expense, consistent with originated loans. Thus, the determination of which loans are PCD and non-PCD can have a significant effect on the accounting for these loans.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First Busey estimates income tax expense based on amounts expected to be owed to federal and state tax 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First Busey calculates the ACL at each reporting date. We recognize an allowance for the lifetime expected credit losses for the amount the Company does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First Busey may not be able to make or obtain such forecasts for the entire life of the financial assets and requires a reversion to historical credit loss information.</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determining the ACL, management relies predominantly on a disciplined credit review and approval process that extends to the full range of First Busey’s credit exposure. The ACL must be determined on a collective (pool) basis when similar risk characteristics exist. On a case-by-case basis, we may conclude a loan should be evaluated on an individual basis based on disparate risk characteristics.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As of December 31, 2021, a downward adjustment in federal fund rates was not meaningful due to the low interest rate environment at that time.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Year-One: Basis Point Changes</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9"/>
        </w:trPr>
        <w:tc>
          <w:tcPr>
            <w:tcW w:w="19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4"/>
        </w:trPr>
        <w:tc>
          <w:tcPr>
            <w:tcW w:w="1920" w:type="dxa"/>
            <w:vAlign w:val="bottom"/>
          </w:tcPr>
          <w:p>
            <w:pPr>
              <w:spacing w:after="0"/>
              <w:rPr>
                <w:sz w:val="16"/>
                <w:szCs w:val="16"/>
                <w:color w:val="auto"/>
              </w:rPr>
            </w:pPr>
          </w:p>
        </w:tc>
        <w:tc>
          <w:tcPr>
            <w:tcW w:w="1560" w:type="dxa"/>
            <w:vAlign w:val="bottom"/>
          </w:tcPr>
          <w:p>
            <w:pPr>
              <w:ind w:left="640"/>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6"/>
                <w:szCs w:val="16"/>
                <w:color w:val="auto"/>
              </w:rPr>
            </w:pPr>
          </w:p>
        </w:tc>
        <w:tc>
          <w:tcPr>
            <w:tcW w:w="1420" w:type="dxa"/>
            <w:vAlign w:val="bottom"/>
          </w:tcPr>
          <w:p>
            <w:pPr>
              <w:ind w:left="580"/>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6"/>
                <w:szCs w:val="16"/>
                <w:color w:val="auto"/>
              </w:rPr>
            </w:pPr>
          </w:p>
        </w:tc>
        <w:tc>
          <w:tcPr>
            <w:tcW w:w="1560" w:type="dxa"/>
            <w:vAlign w:val="bottom"/>
          </w:tcPr>
          <w:p>
            <w:pPr>
              <w:ind w:left="640"/>
              <w:spacing w:after="0"/>
              <w:rPr>
                <w:sz w:val="20"/>
                <w:szCs w:val="20"/>
                <w:color w:val="auto"/>
              </w:rPr>
            </w:pPr>
            <w:r>
              <w:rPr>
                <w:rFonts w:ascii="Arial" w:cs="Arial" w:eastAsia="Arial" w:hAnsi="Arial"/>
                <w:sz w:val="14"/>
                <w:szCs w:val="14"/>
                <w:b w:val="1"/>
                <w:bCs w:val="1"/>
                <w:color w:val="auto"/>
              </w:rPr>
              <w:t>- 100</w:t>
            </w:r>
          </w:p>
        </w:tc>
        <w:tc>
          <w:tcPr>
            <w:tcW w:w="1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Arial" w:cs="Arial" w:eastAsia="Arial" w:hAnsi="Arial"/>
                <w:sz w:val="14"/>
                <w:szCs w:val="14"/>
                <w:b w:val="1"/>
                <w:bCs w:val="1"/>
                <w:color w:val="auto"/>
              </w:rPr>
              <w:t>+200</w:t>
            </w:r>
          </w:p>
        </w:tc>
        <w:tc>
          <w:tcPr>
            <w:tcW w:w="8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4"/>
                <w:szCs w:val="14"/>
                <w:b w:val="1"/>
                <w:bCs w:val="1"/>
                <w:color w:val="auto"/>
              </w:rPr>
              <w:t>+300</w:t>
            </w:r>
          </w:p>
        </w:tc>
      </w:tr>
      <w:tr>
        <w:trPr>
          <w:trHeight w:val="39"/>
        </w:trPr>
        <w:tc>
          <w:tcPr>
            <w:tcW w:w="19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52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142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17.19%</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931"/>
        </w:trPr>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857"/>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1"/>
        </w:trPr>
        <w:tc>
          <w:tcPr>
            <w:tcW w:w="1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ind w:left="520"/>
              <w:spacing w:after="0"/>
              <w:rPr>
                <w:sz w:val="20"/>
                <w:szCs w:val="20"/>
                <w:color w:val="auto"/>
              </w:rPr>
            </w:pPr>
            <w:r>
              <w:rPr>
                <w:rFonts w:ascii="Arial" w:cs="Arial" w:eastAsia="Arial" w:hAnsi="Arial"/>
                <w:sz w:val="14"/>
                <w:szCs w:val="14"/>
                <w:b w:val="1"/>
                <w:bCs w:val="1"/>
                <w:color w:val="auto"/>
                <w:w w:val="95"/>
              </w:rPr>
              <w:t>Year-Two: Basis Point Changes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9"/>
        </w:trPr>
        <w:tc>
          <w:tcPr>
            <w:tcW w:w="19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4"/>
        </w:trPr>
        <w:tc>
          <w:tcPr>
            <w:tcW w:w="1920" w:type="dxa"/>
            <w:vAlign w:val="bottom"/>
          </w:tcPr>
          <w:p>
            <w:pPr>
              <w:spacing w:after="0"/>
              <w:rPr>
                <w:sz w:val="16"/>
                <w:szCs w:val="16"/>
                <w:color w:val="auto"/>
              </w:rPr>
            </w:pPr>
          </w:p>
        </w:tc>
        <w:tc>
          <w:tcPr>
            <w:tcW w:w="1560" w:type="dxa"/>
            <w:vAlign w:val="bottom"/>
          </w:tcPr>
          <w:p>
            <w:pPr>
              <w:ind w:left="640"/>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6"/>
                <w:szCs w:val="16"/>
                <w:color w:val="auto"/>
              </w:rPr>
            </w:pPr>
          </w:p>
        </w:tc>
        <w:tc>
          <w:tcPr>
            <w:tcW w:w="1420" w:type="dxa"/>
            <w:vAlign w:val="bottom"/>
          </w:tcPr>
          <w:p>
            <w:pPr>
              <w:ind w:left="580"/>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6"/>
                <w:szCs w:val="16"/>
                <w:color w:val="auto"/>
              </w:rPr>
            </w:pPr>
          </w:p>
        </w:tc>
        <w:tc>
          <w:tcPr>
            <w:tcW w:w="940" w:type="dxa"/>
            <w:vAlign w:val="bottom"/>
          </w:tcPr>
          <w:p>
            <w:pPr>
              <w:ind w:left="640"/>
              <w:spacing w:after="0"/>
              <w:rPr>
                <w:sz w:val="20"/>
                <w:szCs w:val="20"/>
                <w:color w:val="auto"/>
              </w:rPr>
            </w:pPr>
            <w:r>
              <w:rPr>
                <w:rFonts w:ascii="Arial" w:cs="Arial" w:eastAsia="Arial" w:hAnsi="Arial"/>
                <w:sz w:val="14"/>
                <w:szCs w:val="14"/>
                <w:b w:val="1"/>
                <w:bCs w:val="1"/>
                <w:color w:val="auto"/>
                <w:w w:val="87"/>
              </w:rPr>
              <w:t>- 100</w:t>
            </w:r>
          </w:p>
        </w:tc>
        <w:tc>
          <w:tcPr>
            <w:tcW w:w="1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+100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Arial" w:cs="Arial" w:eastAsia="Arial" w:hAnsi="Arial"/>
                <w:sz w:val="14"/>
                <w:szCs w:val="14"/>
                <w:b w:val="1"/>
                <w:bCs w:val="1"/>
                <w:color w:val="auto"/>
              </w:rPr>
              <w:t>+200</w:t>
            </w:r>
          </w:p>
        </w:tc>
        <w:tc>
          <w:tcPr>
            <w:tcW w:w="8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4"/>
                <w:szCs w:val="14"/>
                <w:b w:val="1"/>
                <w:bCs w:val="1"/>
                <w:color w:val="auto"/>
              </w:rPr>
              <w:t>+300</w:t>
            </w:r>
          </w:p>
        </w:tc>
      </w:tr>
      <w:tr>
        <w:trPr>
          <w:trHeight w:val="39"/>
        </w:trPr>
        <w:tc>
          <w:tcPr>
            <w:tcW w:w="19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52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940" w:type="dxa"/>
            <w:vAlign w:val="bottom"/>
          </w:tcPr>
          <w:p>
            <w:pPr>
              <w:ind w:left="640"/>
              <w:spacing w:after="0"/>
              <w:rPr>
                <w:sz w:val="20"/>
                <w:szCs w:val="20"/>
                <w:color w:val="auto"/>
              </w:rPr>
            </w:pPr>
            <w:r>
              <w:rPr>
                <w:rFonts w:ascii="Arial" w:cs="Arial" w:eastAsia="Arial" w:hAnsi="Arial"/>
                <w:sz w:val="18"/>
                <w:szCs w:val="18"/>
                <w:color w:val="auto"/>
                <w:w w:val="99"/>
              </w:rPr>
              <w:t>NM</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9.51%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18.22%</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26.84%</w:t>
            </w: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of our disclosure controls and procedures, as defined in Rule 13a-15(e) under the Exchange Act, was carried out as of September 30, 2022, under the supervision and with the participation of our Chief Executive Officer, Chief Financial Officer, and several other members of our senior management. Based on this evaluation, our Chief Executive Officer and Chief Financial Officer concluded that, as of September 30, 2022,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September 30, 2022, no change occurred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2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to the risk factors disclosed in </w:t>
      </w:r>
      <w:r>
        <w:rPr>
          <w:rFonts w:ascii="Arial" w:cs="Arial" w:eastAsia="Arial" w:hAnsi="Arial"/>
          <w:sz w:val="18"/>
          <w:szCs w:val="18"/>
          <w:i w:val="1"/>
          <w:iCs w:val="1"/>
          <w:color w:val="auto"/>
        </w:rPr>
        <w:t>Part I—Item 1A</w:t>
      </w:r>
      <w:r>
        <w:rPr>
          <w:rFonts w:ascii="Arial" w:cs="Arial" w:eastAsia="Arial" w:hAnsi="Arial"/>
          <w:sz w:val="18"/>
          <w:szCs w:val="18"/>
          <w:color w:val="auto"/>
        </w:rPr>
        <w:t xml:space="preserve"> of First Busey’s 2021 Annual Report.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3, 2015, First Busey’s board of directors authorized the Company to repurchase up to an aggregate of 666,667 shares of its common stock. The repurchase plan has no expiration date. On May 22, 2019, First Busey’s board of directors approved an amendment to increase the authorized shares under the repurchase program by 1,000,000 shares, and on February 5, 2020, First Busey’s board of directors approved another amendment to increase the authorized shares under the repurchase program by an additional 2,000,000 shares. During the third quarter of 2022, the Company purchased 130,000 shares under the plan. As of September 30, 2022, the Company had 147,210 shares that may still be purchased under the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Shares That May Yet Be</w:t>
            </w: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75"/>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 Price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Under the Plans</w:t>
            </w: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tcPr>
          <w:p>
            <w:pPr>
              <w:jc w:val="right"/>
              <w:ind w:right="495"/>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Paid per Common Share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r>
      <w:tr>
        <w:trPr>
          <w:trHeight w:val="39"/>
        </w:trPr>
        <w:tc>
          <w:tcPr>
            <w:tcW w:w="3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44"/>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1-31, 2022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171,210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August 1-31, 2022</w:t>
            </w:r>
          </w:p>
        </w:tc>
        <w:tc>
          <w:tcPr>
            <w:tcW w:w="1800" w:type="dxa"/>
            <w:vAlign w:val="bottom"/>
          </w:tcPr>
          <w:p>
            <w:pPr>
              <w:jc w:val="right"/>
              <w:spacing w:after="0"/>
              <w:rPr>
                <w:sz w:val="20"/>
                <w:szCs w:val="20"/>
                <w:color w:val="auto"/>
              </w:rPr>
            </w:pPr>
            <w:r>
              <w:rPr>
                <w:rFonts w:ascii="Arial" w:cs="Arial" w:eastAsia="Arial" w:hAnsi="Arial"/>
                <w:sz w:val="18"/>
                <w:szCs w:val="18"/>
                <w:color w:val="auto"/>
              </w:rPr>
              <w:t>24,000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24.50</w:t>
            </w:r>
          </w:p>
        </w:tc>
        <w:tc>
          <w:tcPr>
            <w:tcW w:w="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147,210</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1-30, 2022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147,210</w:t>
            </w:r>
          </w:p>
        </w:tc>
      </w:tr>
      <w:tr>
        <w:trPr>
          <w:trHeight w:val="26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Three months ended September 30, 2022</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r>
      <w:tr>
        <w:trPr>
          <w:trHeight w:val="237"/>
        </w:trPr>
        <w:tc>
          <w:tcPr>
            <w:tcW w:w="3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7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Nine months ended September 30, 2022</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388,614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25.50</w:t>
            </w:r>
          </w:p>
        </w:tc>
        <w:tc>
          <w:tcPr>
            <w:tcW w:w="80" w:type="dxa"/>
            <w:vAlign w:val="bottom"/>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388,614</w:t>
            </w: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200"/>
        </w:trPr>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8400" w:type="dxa"/>
            <w:vAlign w:val="bottom"/>
            <w:gridSpan w:val="7"/>
          </w:tcPr>
          <w:p>
            <w:pPr>
              <w:ind w:left="3460"/>
              <w:spacing w:after="0"/>
              <w:rPr>
                <w:sz w:val="20"/>
                <w:szCs w:val="20"/>
                <w:color w:val="auto"/>
              </w:rPr>
            </w:pPr>
            <w:r>
              <w:rPr>
                <w:rFonts w:ascii="Arial" w:cs="Arial" w:eastAsia="Arial" w:hAnsi="Arial"/>
                <w:sz w:val="14"/>
                <w:szCs w:val="14"/>
                <w:b w:val="1"/>
                <w:bCs w:val="1"/>
                <w:color w:val="auto"/>
              </w:rPr>
              <w:t>Description of Exhibit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39"/>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6"/>
        </w:trPr>
        <w:tc>
          <w:tcPr>
            <w:tcW w:w="148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Principal Executive Officer, pursuant to Rule 13a-14(a) and Rule 15d-14(a)</w:t>
            </w:r>
          </w:p>
        </w:tc>
        <w:tc>
          <w:tcPr>
            <w:tcW w:w="1820" w:type="dxa"/>
            <w:vAlign w:val="bottom"/>
            <w:gridSpan w:val="3"/>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r>
      <w:tr>
        <w:trPr>
          <w:trHeight w:val="412"/>
        </w:trPr>
        <w:tc>
          <w:tcPr>
            <w:tcW w:w="14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7"/>
          </w:tcPr>
          <w:p>
            <w:pPr>
              <w:spacing w:after="0"/>
              <w:rPr>
                <w:sz w:val="20"/>
                <w:szCs w:val="20"/>
                <w:color w:val="auto"/>
              </w:rPr>
            </w:pPr>
            <w:r>
              <w:rPr>
                <w:rFonts w:ascii="Arial" w:cs="Arial" w:eastAsia="Arial" w:hAnsi="Arial"/>
                <w:sz w:val="18"/>
                <w:szCs w:val="18"/>
                <w:color w:val="0000EE"/>
              </w:rPr>
              <w:t>Certification of Principal Financial Officer, pursuant to Rule 13a-14(a) and Rule 15d-14(a)</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4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w:t>
            </w:r>
          </w:p>
        </w:tc>
        <w:tc>
          <w:tcPr>
            <w:tcW w:w="120" w:type="dxa"/>
            <w:vAlign w:val="bottom"/>
            <w:gridSpan w:val="2"/>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2002, from First Busey’s Chief Executive Officer</w:t>
            </w:r>
          </w:p>
        </w:tc>
        <w:tc>
          <w:tcPr>
            <w:tcW w:w="4840" w:type="dxa"/>
            <w:vAlign w:val="bottom"/>
            <w:gridSpan w:val="5"/>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48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w:t>
            </w:r>
          </w:p>
        </w:tc>
        <w:tc>
          <w:tcPr>
            <w:tcW w:w="120" w:type="dxa"/>
            <w:vAlign w:val="bottom"/>
            <w:gridSpan w:val="2"/>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0" w:type="dxa"/>
            <w:vAlign w:val="bottom"/>
            <w:gridSpan w:val="7"/>
          </w:tcPr>
          <w:p>
            <w:pPr>
              <w:spacing w:after="0" w:line="196" w:lineRule="exact"/>
              <w:rPr>
                <w:sz w:val="20"/>
                <w:szCs w:val="20"/>
                <w:color w:val="auto"/>
              </w:rPr>
            </w:pPr>
            <w:r>
              <w:rPr>
                <w:rFonts w:ascii="Arial" w:cs="Arial" w:eastAsia="Arial" w:hAnsi="Arial"/>
                <w:sz w:val="18"/>
                <w:szCs w:val="18"/>
                <w:color w:val="0000EE"/>
              </w:rPr>
              <w:t>2002, from First Busey’s Chief Financial Officer</w:t>
            </w:r>
          </w:p>
        </w:tc>
        <w:tc>
          <w:tcPr>
            <w:tcW w:w="1240" w:type="dxa"/>
            <w:vAlign w:val="bottom"/>
          </w:tcPr>
          <w:p>
            <w:pPr>
              <w:spacing w:after="0"/>
              <w:rPr>
                <w:sz w:val="17"/>
                <w:szCs w:val="17"/>
                <w:color w:val="auto"/>
              </w:rPr>
            </w:pPr>
          </w:p>
        </w:tc>
      </w:tr>
      <w:tr>
        <w:trPr>
          <w:trHeight w:val="45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35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iXBRL Instance Document</w:t>
            </w:r>
          </w:p>
        </w:tc>
        <w:tc>
          <w:tcPr>
            <w:tcW w:w="4900" w:type="dxa"/>
            <w:vAlign w:val="bottom"/>
            <w:gridSpan w:val="6"/>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400" w:type="dxa"/>
            <w:vAlign w:val="bottom"/>
            <w:gridSpan w:val="7"/>
          </w:tcPr>
          <w:p>
            <w:pPr>
              <w:spacing w:after="0"/>
              <w:rPr>
                <w:sz w:val="20"/>
                <w:szCs w:val="20"/>
                <w:color w:val="auto"/>
              </w:rPr>
            </w:pPr>
            <w:r>
              <w:rPr>
                <w:rFonts w:ascii="Arial" w:cs="Arial" w:eastAsia="Arial" w:hAnsi="Arial"/>
                <w:sz w:val="18"/>
                <w:szCs w:val="18"/>
                <w:color w:val="auto"/>
              </w:rPr>
              <w:t>iXBRL Taxonomy Extension Schema</w:t>
            </w:r>
          </w:p>
        </w:tc>
        <w:tc>
          <w:tcPr>
            <w:tcW w:w="1240" w:type="dxa"/>
            <w:vAlign w:val="bottom"/>
          </w:tcPr>
          <w:p>
            <w:pPr>
              <w:spacing w:after="0"/>
              <w:rPr>
                <w:sz w:val="24"/>
                <w:szCs w:val="24"/>
                <w:color w:val="auto"/>
              </w:rPr>
            </w:pPr>
          </w:p>
        </w:tc>
      </w:tr>
      <w:tr>
        <w:trPr>
          <w:trHeight w:val="432"/>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400" w:type="dxa"/>
            <w:vAlign w:val="bottom"/>
            <w:gridSpan w:val="7"/>
          </w:tcPr>
          <w:p>
            <w:pPr>
              <w:spacing w:after="0"/>
              <w:rPr>
                <w:sz w:val="20"/>
                <w:szCs w:val="20"/>
                <w:color w:val="auto"/>
              </w:rPr>
            </w:pPr>
            <w:r>
              <w:rPr>
                <w:rFonts w:ascii="Arial" w:cs="Arial" w:eastAsia="Arial" w:hAnsi="Arial"/>
                <w:sz w:val="18"/>
                <w:szCs w:val="18"/>
                <w:color w:val="auto"/>
              </w:rPr>
              <w:t>iXBRL Taxonomy Extension Calculation Linkbase</w:t>
            </w:r>
          </w:p>
        </w:tc>
        <w:tc>
          <w:tcPr>
            <w:tcW w:w="1240" w:type="dxa"/>
            <w:vAlign w:val="bottom"/>
          </w:tcPr>
          <w:p>
            <w:pPr>
              <w:spacing w:after="0"/>
              <w:rPr>
                <w:sz w:val="24"/>
                <w:szCs w:val="24"/>
                <w:color w:val="auto"/>
              </w:rPr>
            </w:pPr>
          </w:p>
        </w:tc>
      </w:tr>
      <w:tr>
        <w:trPr>
          <w:trHeight w:val="432"/>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400" w:type="dxa"/>
            <w:vAlign w:val="bottom"/>
            <w:gridSpan w:val="7"/>
          </w:tcPr>
          <w:p>
            <w:pPr>
              <w:spacing w:after="0"/>
              <w:rPr>
                <w:sz w:val="20"/>
                <w:szCs w:val="20"/>
                <w:color w:val="auto"/>
              </w:rPr>
            </w:pPr>
            <w:r>
              <w:rPr>
                <w:rFonts w:ascii="Arial" w:cs="Arial" w:eastAsia="Arial" w:hAnsi="Arial"/>
                <w:sz w:val="18"/>
                <w:szCs w:val="18"/>
                <w:color w:val="auto"/>
              </w:rPr>
              <w:t>iXBRL Taxonomy Extension Label Linkbase</w:t>
            </w:r>
          </w:p>
        </w:tc>
        <w:tc>
          <w:tcPr>
            <w:tcW w:w="1240" w:type="dxa"/>
            <w:vAlign w:val="bottom"/>
          </w:tcPr>
          <w:p>
            <w:pPr>
              <w:spacing w:after="0"/>
              <w:rPr>
                <w:sz w:val="24"/>
                <w:szCs w:val="24"/>
                <w:color w:val="auto"/>
              </w:rPr>
            </w:pPr>
          </w:p>
        </w:tc>
      </w:tr>
      <w:tr>
        <w:trPr>
          <w:trHeight w:val="432"/>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400" w:type="dxa"/>
            <w:vAlign w:val="bottom"/>
            <w:gridSpan w:val="7"/>
          </w:tcPr>
          <w:p>
            <w:pPr>
              <w:spacing w:after="0"/>
              <w:rPr>
                <w:sz w:val="20"/>
                <w:szCs w:val="20"/>
                <w:color w:val="auto"/>
              </w:rPr>
            </w:pPr>
            <w:r>
              <w:rPr>
                <w:rFonts w:ascii="Arial" w:cs="Arial" w:eastAsia="Arial" w:hAnsi="Arial"/>
                <w:sz w:val="18"/>
                <w:szCs w:val="18"/>
                <w:color w:val="auto"/>
              </w:rPr>
              <w:t>iXBRL Taxonomy Extension Presentation Linkbase</w:t>
            </w:r>
          </w:p>
        </w:tc>
        <w:tc>
          <w:tcPr>
            <w:tcW w:w="1240" w:type="dxa"/>
            <w:vAlign w:val="bottom"/>
          </w:tcPr>
          <w:p>
            <w:pPr>
              <w:spacing w:after="0"/>
              <w:rPr>
                <w:sz w:val="24"/>
                <w:szCs w:val="24"/>
                <w:color w:val="auto"/>
              </w:rPr>
            </w:pPr>
          </w:p>
        </w:tc>
      </w:tr>
      <w:tr>
        <w:trPr>
          <w:trHeight w:val="432"/>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400" w:type="dxa"/>
            <w:vAlign w:val="bottom"/>
            <w:gridSpan w:val="7"/>
          </w:tcPr>
          <w:p>
            <w:pPr>
              <w:spacing w:after="0"/>
              <w:rPr>
                <w:sz w:val="20"/>
                <w:szCs w:val="20"/>
                <w:color w:val="auto"/>
              </w:rPr>
            </w:pPr>
            <w:r>
              <w:rPr>
                <w:rFonts w:ascii="Arial" w:cs="Arial" w:eastAsia="Arial" w:hAnsi="Arial"/>
                <w:sz w:val="18"/>
                <w:szCs w:val="18"/>
                <w:color w:val="auto"/>
              </w:rPr>
              <w:t>iXBRL Taxonomy Extension Definition Linkbase</w:t>
            </w:r>
          </w:p>
        </w:tc>
        <w:tc>
          <w:tcPr>
            <w:tcW w:w="1240" w:type="dxa"/>
            <w:vAlign w:val="bottom"/>
          </w:tcPr>
          <w:p>
            <w:pPr>
              <w:spacing w:after="0"/>
              <w:rPr>
                <w:sz w:val="24"/>
                <w:szCs w:val="24"/>
                <w:color w:val="auto"/>
              </w:rPr>
            </w:pPr>
          </w:p>
        </w:tc>
      </w:tr>
      <w:tr>
        <w:trPr>
          <w:trHeight w:val="418"/>
        </w:trPr>
        <w:tc>
          <w:tcPr>
            <w:tcW w:w="1480" w:type="dxa"/>
            <w:vAlign w:val="bottom"/>
          </w:tcPr>
          <w:p>
            <w:pPr>
              <w:ind w:left="2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7"/>
          </w:tcPr>
          <w:p>
            <w:pPr>
              <w:spacing w:after="0"/>
              <w:rPr>
                <w:sz w:val="20"/>
                <w:szCs w:val="20"/>
                <w:color w:val="auto"/>
              </w:rPr>
            </w:pPr>
            <w:r>
              <w:rPr>
                <w:rFonts w:ascii="Arial" w:cs="Arial" w:eastAsia="Arial" w:hAnsi="Arial"/>
                <w:sz w:val="18"/>
                <w:szCs w:val="18"/>
                <w:color w:val="auto"/>
                <w:w w:val="98"/>
              </w:rPr>
              <w:t>Cover Page Interactive Data File (formatted as inline XBRL with applicable taxonomy extension information</w:t>
            </w:r>
          </w:p>
        </w:tc>
        <w:tc>
          <w:tcPr>
            <w:tcW w:w="124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7"/>
          </w:tcPr>
          <w:p>
            <w:pPr>
              <w:spacing w:after="0"/>
              <w:rPr>
                <w:sz w:val="20"/>
                <w:szCs w:val="20"/>
                <w:color w:val="auto"/>
              </w:rPr>
            </w:pPr>
            <w:r>
              <w:rPr>
                <w:rFonts w:ascii="Arial" w:cs="Arial" w:eastAsia="Arial" w:hAnsi="Arial"/>
                <w:sz w:val="18"/>
                <w:szCs w:val="18"/>
                <w:color w:val="auto"/>
              </w:rPr>
              <w:t>contained in Exhibits 101)</w:t>
            </w:r>
          </w:p>
        </w:tc>
        <w:tc>
          <w:tcPr>
            <w:tcW w:w="1240" w:type="dxa"/>
            <w:vAlign w:val="bottom"/>
          </w:tcPr>
          <w:p>
            <w:pPr>
              <w:spacing w:after="0"/>
              <w:rPr>
                <w:sz w:val="20"/>
                <w:szCs w:val="20"/>
                <w:color w:val="auto"/>
              </w:rPr>
            </w:pPr>
          </w:p>
        </w:tc>
      </w:tr>
      <w:tr>
        <w:trPr>
          <w:trHeight w:val="918"/>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gridSpan w:val="4"/>
          </w:tcPr>
          <w:p>
            <w:pPr>
              <w:jc w:val="right"/>
              <w:ind w:right="240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4"/>
        </w:trPr>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thereunto duly authorized.</w:t>
      </w:r>
    </w:p>
    <w:p>
      <w:pPr>
        <w:sectPr>
          <w:pgSz w:w="11900" w:h="16838" w:orient="portrait"/>
          <w:cols w:equalWidth="0" w:num="1">
            <w:col w:w="11240"/>
          </w:cols>
          <w:pgMar w:left="320" w:top="301" w:right="339" w:bottom="1440" w:gutter="0" w:footer="0" w:header="0"/>
        </w:sect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3,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BUSEY CORPORATION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ectPr>
          <w:pgSz w:w="11900" w:h="16838" w:orient="portrait"/>
          <w:cols w:equalWidth="0" w:num="2">
            <w:col w:w="4620" w:space="720"/>
            <w:col w:w="5900"/>
          </w:cols>
          <w:pgMar w:left="320" w:top="301" w:right="339" w:bottom="1440" w:gutter="0" w:footer="0" w:header="0"/>
          <w:type w:val="continuous"/>
        </w:sectPr>
      </w:pPr>
    </w:p>
    <w:p>
      <w:pPr>
        <w:spacing w:after="0" w:line="119" w:lineRule="exact"/>
        <w:rPr>
          <w:sz w:val="20"/>
          <w:szCs w:val="20"/>
          <w:color w:val="auto"/>
        </w:rPr>
      </w:pPr>
    </w:p>
    <w:p>
      <w:pPr>
        <w:ind w:left="5340"/>
        <w:spacing w:after="0"/>
        <w:tabs>
          <w:tab w:leader="none" w:pos="5780" w:val="left"/>
        </w:tabs>
        <w:rPr>
          <w:sz w:val="20"/>
          <w:szCs w:val="20"/>
          <w:color w:val="auto"/>
        </w:rPr>
      </w:pPr>
      <w:r>
        <w:rPr>
          <w:rFonts w:ascii="Arial" w:cs="Arial" w:eastAsia="Arial" w:hAnsi="Arial"/>
          <w:sz w:val="18"/>
          <w:szCs w:val="18"/>
          <w:color w:val="auto"/>
        </w:rPr>
        <w:t>By:</w:t>
        <w:tab/>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31750</wp:posOffset>
            </wp:positionV>
            <wp:extent cx="3463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Van A. Dukeman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Chairman, President and Chief Executive Officer</w:t>
      </w:r>
    </w:p>
    <w:p>
      <w:pPr>
        <w:spacing w:after="0" w:line="4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ind w:left="5340"/>
        <w:spacing w:after="0"/>
        <w:tabs>
          <w:tab w:leader="none" w:pos="5780" w:val="left"/>
        </w:tabs>
        <w:rPr>
          <w:sz w:val="20"/>
          <w:szCs w:val="20"/>
          <w:color w:val="auto"/>
        </w:rPr>
      </w:pPr>
      <w:r>
        <w:rPr>
          <w:rFonts w:ascii="Arial" w:cs="Arial" w:eastAsia="Arial" w:hAnsi="Arial"/>
          <w:sz w:val="18"/>
          <w:szCs w:val="18"/>
          <w:color w:val="auto"/>
        </w:rPr>
        <w:t>By:</w:t>
        <w:tab/>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31750</wp:posOffset>
            </wp:positionV>
            <wp:extent cx="3463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Jeffrey D. Jones</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left="5340"/>
        <w:spacing w:after="0"/>
        <w:tabs>
          <w:tab w:leader="none" w:pos="5780" w:val="left"/>
        </w:tabs>
        <w:rPr>
          <w:sz w:val="20"/>
          <w:szCs w:val="20"/>
          <w:color w:val="auto"/>
        </w:rPr>
      </w:pPr>
      <w:r>
        <w:rPr>
          <w:rFonts w:ascii="Arial" w:cs="Arial" w:eastAsia="Arial" w:hAnsi="Arial"/>
          <w:sz w:val="18"/>
          <w:szCs w:val="18"/>
          <w:color w:val="auto"/>
        </w:rPr>
        <w:t>By:</w:t>
        <w:tab/>
        <w:t>/s/ LYNETTE M. STRODE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31750</wp:posOffset>
            </wp:positionV>
            <wp:extent cx="34632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Lynette M. Strode</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301" w:right="33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Chairman, President and Chief Executive Officer of First Busey Corporation, certify that:</w:t>
      </w:r>
    </w:p>
    <w:p>
      <w:pPr>
        <w:spacing w:after="0" w:line="22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20" w:hanging="332"/>
        <w:spacing w:after="0" w:line="342" w:lineRule="auto"/>
        <w:tabs>
          <w:tab w:leader="none" w:pos="3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340" w:hanging="332"/>
        <w:spacing w:after="0" w:line="263"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hanging="328"/>
        <w:spacing w:after="0" w:line="257" w:lineRule="auto"/>
        <w:tabs>
          <w:tab w:leader="none" w:pos="652" w:val="left"/>
        </w:tabs>
        <w:numPr>
          <w:ilvl w:val="1"/>
          <w:numId w:val="22"/>
        </w:numPr>
        <w:rPr>
          <w:rFonts w:ascii="Arial" w:cs="Arial" w:eastAsia="Arial" w:hAnsi="Arial"/>
          <w:sz w:val="20"/>
          <w:szCs w:val="20"/>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1" w:lineRule="exact"/>
        <w:rPr>
          <w:rFonts w:ascii="Arial" w:cs="Arial" w:eastAsia="Arial" w:hAnsi="Arial"/>
          <w:sz w:val="20"/>
          <w:szCs w:val="20"/>
          <w:color w:val="auto"/>
        </w:rPr>
      </w:pPr>
    </w:p>
    <w:p>
      <w:pPr>
        <w:jc w:val="both"/>
        <w:ind w:left="660" w:hanging="328"/>
        <w:spacing w:after="0" w:line="250" w:lineRule="auto"/>
        <w:tabs>
          <w:tab w:leader="none" w:pos="649" w:val="left"/>
        </w:tabs>
        <w:numPr>
          <w:ilvl w:val="1"/>
          <w:numId w:val="22"/>
        </w:numPr>
        <w:rPr>
          <w:rFonts w:ascii="Arial" w:cs="Arial" w:eastAsia="Arial" w:hAnsi="Arial"/>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20"/>
          <w:szCs w:val="20"/>
          <w:color w:val="auto"/>
        </w:rPr>
      </w:pPr>
    </w:p>
    <w:p>
      <w:pPr>
        <w:jc w:val="both"/>
        <w:ind w:left="660" w:hanging="328"/>
        <w:spacing w:after="0" w:line="329" w:lineRule="auto"/>
        <w:tabs>
          <w:tab w:leader="none" w:pos="652" w:val="left"/>
        </w:tabs>
        <w:numPr>
          <w:ilvl w:val="1"/>
          <w:numId w:val="22"/>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39" w:lineRule="exact"/>
        <w:rPr>
          <w:rFonts w:ascii="Arial" w:cs="Arial" w:eastAsia="Arial" w:hAnsi="Arial"/>
          <w:sz w:val="18"/>
          <w:szCs w:val="18"/>
          <w:color w:val="auto"/>
        </w:rPr>
      </w:pPr>
    </w:p>
    <w:p>
      <w:pPr>
        <w:jc w:val="both"/>
        <w:ind w:left="660" w:hanging="328"/>
        <w:spacing w:after="0" w:line="250" w:lineRule="auto"/>
        <w:tabs>
          <w:tab w:leader="none" w:pos="649" w:val="left"/>
        </w:tabs>
        <w:numPr>
          <w:ilvl w:val="1"/>
          <w:numId w:val="22"/>
        </w:numPr>
        <w:rPr>
          <w:rFonts w:ascii="Arial" w:cs="Arial" w:eastAsia="Arial" w:hAnsi="Arial"/>
          <w:sz w:val="20"/>
          <w:szCs w:val="20"/>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20"/>
          <w:szCs w:val="20"/>
          <w:color w:val="auto"/>
        </w:rPr>
      </w:pPr>
    </w:p>
    <w:p>
      <w:pPr>
        <w:ind w:left="340" w:hanging="332"/>
        <w:spacing w:after="0" w:line="296" w:lineRule="auto"/>
        <w:tabs>
          <w:tab w:leader="none" w:pos="329" w:val="left"/>
        </w:tabs>
        <w:numPr>
          <w:ilvl w:val="0"/>
          <w:numId w:val="22"/>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9"/>
          <w:szCs w:val="19"/>
          <w:color w:val="auto"/>
        </w:rPr>
      </w:pPr>
    </w:p>
    <w:p>
      <w:pPr>
        <w:ind w:left="660" w:right="20" w:hanging="328"/>
        <w:spacing w:after="0" w:line="266" w:lineRule="auto"/>
        <w:tabs>
          <w:tab w:leader="none" w:pos="652" w:val="left"/>
        </w:tabs>
        <w:numPr>
          <w:ilvl w:val="1"/>
          <w:numId w:val="22"/>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20"/>
          <w:szCs w:val="20"/>
          <w:color w:val="auto"/>
        </w:rPr>
      </w:pPr>
    </w:p>
    <w:p>
      <w:pPr>
        <w:ind w:left="660" w:hanging="328"/>
        <w:spacing w:after="0" w:line="250" w:lineRule="auto"/>
        <w:tabs>
          <w:tab w:leader="none" w:pos="649" w:val="left"/>
        </w:tabs>
        <w:numPr>
          <w:ilvl w:val="1"/>
          <w:numId w:val="22"/>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Van A. Dukeman</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47" w:right="339" w:bottom="1440" w:gutter="0" w:footer="0" w:header="0"/>
        </w:sectPr>
      </w:pPr>
    </w:p>
    <w:bookmarkStart w:id="90" w:name="page91"/>
    <w:bookmarkEnd w:id="90"/>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20" w:hanging="332"/>
        <w:spacing w:after="0" w:line="342" w:lineRule="auto"/>
        <w:tabs>
          <w:tab w:leader="none" w:pos="3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340" w:hanging="332"/>
        <w:spacing w:after="0" w:line="263"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hanging="328"/>
        <w:spacing w:after="0" w:line="342" w:lineRule="auto"/>
        <w:tabs>
          <w:tab w:leader="none" w:pos="65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Jeffrey D. Jones</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47" w:right="339" w:bottom="1440" w:gutter="0" w:footer="0" w:header="0"/>
        </w:sectPr>
      </w:pPr>
    </w:p>
    <w:bookmarkStart w:id="91" w:name="page92"/>
    <w:bookmarkEnd w:id="91"/>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hereby certify, pursuant to 18 U.S.C. Section 1350, as adopted pursuant to Section 906 of the Sarbanes-Oxley Act of 2002, that the accompanying Quarterly Report of First Busey Corporation on Form 10-Q for the quarter ended September 30, 2022,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Van A. Dukeman</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47" w:right="339" w:bottom="1440" w:gutter="0" w:footer="0" w:header="0"/>
        </w:sectPr>
      </w:pPr>
    </w:p>
    <w:bookmarkStart w:id="92" w:name="page93"/>
    <w:bookmarkEnd w:id="92"/>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hereby certify, pursuant to 18 U.S.C. Section 1350, as adopted pursuant to Section 906 of the Sarbanes-Oxley Act of 2002, that the accompanying Quarterly Report of First Busey Corporation on Form 10-Q for the quarter ended September 30, 2022,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Jeffrey D. Jones</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2"/>
      <w:numFmt w:val="bullet"/>
      <w:start w:val="1"/>
    </w:lvl>
  </w:abstractNum>
  <w:abstractNum w:abstractNumId="15">
    <w:nsid w:val="257130A3"/>
    <w:multiLevelType w:val="hybridMultilevel"/>
    <w:lvl w:ilvl="0">
      <w:lvlJc w:val="left"/>
      <w:lvlText w:val="3"/>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4"/>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2022-11-03T15:48:35Z</dcterms:created>
  <dcterms:modified xsi:type="dcterms:W3CDTF">2022-11-03T15:48:35Z</dcterms:modified>
</cp:coreProperties>
</file>