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-199390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26" w:lineRule="exact"/>
        <w:rPr>
          <w:sz w:val="24"/>
          <w:szCs w:val="24"/>
          <w:color w:val="auto"/>
        </w:rPr>
      </w:pPr>
    </w:p>
    <w:p>
      <w:pPr>
        <w:ind w:left="2720" w:right="1599" w:hanging="2455"/>
        <w:spacing w:after="0" w:line="305" w:lineRule="auto"/>
        <w:tabs>
          <w:tab w:leader="none" w:pos="636"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June 30, 2021</w:t>
      </w:r>
    </w:p>
    <w:p>
      <w:pPr>
        <w:spacing w:after="0" w:line="30" w:lineRule="exact"/>
        <w:rPr>
          <w:sz w:val="24"/>
          <w:szCs w:val="24"/>
          <w:color w:val="auto"/>
        </w:rPr>
      </w:pPr>
    </w:p>
    <w:p>
      <w:pPr>
        <w:ind w:left="3380" w:right="1579" w:hanging="3115"/>
        <w:spacing w:after="0" w:line="336" w:lineRule="auto"/>
        <w:tabs>
          <w:tab w:leader="none" w:pos="63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No. 0-15950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FIRST BUSEY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7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3960" w:type="dxa"/>
            <w:vAlign w:val="bottom"/>
          </w:tcPr>
          <w:p>
            <w:pPr>
              <w:jc w:val="center"/>
              <w:ind w:right="770"/>
              <w:spacing w:after="0"/>
              <w:rPr>
                <w:sz w:val="20"/>
                <w:szCs w:val="20"/>
                <w:color w:val="auto"/>
              </w:rPr>
            </w:pPr>
            <w:r>
              <w:rPr>
                <w:rFonts w:ascii="Arial" w:cs="Arial" w:eastAsia="Arial" w:hAnsi="Arial"/>
                <w:sz w:val="18"/>
                <w:szCs w:val="18"/>
                <w:b w:val="1"/>
                <w:bCs w:val="1"/>
                <w:color w:val="auto"/>
                <w:w w:val="90"/>
              </w:rPr>
              <w:t>Nevada</w:t>
            </w:r>
          </w:p>
        </w:tc>
        <w:tc>
          <w:tcPr>
            <w:tcW w:w="3480" w:type="dxa"/>
            <w:vAlign w:val="bottom"/>
          </w:tcPr>
          <w:p>
            <w:pPr>
              <w:jc w:val="right"/>
              <w:ind w:right="770"/>
              <w:spacing w:after="0"/>
              <w:rPr>
                <w:sz w:val="20"/>
                <w:szCs w:val="20"/>
                <w:color w:val="auto"/>
              </w:rPr>
            </w:pPr>
            <w:r>
              <w:rPr>
                <w:rFonts w:ascii="Arial" w:cs="Arial" w:eastAsia="Arial" w:hAnsi="Arial"/>
                <w:sz w:val="18"/>
                <w:szCs w:val="18"/>
                <w:b w:val="1"/>
                <w:bCs w:val="1"/>
                <w:color w:val="auto"/>
              </w:rPr>
              <w:t>37-1078406</w:t>
            </w:r>
          </w:p>
        </w:tc>
      </w:tr>
      <w:tr>
        <w:trPr>
          <w:trHeight w:val="202"/>
        </w:trPr>
        <w:tc>
          <w:tcPr>
            <w:tcW w:w="3960" w:type="dxa"/>
            <w:vAlign w:val="bottom"/>
          </w:tcPr>
          <w:p>
            <w:pPr>
              <w:jc w:val="center"/>
              <w:ind w:right="770"/>
              <w:spacing w:after="0" w:line="202" w:lineRule="exact"/>
              <w:rPr>
                <w:sz w:val="20"/>
                <w:szCs w:val="20"/>
                <w:color w:val="auto"/>
              </w:rPr>
            </w:pPr>
            <w:r>
              <w:rPr>
                <w:rFonts w:ascii="Arial" w:cs="Arial" w:eastAsia="Arial" w:hAnsi="Arial"/>
                <w:sz w:val="18"/>
                <w:szCs w:val="18"/>
                <w:color w:val="auto"/>
                <w:w w:val="92"/>
              </w:rPr>
              <w:t>(State or other jurisdiction of incorporation</w:t>
            </w:r>
          </w:p>
        </w:tc>
        <w:tc>
          <w:tcPr>
            <w:tcW w:w="3480" w:type="dxa"/>
            <w:vAlign w:val="bottom"/>
          </w:tcPr>
          <w:p>
            <w:pPr>
              <w:jc w:val="center"/>
              <w:ind w:left="790"/>
              <w:spacing w:after="0" w:line="202" w:lineRule="exact"/>
              <w:rPr>
                <w:sz w:val="20"/>
                <w:szCs w:val="20"/>
                <w:color w:val="auto"/>
              </w:rPr>
            </w:pPr>
            <w:r>
              <w:rPr>
                <w:rFonts w:ascii="Arial" w:cs="Arial" w:eastAsia="Arial" w:hAnsi="Arial"/>
                <w:sz w:val="18"/>
                <w:szCs w:val="18"/>
                <w:color w:val="auto"/>
                <w:w w:val="93"/>
              </w:rPr>
              <w:t>(I.R.S. Employer Identification No.)</w:t>
            </w:r>
          </w:p>
        </w:tc>
      </w:tr>
      <w:tr>
        <w:trPr>
          <w:trHeight w:val="212"/>
        </w:trPr>
        <w:tc>
          <w:tcPr>
            <w:tcW w:w="3960" w:type="dxa"/>
            <w:vAlign w:val="bottom"/>
          </w:tcPr>
          <w:p>
            <w:pPr>
              <w:jc w:val="center"/>
              <w:ind w:right="790"/>
              <w:spacing w:after="0"/>
              <w:rPr>
                <w:sz w:val="20"/>
                <w:szCs w:val="20"/>
                <w:color w:val="auto"/>
              </w:rPr>
            </w:pPr>
            <w:r>
              <w:rPr>
                <w:rFonts w:ascii="Arial" w:cs="Arial" w:eastAsia="Arial" w:hAnsi="Arial"/>
                <w:sz w:val="18"/>
                <w:szCs w:val="18"/>
                <w:color w:val="auto"/>
                <w:w w:val="92"/>
              </w:rPr>
              <w:t>or organization)</w:t>
            </w:r>
          </w:p>
        </w:tc>
        <w:tc>
          <w:tcPr>
            <w:tcW w:w="3480" w:type="dxa"/>
            <w:vAlign w:val="bottom"/>
          </w:tcPr>
          <w:p>
            <w:pPr>
              <w:spacing w:after="0"/>
              <w:rPr>
                <w:sz w:val="18"/>
                <w:szCs w:val="18"/>
                <w:color w:val="auto"/>
              </w:rPr>
            </w:pPr>
          </w:p>
        </w:tc>
      </w:tr>
      <w:tr>
        <w:trPr>
          <w:trHeight w:val="203"/>
        </w:trPr>
        <w:tc>
          <w:tcPr>
            <w:tcW w:w="3960" w:type="dxa"/>
            <w:vAlign w:val="bottom"/>
          </w:tcPr>
          <w:p>
            <w:pPr>
              <w:jc w:val="center"/>
              <w:ind w:right="770"/>
              <w:spacing w:after="0" w:line="202" w:lineRule="exact"/>
              <w:rPr>
                <w:sz w:val="20"/>
                <w:szCs w:val="20"/>
                <w:color w:val="auto"/>
              </w:rPr>
            </w:pPr>
            <w:r>
              <w:rPr>
                <w:rFonts w:ascii="Arial" w:cs="Arial" w:eastAsia="Arial" w:hAnsi="Arial"/>
                <w:sz w:val="18"/>
                <w:szCs w:val="18"/>
                <w:b w:val="1"/>
                <w:bCs w:val="1"/>
                <w:color w:val="auto"/>
                <w:w w:val="90"/>
              </w:rPr>
              <w:t>100 W. University Ave.</w:t>
            </w:r>
          </w:p>
        </w:tc>
        <w:tc>
          <w:tcPr>
            <w:tcW w:w="3480" w:type="dxa"/>
            <w:vAlign w:val="bottom"/>
          </w:tcPr>
          <w:p>
            <w:pPr>
              <w:spacing w:after="0"/>
              <w:rPr>
                <w:sz w:val="17"/>
                <w:szCs w:val="17"/>
                <w:color w:val="auto"/>
              </w:rPr>
            </w:pPr>
          </w:p>
        </w:tc>
      </w:tr>
      <w:tr>
        <w:trPr>
          <w:trHeight w:val="207"/>
        </w:trPr>
        <w:tc>
          <w:tcPr>
            <w:tcW w:w="3960" w:type="dxa"/>
            <w:vAlign w:val="bottom"/>
          </w:tcPr>
          <w:p>
            <w:pPr>
              <w:jc w:val="center"/>
              <w:ind w:right="790"/>
              <w:spacing w:after="0"/>
              <w:rPr>
                <w:sz w:val="20"/>
                <w:szCs w:val="20"/>
                <w:color w:val="auto"/>
              </w:rPr>
            </w:pPr>
            <w:r>
              <w:rPr>
                <w:rFonts w:ascii="Arial" w:cs="Arial" w:eastAsia="Arial" w:hAnsi="Arial"/>
                <w:sz w:val="18"/>
                <w:szCs w:val="18"/>
                <w:b w:val="1"/>
                <w:bCs w:val="1"/>
                <w:color w:val="auto"/>
                <w:w w:val="92"/>
              </w:rPr>
              <w:t>Champaign, Illinois</w:t>
            </w:r>
          </w:p>
        </w:tc>
        <w:tc>
          <w:tcPr>
            <w:tcW w:w="3480" w:type="dxa"/>
            <w:vAlign w:val="bottom"/>
          </w:tcPr>
          <w:p>
            <w:pPr>
              <w:jc w:val="right"/>
              <w:ind w:right="990"/>
              <w:spacing w:after="0"/>
              <w:rPr>
                <w:sz w:val="20"/>
                <w:szCs w:val="20"/>
                <w:color w:val="auto"/>
              </w:rPr>
            </w:pPr>
            <w:r>
              <w:rPr>
                <w:rFonts w:ascii="Arial" w:cs="Arial" w:eastAsia="Arial" w:hAnsi="Arial"/>
                <w:sz w:val="18"/>
                <w:szCs w:val="18"/>
                <w:b w:val="1"/>
                <w:bCs w:val="1"/>
                <w:color w:val="auto"/>
              </w:rPr>
              <w:t>61820</w:t>
            </w:r>
          </w:p>
        </w:tc>
      </w:tr>
      <w:tr>
        <w:trPr>
          <w:trHeight w:val="230"/>
        </w:trPr>
        <w:tc>
          <w:tcPr>
            <w:tcW w:w="3960" w:type="dxa"/>
            <w:vAlign w:val="bottom"/>
          </w:tcPr>
          <w:p>
            <w:pPr>
              <w:jc w:val="center"/>
              <w:ind w:right="79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jc w:val="center"/>
              <w:ind w:left="790"/>
              <w:spacing w:after="0"/>
              <w:rPr>
                <w:sz w:val="20"/>
                <w:szCs w:val="20"/>
                <w:color w:val="auto"/>
              </w:rPr>
            </w:pPr>
            <w:r>
              <w:rPr>
                <w:rFonts w:ascii="Arial" w:cs="Arial" w:eastAsia="Arial" w:hAnsi="Arial"/>
                <w:sz w:val="18"/>
                <w:szCs w:val="18"/>
                <w:color w:val="auto"/>
                <w:w w:val="93"/>
              </w:rPr>
              <w:t>(Zip code)</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0" w:lineRule="exact"/>
        <w:rPr>
          <w:sz w:val="24"/>
          <w:szCs w:val="24"/>
          <w:color w:val="auto"/>
        </w:rPr>
      </w:pPr>
    </w:p>
    <w:tbl>
      <w:tblPr>
        <w:tblLayout w:type="fixed"/>
        <w:tblInd w:w="60" w:type="dxa"/>
        <w:tblCellMar>
          <w:top w:w="0" w:type="dxa"/>
          <w:left w:w="0" w:type="dxa"/>
          <w:bottom w:w="0" w:type="dxa"/>
          <w:right w:w="0" w:type="dxa"/>
        </w:tblCellMar>
      </w:tblPr>
      <w:tr>
        <w:trPr>
          <w:trHeight w:val="221"/>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 (s)</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82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BUSE</w:t>
            </w:r>
          </w:p>
        </w:tc>
        <w:tc>
          <w:tcPr>
            <w:tcW w:w="40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52" w:lineRule="exact"/>
        <w:rPr>
          <w:sz w:val="24"/>
          <w:szCs w:val="24"/>
          <w:color w:val="auto"/>
        </w:rPr>
      </w:pPr>
    </w:p>
    <w:p>
      <w:pPr>
        <w:ind w:left="60" w:right="399"/>
        <w:spacing w:after="0" w:line="21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left="60" w:right="239"/>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ind w:left="60" w:right="219"/>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sectPr>
      </w:pPr>
    </w:p>
    <w:p>
      <w:pPr>
        <w:spacing w:after="0" w:line="56" w:lineRule="exact"/>
        <w:rPr>
          <w:sz w:val="24"/>
          <w:szCs w:val="24"/>
          <w:color w:val="auto"/>
        </w:rPr>
      </w:pPr>
    </w:p>
    <w:p>
      <w:pPr>
        <w:ind w:left="500"/>
        <w:spacing w:after="0" w:line="324" w:lineRule="auto"/>
        <w:rPr>
          <w:sz w:val="20"/>
          <w:szCs w:val="20"/>
          <w:color w:val="auto"/>
        </w:rPr>
      </w:pPr>
      <w:r>
        <w:rPr>
          <w:rFonts w:ascii="Arial" w:cs="Arial" w:eastAsia="Arial" w:hAnsi="Arial"/>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both"/>
        <w:ind w:right="200" w:firstLine="762"/>
        <w:spacing w:after="0" w:line="243"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348" w:lineRule="exact"/>
        <w:rPr>
          <w:sz w:val="24"/>
          <w:szCs w:val="24"/>
          <w:color w:val="auto"/>
        </w:rPr>
      </w:pPr>
    </w:p>
    <w:p>
      <w:pPr>
        <w:sectPr>
          <w:pgSz w:w="11900" w:h="16838" w:orient="portrait"/>
          <w:cols w:equalWidth="0" w:num="4">
            <w:col w:w="2480" w:space="160"/>
            <w:col w:w="320" w:space="720"/>
            <w:col w:w="2380" w:space="720"/>
            <w:col w:w="2239"/>
          </w:cols>
          <w:pgMar w:left="1440" w:top="665" w:right="1440" w:bottom="1440" w:gutter="0" w:footer="0" w:header="0"/>
          <w:type w:val="continuous"/>
        </w:sectPr>
      </w:pPr>
    </w:p>
    <w:p>
      <w:pPr>
        <w:jc w:val="both"/>
        <w:ind w:left="60" w:right="439"/>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7" w:lineRule="exact"/>
        <w:rPr>
          <w:sz w:val="24"/>
          <w:szCs w:val="24"/>
          <w:color w:val="auto"/>
        </w:rPr>
      </w:pPr>
    </w:p>
    <w:p>
      <w:pPr>
        <w:ind w:left="6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w:t>
      </w:r>
    </w:p>
    <w:p>
      <w:pPr>
        <w:spacing w:after="0" w:line="16" w:lineRule="exact"/>
        <w:rPr>
          <w:sz w:val="24"/>
          <w:szCs w:val="24"/>
          <w:color w:val="auto"/>
        </w:rPr>
      </w:pPr>
    </w:p>
    <w:p>
      <w:pPr>
        <w:ind w:left="300" w:hanging="250"/>
        <w:spacing w:after="0" w:line="207" w:lineRule="exact"/>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81"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3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Class</w:t>
            </w:r>
          </w:p>
        </w:tc>
        <w:tc>
          <w:tcPr>
            <w:tcW w:w="434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9"/>
              </w:rPr>
              <w:t>Outstanding at August 5, 2021</w:t>
            </w:r>
          </w:p>
        </w:tc>
      </w:tr>
      <w:tr>
        <w:trPr>
          <w:trHeight w:val="210"/>
        </w:trPr>
        <w:tc>
          <w:tcPr>
            <w:tcW w:w="920" w:type="dxa"/>
            <w:vAlign w:val="bottom"/>
            <w:tcBorders>
              <w:bottom w:val="single" w:sz="8" w:color="auto"/>
            </w:tcBorders>
          </w:tcPr>
          <w:p>
            <w:pPr>
              <w:spacing w:after="0"/>
              <w:rPr>
                <w:sz w:val="18"/>
                <w:szCs w:val="18"/>
                <w:color w:val="auto"/>
              </w:rPr>
            </w:pPr>
          </w:p>
        </w:tc>
        <w:tc>
          <w:tcPr>
            <w:tcW w:w="3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60" w:type="dxa"/>
            <w:vAlign w:val="bottom"/>
            <w:tcBorders>
              <w:bottom w:val="single" w:sz="8" w:color="auto"/>
            </w:tcBorders>
          </w:tcPr>
          <w:p>
            <w:pPr>
              <w:spacing w:after="0"/>
              <w:rPr>
                <w:sz w:val="18"/>
                <w:szCs w:val="18"/>
                <w:color w:val="auto"/>
              </w:rPr>
            </w:pPr>
          </w:p>
        </w:tc>
        <w:tc>
          <w:tcPr>
            <w:tcW w:w="344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rPr>
              <w:t>56,267,775</w:t>
            </w:r>
          </w:p>
        </w:tc>
        <w:tc>
          <w:tcPr>
            <w:tcW w:w="900" w:type="dxa"/>
            <w:vAlign w:val="bottom"/>
            <w:tcBorders>
              <w:bottom w:val="single" w:sz="8" w:color="auto"/>
            </w:tcBorders>
          </w:tcPr>
          <w:p>
            <w:pPr>
              <w:spacing w:after="0"/>
              <w:rPr>
                <w:sz w:val="18"/>
                <w:szCs w:val="18"/>
                <w:color w:val="auto"/>
              </w:rPr>
            </w:pPr>
          </w:p>
        </w:tc>
      </w:tr>
      <w:tr>
        <w:trPr>
          <w:trHeight w:val="81"/>
        </w:trPr>
        <w:tc>
          <w:tcPr>
            <w:tcW w:w="920" w:type="dxa"/>
            <w:vAlign w:val="bottom"/>
            <w:tcBorders>
              <w:bottom w:val="single" w:sz="8" w:color="auto"/>
            </w:tcBorders>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of Contents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80" w:type="dxa"/>
            <w:vAlign w:val="bottom"/>
            <w:gridSpan w:val="22"/>
          </w:tcPr>
          <w:p>
            <w:pPr>
              <w:spacing w:after="0"/>
              <w:rPr>
                <w:sz w:val="20"/>
                <w:szCs w:val="20"/>
                <w:color w:val="auto"/>
              </w:rPr>
            </w:pPr>
            <w:r>
              <w:rPr>
                <w:rFonts w:ascii="Arial" w:cs="Arial" w:eastAsia="Arial" w:hAnsi="Arial"/>
                <w:sz w:val="18"/>
                <w:szCs w:val="18"/>
                <w:color w:val="auto"/>
              </w:rPr>
              <w:t>GLOSSARY</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60" w:type="dxa"/>
            <w:vAlign w:val="bottom"/>
          </w:tcPr>
          <w:p>
            <w:pPr>
              <w:spacing w:after="0"/>
              <w:rPr>
                <w:rFonts w:ascii="Arial" w:cs="Arial" w:eastAsia="Arial" w:hAnsi="Arial"/>
                <w:sz w:val="18"/>
                <w:szCs w:val="18"/>
                <w:b w:val="1"/>
                <w:bCs w:val="1"/>
                <w:color w:val="0000EE"/>
                <w:w w:val="97"/>
              </w:rPr>
            </w:pPr>
            <w:hyperlink w:anchor="page5">
              <w:r>
                <w:rPr>
                  <w:rFonts w:ascii="Arial" w:cs="Arial" w:eastAsia="Arial" w:hAnsi="Arial"/>
                  <w:sz w:val="18"/>
                  <w:szCs w:val="18"/>
                  <w:b w:val="1"/>
                  <w:bCs w:val="1"/>
                  <w:color w:val="0000EE"/>
                  <w:w w:val="97"/>
                </w:rPr>
                <w:t>Part I</w:t>
              </w:r>
            </w:hyperlink>
          </w:p>
        </w:tc>
        <w:tc>
          <w:tcPr>
            <w:tcW w:w="280" w:type="dxa"/>
            <w:vAlign w:val="bottom"/>
            <w:gridSpan w:val="5"/>
          </w:tcPr>
          <w:p>
            <w:pPr>
              <w:spacing w:after="0"/>
              <w:rPr>
                <w:sz w:val="24"/>
                <w:szCs w:val="24"/>
                <w:color w:val="auto"/>
              </w:rPr>
            </w:pPr>
          </w:p>
        </w:tc>
        <w:tc>
          <w:tcPr>
            <w:tcW w:w="6680" w:type="dxa"/>
            <w:vAlign w:val="bottom"/>
            <w:gridSpan w:val="2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66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BALANCE SHEETS</w:t>
              </w:r>
            </w:hyperlink>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CONSOLIDATED STATEMENTS OF</w:t>
              </w:r>
            </w:hyperlink>
          </w:p>
        </w:tc>
        <w:tc>
          <w:tcPr>
            <w:tcW w:w="620" w:type="dxa"/>
            <w:vAlign w:val="bottom"/>
            <w:tcBorders>
              <w:bottom w:val="single" w:sz="8" w:color="0000EE"/>
            </w:tcBorders>
            <w:gridSpan w:val="3"/>
          </w:tcPr>
          <w:p>
            <w:pPr>
              <w:spacing w:after="0" w:line="182" w:lineRule="exact"/>
              <w:rPr>
                <w:rFonts w:ascii="Arial" w:cs="Arial" w:eastAsia="Arial" w:hAnsi="Arial"/>
                <w:sz w:val="18"/>
                <w:szCs w:val="18"/>
                <w:color w:val="0000EE"/>
                <w:w w:val="83"/>
              </w:rPr>
            </w:pPr>
            <w:hyperlink w:anchor="page7">
              <w:r>
                <w:rPr>
                  <w:rFonts w:ascii="Arial" w:cs="Arial" w:eastAsia="Arial" w:hAnsi="Arial"/>
                  <w:sz w:val="18"/>
                  <w:szCs w:val="18"/>
                  <w:color w:val="0000EE"/>
                  <w:w w:val="83"/>
                </w:rPr>
                <w:t>INCOME</w:t>
              </w:r>
            </w:hyperlink>
          </w:p>
        </w:tc>
        <w:tc>
          <w:tcPr>
            <w:tcW w:w="3100" w:type="dxa"/>
            <w:vAlign w:val="bottom"/>
            <w:gridSpan w:val="7"/>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80" w:type="dxa"/>
            <w:vAlign w:val="bottom"/>
            <w:gridSpan w:val="22"/>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COMPREHENSIVE INCOME</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40" w:type="dxa"/>
            <w:vAlign w:val="bottom"/>
            <w:tcBorders>
              <w:top w:val="single" w:sz="8" w:color="0000EE"/>
            </w:tcBorders>
            <w:gridSpan w:val="18"/>
          </w:tcPr>
          <w:p>
            <w:pPr>
              <w:spacing w:after="0" w:line="182"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CONSOLIDATED STATEMENTS OF STOCKHOLDERS’ EQUITY</w:t>
              </w:r>
            </w:hyperlink>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CONSOLIDATED STATEMENTS OF CASH FLOWS</w:t>
              </w:r>
            </w:hyperlink>
          </w:p>
        </w:tc>
        <w:tc>
          <w:tcPr>
            <w:tcW w:w="52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6"/>
            <w:vMerge w:val="restart"/>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2.</w:t>
              </w:r>
            </w:hyperlink>
          </w:p>
        </w:tc>
        <w:tc>
          <w:tcPr>
            <w:tcW w:w="5580" w:type="dxa"/>
            <w:vAlign w:val="bottom"/>
            <w:tcBorders>
              <w:bottom w:val="single" w:sz="8" w:color="0000EE"/>
            </w:tcBorders>
            <w:gridSpan w:val="19"/>
          </w:tcPr>
          <w:p>
            <w:pPr>
              <w:spacing w:after="0" w:line="182"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NOTES TO UNAUDITED CONSOLIDATED FINANCIAL STATEMENTS</w:t>
              </w:r>
            </w:hyperlink>
          </w:p>
        </w:tc>
        <w:tc>
          <w:tcPr>
            <w:tcW w:w="1100" w:type="dxa"/>
            <w:vAlign w:val="bottom"/>
            <w:gridSpan w:val="3"/>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6"/>
            <w:vMerge w:val="continue"/>
          </w:tcPr>
          <w:p>
            <w:pPr>
              <w:spacing w:after="0"/>
              <w:rPr>
                <w:sz w:val="15"/>
                <w:szCs w:val="15"/>
                <w:color w:val="auto"/>
              </w:rPr>
            </w:pPr>
          </w:p>
        </w:tc>
        <w:tc>
          <w:tcPr>
            <w:tcW w:w="6680" w:type="dxa"/>
            <w:vAlign w:val="bottom"/>
            <w:gridSpan w:val="22"/>
          </w:tcPr>
          <w:p>
            <w:pPr>
              <w:spacing w:after="0" w:line="182" w:lineRule="exact"/>
              <w:rPr>
                <w:rFonts w:ascii="Arial" w:cs="Arial" w:eastAsia="Arial" w:hAnsi="Arial"/>
                <w:sz w:val="18"/>
                <w:szCs w:val="18"/>
                <w:color w:val="0000EE"/>
                <w:w w:val="98"/>
              </w:rPr>
            </w:pPr>
            <w:hyperlink w:anchor="page46">
              <w:r>
                <w:rPr>
                  <w:rFonts w:ascii="Arial" w:cs="Arial" w:eastAsia="Arial" w:hAnsi="Arial"/>
                  <w:sz w:val="18"/>
                  <w:szCs w:val="18"/>
                  <w:color w:val="0000EE"/>
                  <w:w w:val="98"/>
                </w:rPr>
                <w:t>MANAGEMENT’S DISCUSSION AND ANALYSIS OF FINANCIAL CONDITION AND</w:t>
              </w:r>
            </w:hyperlink>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RESULTS OF OPERATIONS</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6"/>
            <w:vMerge w:val="restart"/>
          </w:tcPr>
          <w:p>
            <w:pPr>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Item 3.</w:t>
              </w:r>
            </w:hyperlink>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6"/>
            <w:vMerge w:val="continue"/>
          </w:tcPr>
          <w:p>
            <w:pPr>
              <w:spacing w:after="0"/>
              <w:rPr>
                <w:sz w:val="15"/>
                <w:szCs w:val="15"/>
                <w:color w:val="auto"/>
              </w:rPr>
            </w:pPr>
          </w:p>
        </w:tc>
        <w:tc>
          <w:tcPr>
            <w:tcW w:w="6680" w:type="dxa"/>
            <w:vAlign w:val="bottom"/>
            <w:gridSpan w:val="22"/>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QUANTITATIVE AND QUALITATIVE DISCLOSURES ABOUT MARKET RISK</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Item 4.</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CONTROLS AND PROCEDURES</w:t>
              </w:r>
            </w:hyperlink>
          </w:p>
        </w:tc>
        <w:tc>
          <w:tcPr>
            <w:tcW w:w="3540" w:type="dxa"/>
            <w:vAlign w:val="bottom"/>
            <w:tcBorders>
              <w:top w:val="single" w:sz="8" w:color="0000EE"/>
            </w:tcBorders>
            <w:gridSpan w:val="10"/>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gridSpan w:val="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II</w:t>
              </w:r>
            </w:hyperlink>
          </w:p>
        </w:tc>
        <w:tc>
          <w:tcPr>
            <w:tcW w:w="200" w:type="dxa"/>
            <w:vAlign w:val="bottom"/>
            <w:gridSpan w:val="2"/>
          </w:tcPr>
          <w:p>
            <w:pPr>
              <w:spacing w:after="0"/>
              <w:rPr>
                <w:sz w:val="24"/>
                <w:szCs w:val="24"/>
                <w:color w:val="auto"/>
              </w:rPr>
            </w:pPr>
          </w:p>
        </w:tc>
        <w:tc>
          <w:tcPr>
            <w:tcW w:w="6680" w:type="dxa"/>
            <w:vAlign w:val="bottom"/>
            <w:gridSpan w:val="22"/>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OTHER INFORMATION</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Item 1.</w:t>
              </w:r>
            </w:hyperlink>
          </w:p>
        </w:tc>
        <w:tc>
          <w:tcPr>
            <w:tcW w:w="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6680" w:type="dxa"/>
            <w:vAlign w:val="bottom"/>
            <w:gridSpan w:val="2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LEGAL PROCEEDINGS</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gridSpan w:val="4"/>
            <w:vMerge w:val="restart"/>
          </w:tcPr>
          <w:p>
            <w:pPr>
              <w:spacing w:after="0" w:line="20" w:lineRule="exact"/>
              <w:rPr>
                <w:sz w:val="1"/>
                <w:szCs w:val="1"/>
                <w:color w:val="auto"/>
              </w:rPr>
            </w:pPr>
          </w:p>
        </w:tc>
        <w:tc>
          <w:tcPr>
            <w:tcW w:w="740" w:type="dxa"/>
            <w:vAlign w:val="bottom"/>
            <w:gridSpan w:val="3"/>
            <w:vMerge w:val="restart"/>
          </w:tcPr>
          <w:p>
            <w:pPr>
              <w:spacing w:after="0" w:line="20" w:lineRule="exact"/>
              <w:rPr>
                <w:sz w:val="1"/>
                <w:szCs w:val="1"/>
                <w:color w:val="auto"/>
              </w:rPr>
            </w:pPr>
          </w:p>
        </w:tc>
        <w:tc>
          <w:tcPr>
            <w:tcW w:w="2880" w:type="dxa"/>
            <w:vAlign w:val="bottom"/>
            <w:gridSpan w:val="7"/>
            <w:vMerge w:val="restart"/>
          </w:tcPr>
          <w:p>
            <w:pPr>
              <w:spacing w:after="0" w:line="20" w:lineRule="exact"/>
              <w:rPr>
                <w:sz w:val="1"/>
                <w:szCs w:val="1"/>
                <w:color w:val="auto"/>
              </w:rPr>
            </w:pPr>
          </w:p>
        </w:tc>
        <w:tc>
          <w:tcPr>
            <w:tcW w:w="620" w:type="dxa"/>
            <w:vAlign w:val="bottom"/>
            <w:gridSpan w:val="2"/>
            <w:vMerge w:val="restart"/>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6"/>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Item 1A</w:t>
              </w:r>
            </w:hyperlink>
          </w:p>
        </w:tc>
        <w:tc>
          <w:tcPr>
            <w:tcW w:w="20" w:type="dxa"/>
            <w:vAlign w:val="bottom"/>
            <w:vMerge w:val="continue"/>
          </w:tcPr>
          <w:p>
            <w:pPr>
              <w:spacing w:after="0"/>
              <w:rPr>
                <w:sz w:val="15"/>
                <w:szCs w:val="15"/>
                <w:color w:val="auto"/>
              </w:rPr>
            </w:pPr>
          </w:p>
        </w:tc>
        <w:tc>
          <w:tcPr>
            <w:tcW w:w="1860" w:type="dxa"/>
            <w:vAlign w:val="bottom"/>
            <w:gridSpan w:val="4"/>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RISK FACTORS</w:t>
              </w:r>
            </w:hyperlink>
          </w:p>
        </w:tc>
        <w:tc>
          <w:tcPr>
            <w:tcW w:w="20" w:type="dxa"/>
            <w:vAlign w:val="bottom"/>
            <w:vMerge w:val="continue"/>
          </w:tcPr>
          <w:p>
            <w:pPr>
              <w:spacing w:after="0"/>
              <w:rPr>
                <w:sz w:val="15"/>
                <w:szCs w:val="15"/>
                <w:color w:val="auto"/>
              </w:rPr>
            </w:pPr>
          </w:p>
        </w:tc>
        <w:tc>
          <w:tcPr>
            <w:tcW w:w="540" w:type="dxa"/>
            <w:vAlign w:val="bottom"/>
            <w:gridSpan w:val="4"/>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880" w:type="dxa"/>
            <w:vAlign w:val="bottom"/>
            <w:gridSpan w:val="7"/>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Item 2.</w:t>
              </w:r>
            </w:hyperlink>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top w:val="single" w:sz="8" w:color="0000EE"/>
            </w:tcBorders>
            <w:gridSpan w:val="3"/>
          </w:tcPr>
          <w:p>
            <w:pPr>
              <w:spacing w:after="0" w:line="182" w:lineRule="exact"/>
              <w:rPr>
                <w:rFonts w:ascii="Arial" w:cs="Arial" w:eastAsia="Arial" w:hAnsi="Arial"/>
                <w:sz w:val="18"/>
                <w:szCs w:val="18"/>
                <w:color w:val="0000EE"/>
                <w:w w:val="83"/>
              </w:rPr>
            </w:pPr>
            <w:hyperlink w:anchor="page72">
              <w:r>
                <w:rPr>
                  <w:rFonts w:ascii="Arial" w:cs="Arial" w:eastAsia="Arial" w:hAnsi="Arial"/>
                  <w:sz w:val="18"/>
                  <w:szCs w:val="18"/>
                  <w:color w:val="0000EE"/>
                  <w:w w:val="83"/>
                </w:rPr>
                <w:t>UNREGISTERED</w:t>
              </w:r>
            </w:hyperlink>
          </w:p>
        </w:tc>
        <w:tc>
          <w:tcPr>
            <w:tcW w:w="5440" w:type="dxa"/>
            <w:vAlign w:val="bottom"/>
            <w:gridSpan w:val="18"/>
          </w:tcPr>
          <w:p>
            <w:pPr>
              <w:ind w:left="160"/>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SALES OF EQUITY SECURITIES AND USE OF PROCEEDS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3"/>
          </w:tcPr>
          <w:p>
            <w:pPr>
              <w:spacing w:after="0" w:line="182"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Item 3.</w:t>
              </w:r>
            </w:hyperlink>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4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DEFAULTS UPON SENIOR SECURITIES</w:t>
              </w:r>
            </w:hyperlink>
          </w:p>
        </w:tc>
        <w:tc>
          <w:tcPr>
            <w:tcW w:w="620" w:type="dxa"/>
            <w:vAlign w:val="bottom"/>
            <w:gridSpan w:val="2"/>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3"/>
          </w:tcPr>
          <w:p>
            <w:pPr>
              <w:spacing w:after="0" w:line="182"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Item 4.</w:t>
              </w:r>
            </w:hyperlink>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31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MINE SAFETY DISCLOSURES</w:t>
              </w:r>
            </w:hyperlink>
          </w:p>
        </w:tc>
        <w:tc>
          <w:tcPr>
            <w:tcW w:w="3500" w:type="dxa"/>
            <w:vAlign w:val="bottom"/>
            <w:gridSpan w:val="9"/>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3"/>
          </w:tcPr>
          <w:p>
            <w:pPr>
              <w:spacing w:after="0" w:line="182"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Item 5.</w:t>
              </w:r>
            </w:hyperlink>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4240" w:type="dxa"/>
            <w:vAlign w:val="bottom"/>
            <w:gridSpan w:val="12"/>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Item 6.</w:t>
              </w:r>
            </w:hyperlink>
          </w:p>
        </w:tc>
        <w:tc>
          <w:tcPr>
            <w:tcW w:w="20" w:type="dxa"/>
            <w:vAlign w:val="bottom"/>
            <w:tcBorders>
              <w:top w:val="single" w:sz="8" w:color="0000EE"/>
            </w:tcBorders>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5"/>
              </w:rPr>
            </w:pPr>
            <w:hyperlink w:anchor="page73">
              <w:r>
                <w:rPr>
                  <w:rFonts w:ascii="Arial" w:cs="Arial" w:eastAsia="Arial" w:hAnsi="Arial"/>
                  <w:sz w:val="18"/>
                  <w:szCs w:val="18"/>
                  <w:color w:val="0000EE"/>
                  <w:w w:val="95"/>
                </w:rPr>
                <w:t>EXHIBITS</w:t>
              </w:r>
            </w:hyperlink>
          </w:p>
        </w:tc>
        <w:tc>
          <w:tcPr>
            <w:tcW w:w="1080" w:type="dxa"/>
            <w:vAlign w:val="bottom"/>
            <w:tcBorders>
              <w:top w:val="single" w:sz="8" w:color="0000EE"/>
            </w:tcBorders>
            <w:gridSpan w:val="4"/>
          </w:tcPr>
          <w:p>
            <w:pPr>
              <w:spacing w:after="0"/>
              <w:rPr>
                <w:sz w:val="15"/>
                <w:szCs w:val="15"/>
                <w:color w:val="auto"/>
              </w:rPr>
            </w:pPr>
          </w:p>
        </w:tc>
        <w:tc>
          <w:tcPr>
            <w:tcW w:w="4780" w:type="dxa"/>
            <w:vAlign w:val="bottom"/>
            <w:gridSpan w:val="16"/>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Borders>
              <w:bottom w:val="single" w:sz="8" w:color="0000EE"/>
            </w:tcBorders>
            <w:gridSpan w:val="2"/>
          </w:tcPr>
          <w:p>
            <w:pPr>
              <w:spacing w:after="0" w:line="182"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SIGNATURES</w:t>
              </w:r>
            </w:hyperlink>
          </w:p>
        </w:tc>
        <w:tc>
          <w:tcPr>
            <w:tcW w:w="5580" w:type="dxa"/>
            <w:vAlign w:val="bottom"/>
            <w:gridSpan w:val="19"/>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gridSpan w:val="16"/>
          </w:tcPr>
          <w:p>
            <w:pPr>
              <w:ind w:left="3660"/>
              <w:spacing w:after="0"/>
              <w:rPr>
                <w:sz w:val="20"/>
                <w:szCs w:val="20"/>
                <w:color w:val="auto"/>
              </w:rPr>
            </w:pPr>
            <w:r>
              <w:rPr>
                <w:rFonts w:ascii="Arial" w:cs="Arial" w:eastAsia="Arial" w:hAnsi="Arial"/>
                <w:sz w:val="18"/>
                <w:szCs w:val="18"/>
                <w:color w:val="auto"/>
              </w:rPr>
              <w:t>2</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GLOSSARY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use acronyms, abbreviations, and other terms throughout this Quarterly Report, as defined in the glossary below:</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r>
      <w:tr>
        <w:trPr>
          <w:trHeight w:val="196"/>
        </w:trPr>
        <w:tc>
          <w:tcPr>
            <w:tcW w:w="22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2020 Equity Plan</w:t>
            </w:r>
          </w:p>
        </w:tc>
        <w:tc>
          <w:tcPr>
            <w:tcW w:w="280" w:type="dxa"/>
            <w:vAlign w:val="bottom"/>
            <w:tcBorders>
              <w:top w:val="single" w:sz="8" w:color="CCEEFF"/>
            </w:tcBorders>
            <w:shd w:val="clear" w:color="auto" w:fill="CCEEFF"/>
          </w:tcPr>
          <w:p>
            <w:pPr>
              <w:spacing w:after="0"/>
              <w:rPr>
                <w:sz w:val="17"/>
                <w:szCs w:val="17"/>
                <w:color w:val="auto"/>
              </w:rPr>
            </w:pPr>
          </w:p>
        </w:tc>
        <w:tc>
          <w:tcPr>
            <w:tcW w:w="6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First Busey's 2020 Equity Incentive Plan</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2020 Annual Report</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Annual report for the year ended December 31, 2020</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ACL</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credit losses</w:t>
            </w:r>
          </w:p>
        </w:tc>
        <w:tc>
          <w:tcPr>
            <w:tcW w:w="20" w:type="dxa"/>
            <w:vAlign w:val="bottom"/>
          </w:tcPr>
          <w:p>
            <w:pPr>
              <w:spacing w:after="0"/>
              <w:rPr>
                <w:sz w:val="17"/>
                <w:szCs w:val="17"/>
                <w:color w:val="auto"/>
              </w:rPr>
            </w:pPr>
          </w:p>
        </w:tc>
      </w:tr>
      <w:tr>
        <w:trPr>
          <w:trHeight w:val="188"/>
        </w:trPr>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Annual Report</w:t>
            </w:r>
          </w:p>
        </w:tc>
        <w:tc>
          <w:tcPr>
            <w:tcW w:w="6400" w:type="dxa"/>
            <w:vAlign w:val="bottom"/>
          </w:tcPr>
          <w:p>
            <w:pPr>
              <w:spacing w:after="0" w:line="189" w:lineRule="exact"/>
              <w:rPr>
                <w:sz w:val="20"/>
                <w:szCs w:val="20"/>
                <w:color w:val="auto"/>
              </w:rPr>
            </w:pPr>
            <w:r>
              <w:rPr>
                <w:rFonts w:ascii="Arial" w:cs="Arial" w:eastAsia="Arial" w:hAnsi="Arial"/>
                <w:sz w:val="18"/>
                <w:szCs w:val="18"/>
                <w:color w:val="auto"/>
                <w:w w:val="94"/>
              </w:rPr>
              <w:t>Annual report filed with the SEC on Form 10-K pursuant to Section 13 or 15(d) of the</w:t>
            </w:r>
          </w:p>
        </w:tc>
        <w:tc>
          <w:tcPr>
            <w:tcW w:w="20" w:type="dxa"/>
            <w:vAlign w:val="bottom"/>
          </w:tcPr>
          <w:p>
            <w:pPr>
              <w:spacing w:after="0"/>
              <w:rPr>
                <w:sz w:val="16"/>
                <w:szCs w:val="16"/>
                <w:color w:val="auto"/>
              </w:rPr>
            </w:pP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Securities Exchange Act of 1934</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ASC</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Accounting Standards Codification</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ASU</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Accounting Standards Update</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Banc Ed</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Banc Ed Corp.</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Banks</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Busey Bank and GSB combined</w:t>
            </w:r>
          </w:p>
        </w:tc>
        <w:tc>
          <w:tcPr>
            <w:tcW w:w="20" w:type="dxa"/>
            <w:vAlign w:val="bottom"/>
          </w:tcPr>
          <w:p>
            <w:pPr>
              <w:spacing w:after="0"/>
              <w:rPr>
                <w:sz w:val="17"/>
                <w:szCs w:val="17"/>
                <w:color w:val="auto"/>
              </w:rPr>
            </w:pPr>
          </w:p>
        </w:tc>
      </w:tr>
      <w:tr>
        <w:trPr>
          <w:trHeight w:val="188"/>
        </w:trPr>
        <w:tc>
          <w:tcPr>
            <w:tcW w:w="2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Basel III</w:t>
            </w: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2010 capital accord adopted by the international Basel Committee on Banking</w:t>
            </w:r>
          </w:p>
        </w:tc>
        <w:tc>
          <w:tcPr>
            <w:tcW w:w="20" w:type="dxa"/>
            <w:vAlign w:val="bottom"/>
          </w:tcPr>
          <w:p>
            <w:pPr>
              <w:spacing w:after="0"/>
              <w:rPr>
                <w:sz w:val="16"/>
                <w:szCs w:val="16"/>
                <w:color w:val="auto"/>
              </w:rPr>
            </w:pP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Supervision</w:t>
            </w:r>
          </w:p>
        </w:tc>
        <w:tc>
          <w:tcPr>
            <w:tcW w:w="20" w:type="dxa"/>
            <w:vAlign w:val="bottom"/>
          </w:tcPr>
          <w:p>
            <w:pPr>
              <w:spacing w:after="0"/>
              <w:rPr>
                <w:sz w:val="18"/>
                <w:szCs w:val="18"/>
                <w:color w:val="auto"/>
              </w:rPr>
            </w:pPr>
          </w:p>
        </w:tc>
      </w:tr>
      <w:tr>
        <w:trPr>
          <w:trHeight w:val="188"/>
        </w:trPr>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Basel III Rule</w:t>
            </w:r>
          </w:p>
        </w:tc>
        <w:tc>
          <w:tcPr>
            <w:tcW w:w="6400" w:type="dxa"/>
            <w:vAlign w:val="bottom"/>
          </w:tcPr>
          <w:p>
            <w:pPr>
              <w:spacing w:after="0" w:line="189" w:lineRule="exact"/>
              <w:rPr>
                <w:sz w:val="20"/>
                <w:szCs w:val="20"/>
                <w:color w:val="auto"/>
              </w:rPr>
            </w:pPr>
            <w:r>
              <w:rPr>
                <w:rFonts w:ascii="Arial" w:cs="Arial" w:eastAsia="Arial" w:hAnsi="Arial"/>
                <w:sz w:val="18"/>
                <w:szCs w:val="18"/>
                <w:color w:val="auto"/>
                <w:w w:val="96"/>
              </w:rPr>
              <w:t>Regulations promulgated by U.S. federal banking agencies – the OCC, the Federal</w:t>
            </w:r>
          </w:p>
        </w:tc>
        <w:tc>
          <w:tcPr>
            <w:tcW w:w="20" w:type="dxa"/>
            <w:vAlign w:val="bottom"/>
          </w:tcPr>
          <w:p>
            <w:pPr>
              <w:spacing w:after="0"/>
              <w:rPr>
                <w:sz w:val="16"/>
                <w:szCs w:val="16"/>
                <w:color w:val="auto"/>
              </w:rPr>
            </w:pPr>
          </w:p>
        </w:tc>
      </w:tr>
      <w:tr>
        <w:trPr>
          <w:trHeight w:val="202"/>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w w:val="91"/>
              </w:rPr>
              <w:t>Reserve, and the FDIC – to both enforce implementation of certain aspects of the Basel</w:t>
            </w: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III capital reforms and effect certain changes required by the Dodd-Frank Act</w:t>
            </w:r>
          </w:p>
        </w:tc>
      </w:tr>
      <w:tr>
        <w:trPr>
          <w:trHeight w:val="202"/>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CAC</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Cummins-American Corp.</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CARES Act</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Coronavirus Aid, Relief, and Economic Security Act</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CECL</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Expected Credit Losses</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COVID-19</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Coronavirus disease 2019</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Dodd-Frank Act</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Dodd-Frank Wall Street Reform and Consumer Protection Act</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DSU</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Deferred stock unit</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Exchange Act</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Securities Exchange Act of 1934, as amended</w:t>
            </w:r>
          </w:p>
        </w:tc>
        <w:tc>
          <w:tcPr>
            <w:tcW w:w="20" w:type="dxa"/>
            <w:vAlign w:val="bottom"/>
          </w:tcPr>
          <w:p>
            <w:pPr>
              <w:spacing w:after="0"/>
              <w:rPr>
                <w:sz w:val="17"/>
                <w:szCs w:val="17"/>
                <w:color w:val="auto"/>
              </w:rPr>
            </w:pPr>
          </w:p>
        </w:tc>
      </w:tr>
      <w:tr>
        <w:trPr>
          <w:trHeight w:val="188"/>
        </w:trPr>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Fair value</w:t>
            </w:r>
          </w:p>
        </w:tc>
        <w:tc>
          <w:tcPr>
            <w:tcW w:w="6400" w:type="dxa"/>
            <w:vAlign w:val="bottom"/>
          </w:tcPr>
          <w:p>
            <w:pPr>
              <w:spacing w:after="0" w:line="189" w:lineRule="exact"/>
              <w:rPr>
                <w:sz w:val="20"/>
                <w:szCs w:val="20"/>
                <w:color w:val="auto"/>
              </w:rPr>
            </w:pPr>
            <w:r>
              <w:rPr>
                <w:rFonts w:ascii="Arial" w:cs="Arial" w:eastAsia="Arial" w:hAnsi="Arial"/>
                <w:sz w:val="18"/>
                <w:szCs w:val="18"/>
                <w:color w:val="auto"/>
                <w:w w:val="96"/>
              </w:rPr>
              <w:t>The price that would be received to sell an asset, or paid to transfer a liability, in an</w:t>
            </w:r>
          </w:p>
        </w:tc>
        <w:tc>
          <w:tcPr>
            <w:tcW w:w="20" w:type="dxa"/>
            <w:vAlign w:val="bottom"/>
          </w:tcPr>
          <w:p>
            <w:pPr>
              <w:spacing w:after="0"/>
              <w:rPr>
                <w:sz w:val="16"/>
                <w:szCs w:val="16"/>
                <w:color w:val="auto"/>
              </w:rPr>
            </w:pPr>
          </w:p>
        </w:tc>
      </w:tr>
      <w:tr>
        <w:trPr>
          <w:trHeight w:val="203"/>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w w:val="92"/>
              </w:rPr>
              <w:t>orderly transaction between market participants at the measurement date, as defined in</w:t>
            </w: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ASC 820</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FASB</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Accounting Standards Board</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FDIC</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Federal Deposit Insurance Corporation</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Federal Reserve</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Board of Governors of the Federal Reserve System</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FHFA</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Federal Housing Finance Agency</w:t>
            </w:r>
          </w:p>
        </w:tc>
        <w:tc>
          <w:tcPr>
            <w:tcW w:w="20" w:type="dxa"/>
            <w:vAlign w:val="bottom"/>
          </w:tcPr>
          <w:p>
            <w:pPr>
              <w:spacing w:after="0"/>
              <w:rPr>
                <w:sz w:val="17"/>
                <w:szCs w:val="17"/>
                <w:color w:val="auto"/>
              </w:rPr>
            </w:pPr>
          </w:p>
        </w:tc>
      </w:tr>
      <w:tr>
        <w:trPr>
          <w:trHeight w:val="202"/>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FHLB</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Home Loan Bank</w:t>
            </w:r>
          </w:p>
        </w:tc>
        <w:tc>
          <w:tcPr>
            <w:tcW w:w="20" w:type="dxa"/>
            <w:vAlign w:val="bottom"/>
          </w:tcPr>
          <w:p>
            <w:pPr>
              <w:spacing w:after="0"/>
              <w:rPr>
                <w:sz w:val="17"/>
                <w:szCs w:val="17"/>
                <w:color w:val="auto"/>
              </w:rPr>
            </w:pPr>
          </w:p>
        </w:tc>
      </w:tr>
      <w:tr>
        <w:trPr>
          <w:trHeight w:val="188"/>
        </w:trPr>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First Busey</w:t>
            </w:r>
          </w:p>
        </w:tc>
        <w:tc>
          <w:tcPr>
            <w:tcW w:w="6400" w:type="dxa"/>
            <w:vAlign w:val="bottom"/>
          </w:tcPr>
          <w:p>
            <w:pPr>
              <w:spacing w:after="0" w:line="189" w:lineRule="exact"/>
              <w:rPr>
                <w:sz w:val="20"/>
                <w:szCs w:val="20"/>
                <w:color w:val="auto"/>
              </w:rPr>
            </w:pPr>
            <w:r>
              <w:rPr>
                <w:rFonts w:ascii="Arial" w:cs="Arial" w:eastAsia="Arial" w:hAnsi="Arial"/>
                <w:sz w:val="18"/>
                <w:szCs w:val="18"/>
                <w:color w:val="auto"/>
                <w:w w:val="92"/>
              </w:rPr>
              <w:t>First Busey Corporation and its wholly-owned consolidated subsidiaries; also, "Busey,"</w:t>
            </w:r>
          </w:p>
        </w:tc>
        <w:tc>
          <w:tcPr>
            <w:tcW w:w="20" w:type="dxa"/>
            <w:vAlign w:val="bottom"/>
          </w:tcPr>
          <w:p>
            <w:pPr>
              <w:spacing w:after="0"/>
              <w:rPr>
                <w:sz w:val="16"/>
                <w:szCs w:val="16"/>
                <w:color w:val="auto"/>
              </w:rPr>
            </w:pP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"the Company," "we," "us," and "our"</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First Busey Risk Management</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Busey Risk Management, Inc.</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FirsTech</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FirsTech, Inc.</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GAAP</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Generally Accepted Accounting Principles</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GSB</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Glenview State Bank</w:t>
            </w:r>
          </w:p>
        </w:tc>
        <w:tc>
          <w:tcPr>
            <w:tcW w:w="20" w:type="dxa"/>
            <w:vAlign w:val="bottom"/>
          </w:tcPr>
          <w:p>
            <w:pPr>
              <w:spacing w:after="0"/>
              <w:rPr>
                <w:sz w:val="17"/>
                <w:szCs w:val="17"/>
                <w:color w:val="auto"/>
              </w:rPr>
            </w:pPr>
          </w:p>
        </w:tc>
      </w:tr>
      <w:tr>
        <w:trPr>
          <w:trHeight w:val="188"/>
        </w:trPr>
        <w:tc>
          <w:tcPr>
            <w:tcW w:w="2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Interagency Statement</w:t>
            </w: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4"/>
              </w:rPr>
              <w:t>Interagency Statement on Loan Modifications and Reporting for Financial Institutions</w:t>
            </w:r>
          </w:p>
        </w:tc>
        <w:tc>
          <w:tcPr>
            <w:tcW w:w="20" w:type="dxa"/>
            <w:vAlign w:val="bottom"/>
          </w:tcPr>
          <w:p>
            <w:pPr>
              <w:spacing w:after="0"/>
              <w:rPr>
                <w:sz w:val="16"/>
                <w:szCs w:val="16"/>
                <w:color w:val="auto"/>
              </w:rPr>
            </w:pPr>
          </w:p>
        </w:tc>
      </w:tr>
      <w:tr>
        <w:trPr>
          <w:trHeight w:val="203"/>
        </w:trPr>
        <w:tc>
          <w:tcPr>
            <w:tcW w:w="2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3"/>
              </w:rPr>
              <w:t>Working with Customers Affected by the Coronavirus, issued on March 22, 2020, and</w:t>
            </w:r>
          </w:p>
        </w:tc>
        <w:tc>
          <w:tcPr>
            <w:tcW w:w="20" w:type="dxa"/>
            <w:vAlign w:val="bottom"/>
          </w:tcPr>
          <w:p>
            <w:pPr>
              <w:spacing w:after="0"/>
              <w:rPr>
                <w:sz w:val="17"/>
                <w:szCs w:val="17"/>
                <w:color w:val="auto"/>
              </w:rPr>
            </w:pP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revised on April 7, 2020</w:t>
            </w:r>
          </w:p>
        </w:tc>
        <w:tc>
          <w:tcPr>
            <w:tcW w:w="20" w:type="dxa"/>
            <w:vAlign w:val="bottom"/>
          </w:tcPr>
          <w:p>
            <w:pPr>
              <w:spacing w:after="0"/>
              <w:rPr>
                <w:sz w:val="18"/>
                <w:szCs w:val="18"/>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LIBOR</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London Interbank Offered Rate</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NM</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 meaningful</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OCI</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OREO</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real estate owned</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PCD</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Purchased credit deteriorated</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PSU</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Performance-based restricted stock unit</w:t>
            </w:r>
          </w:p>
        </w:tc>
        <w:tc>
          <w:tcPr>
            <w:tcW w:w="20" w:type="dxa"/>
            <w:vAlign w:val="bottom"/>
          </w:tcPr>
          <w:p>
            <w:pPr>
              <w:spacing w:after="0"/>
              <w:rPr>
                <w:sz w:val="17"/>
                <w:szCs w:val="17"/>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PPP</w:t>
            </w:r>
          </w:p>
        </w:tc>
        <w:tc>
          <w:tcPr>
            <w:tcW w:w="6400" w:type="dxa"/>
            <w:vAlign w:val="bottom"/>
          </w:tcPr>
          <w:p>
            <w:pPr>
              <w:spacing w:after="0"/>
              <w:rPr>
                <w:sz w:val="20"/>
                <w:szCs w:val="20"/>
                <w:color w:val="auto"/>
              </w:rPr>
            </w:pPr>
            <w:r>
              <w:rPr>
                <w:rFonts w:ascii="Arial" w:cs="Arial" w:eastAsia="Arial" w:hAnsi="Arial"/>
                <w:sz w:val="18"/>
                <w:szCs w:val="18"/>
                <w:color w:val="auto"/>
              </w:rPr>
              <w:t>Paycheck Protection Program</w:t>
            </w:r>
          </w:p>
        </w:tc>
        <w:tc>
          <w:tcPr>
            <w:tcW w:w="20" w:type="dxa"/>
            <w:vAlign w:val="bottom"/>
          </w:tcPr>
          <w:p>
            <w:pPr>
              <w:spacing w:after="0"/>
              <w:rPr>
                <w:sz w:val="20"/>
                <w:szCs w:val="20"/>
                <w:color w:val="auto"/>
              </w:rPr>
            </w:pPr>
          </w:p>
        </w:tc>
      </w:tr>
      <w:tr>
        <w:trPr>
          <w:trHeight w:val="823"/>
        </w:trPr>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0" w:type="dxa"/>
            <w:vAlign w:val="bottom"/>
          </w:tcPr>
          <w:p>
            <w:pPr>
              <w:ind w:left="19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547"/>
        </w:trPr>
        <w:tc>
          <w:tcPr>
            <w:tcW w:w="2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r>
      <w:tr>
        <w:trPr>
          <w:trHeight w:val="182"/>
        </w:trPr>
        <w:tc>
          <w:tcPr>
            <w:tcW w:w="218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Quarterly Report</w:t>
            </w:r>
          </w:p>
        </w:tc>
        <w:tc>
          <w:tcPr>
            <w:tcW w:w="300" w:type="dxa"/>
            <w:vAlign w:val="bottom"/>
            <w:tcBorders>
              <w:top w:val="single" w:sz="8" w:color="CCEEFF"/>
            </w:tcBorders>
            <w:shd w:val="clear" w:color="auto" w:fill="CCEEFF"/>
          </w:tcPr>
          <w:p>
            <w:pPr>
              <w:spacing w:after="0"/>
              <w:rPr>
                <w:sz w:val="15"/>
                <w:szCs w:val="15"/>
                <w:color w:val="auto"/>
              </w:rPr>
            </w:pPr>
          </w:p>
        </w:tc>
        <w:tc>
          <w:tcPr>
            <w:tcW w:w="64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2"/>
              </w:rPr>
              <w:t>Quarterly report filed with the SEC on Form 10-Q pursuant to Section 13 or 15(d) of the</w:t>
            </w:r>
          </w:p>
        </w:tc>
        <w:tc>
          <w:tcPr>
            <w:tcW w:w="20" w:type="dxa"/>
            <w:vAlign w:val="bottom"/>
          </w:tcPr>
          <w:p>
            <w:pPr>
              <w:spacing w:after="0"/>
              <w:rPr>
                <w:sz w:val="15"/>
                <w:szCs w:val="15"/>
                <w:color w:val="auto"/>
              </w:rPr>
            </w:pPr>
          </w:p>
        </w:tc>
      </w:tr>
      <w:tr>
        <w:trPr>
          <w:trHeight w:val="217"/>
        </w:trPr>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Securities Exchange Act of 1934</w:t>
            </w:r>
          </w:p>
        </w:tc>
        <w:tc>
          <w:tcPr>
            <w:tcW w:w="20" w:type="dxa"/>
            <w:vAlign w:val="bottom"/>
          </w:tcPr>
          <w:p>
            <w:pPr>
              <w:spacing w:after="0"/>
              <w:rPr>
                <w:sz w:val="18"/>
                <w:szCs w:val="18"/>
                <w:color w:val="auto"/>
              </w:rPr>
            </w:pPr>
          </w:p>
        </w:tc>
      </w:tr>
      <w:tr>
        <w:trPr>
          <w:trHeight w:val="203"/>
        </w:trPr>
        <w:tc>
          <w:tcPr>
            <w:tcW w:w="2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RSU</w:t>
            </w: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Restricted stock unit</w:t>
            </w:r>
          </w:p>
        </w:tc>
        <w:tc>
          <w:tcPr>
            <w:tcW w:w="20" w:type="dxa"/>
            <w:vAlign w:val="bottom"/>
          </w:tcPr>
          <w:p>
            <w:pPr>
              <w:spacing w:after="0"/>
              <w:rPr>
                <w:sz w:val="17"/>
                <w:szCs w:val="17"/>
                <w:color w:val="auto"/>
              </w:rPr>
            </w:pPr>
          </w:p>
        </w:tc>
      </w:tr>
      <w:tr>
        <w:trPr>
          <w:trHeight w:val="203"/>
        </w:trPr>
        <w:tc>
          <w:tcPr>
            <w:tcW w:w="24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SBA</w:t>
            </w: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Small Business Administration</w:t>
            </w:r>
          </w:p>
        </w:tc>
        <w:tc>
          <w:tcPr>
            <w:tcW w:w="20" w:type="dxa"/>
            <w:vAlign w:val="bottom"/>
          </w:tcPr>
          <w:p>
            <w:pPr>
              <w:spacing w:after="0"/>
              <w:rPr>
                <w:sz w:val="17"/>
                <w:szCs w:val="17"/>
                <w:color w:val="auto"/>
              </w:rPr>
            </w:pPr>
          </w:p>
        </w:tc>
      </w:tr>
      <w:tr>
        <w:trPr>
          <w:trHeight w:val="203"/>
        </w:trPr>
        <w:tc>
          <w:tcPr>
            <w:tcW w:w="2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SEC</w:t>
            </w: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U.S. Securities and Exchange Commission</w:t>
            </w:r>
          </w:p>
        </w:tc>
        <w:tc>
          <w:tcPr>
            <w:tcW w:w="20" w:type="dxa"/>
            <w:vAlign w:val="bottom"/>
          </w:tcPr>
          <w:p>
            <w:pPr>
              <w:spacing w:after="0"/>
              <w:rPr>
                <w:sz w:val="17"/>
                <w:szCs w:val="17"/>
                <w:color w:val="auto"/>
              </w:rPr>
            </w:pPr>
          </w:p>
        </w:tc>
      </w:tr>
      <w:tr>
        <w:trPr>
          <w:trHeight w:val="203"/>
        </w:trPr>
        <w:tc>
          <w:tcPr>
            <w:tcW w:w="24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TDR</w:t>
            </w: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Troubled debt restructuring</w:t>
            </w:r>
          </w:p>
        </w:tc>
        <w:tc>
          <w:tcPr>
            <w:tcW w:w="20" w:type="dxa"/>
            <w:vAlign w:val="bottom"/>
          </w:tcPr>
          <w:p>
            <w:pPr>
              <w:spacing w:after="0"/>
              <w:rPr>
                <w:sz w:val="17"/>
                <w:szCs w:val="17"/>
                <w:color w:val="auto"/>
              </w:rPr>
            </w:pPr>
          </w:p>
        </w:tc>
      </w:tr>
      <w:tr>
        <w:trPr>
          <w:trHeight w:val="203"/>
        </w:trPr>
        <w:tc>
          <w:tcPr>
            <w:tcW w:w="2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U.S.</w:t>
            </w: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Unites States of America</w:t>
            </w:r>
          </w:p>
        </w:tc>
        <w:tc>
          <w:tcPr>
            <w:tcW w:w="20" w:type="dxa"/>
            <w:vAlign w:val="bottom"/>
          </w:tcPr>
          <w:p>
            <w:pPr>
              <w:spacing w:after="0"/>
              <w:rPr>
                <w:sz w:val="17"/>
                <w:szCs w:val="17"/>
                <w:color w:val="auto"/>
              </w:rPr>
            </w:pPr>
          </w:p>
        </w:tc>
      </w:tr>
      <w:tr>
        <w:trPr>
          <w:trHeight w:val="203"/>
        </w:trPr>
        <w:tc>
          <w:tcPr>
            <w:tcW w:w="24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U.S. Treasury</w:t>
            </w: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Department of the Treasury</w:t>
            </w:r>
          </w:p>
        </w:tc>
        <w:tc>
          <w:tcPr>
            <w:tcW w:w="20" w:type="dxa"/>
            <w:vAlign w:val="bottom"/>
          </w:tcPr>
          <w:p>
            <w:pPr>
              <w:spacing w:after="0"/>
              <w:rPr>
                <w:sz w:val="17"/>
                <w:szCs w:val="17"/>
                <w:color w:val="auto"/>
              </w:rPr>
            </w:pPr>
          </w:p>
        </w:tc>
      </w:tr>
      <w:tr>
        <w:trPr>
          <w:trHeight w:val="864"/>
        </w:trPr>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tcPr>
          <w:p>
            <w:pPr>
              <w:ind w:left="19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r>
      <w:tr>
        <w:trPr>
          <w:trHeight w:val="547"/>
        </w:trPr>
        <w:tc>
          <w:tcPr>
            <w:tcW w:w="2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(Unaudited)</w:t>
      </w: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68"/>
              <w:spacing w:after="0" w:line="133"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8"/>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5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Cash and due from banks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300,884</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Interest-bearing deposits</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619,926</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569,713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cash and cash equivalents</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920,810</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688,537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securities available for sale</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3,464,517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2,261,187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Equity securities</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13,950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Loans held for sale, at fair value</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Portfolio loans (net of ACL 2021 $95,410; 2020 $101,048)</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7,090,240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6,713,129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Premises and equipment, net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145,437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Right of use assets</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8,228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317,521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311,536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Other intangible assets, net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64,274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51,985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surrender value of bank owned life insurance</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175,732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196,906</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12,415,449</w:t>
            </w:r>
          </w:p>
        </w:tc>
        <w:tc>
          <w:tcPr>
            <w:tcW w:w="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10,544,047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Deposits:</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660"/>
              <w:spacing w:after="0"/>
              <w:rPr>
                <w:sz w:val="20"/>
                <w:szCs w:val="20"/>
                <w:color w:val="auto"/>
              </w:rPr>
            </w:pPr>
            <w:r>
              <w:rPr>
                <w:rFonts w:ascii="Arial" w:cs="Arial" w:eastAsia="Arial" w:hAnsi="Arial"/>
                <w:sz w:val="14"/>
                <w:szCs w:val="14"/>
                <w:color w:val="auto"/>
              </w:rPr>
              <w:t>Noninterest-bearing</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3,186,650</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2,552,039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Interest-bearing</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7,150,467</w:t>
            </w:r>
          </w:p>
        </w:tc>
        <w:tc>
          <w:tcPr>
            <w:tcW w:w="6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6,125,810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tcPr>
          <w:p>
            <w:pPr>
              <w:ind w:left="440"/>
              <w:spacing w:after="0" w:line="155" w:lineRule="exact"/>
              <w:rPr>
                <w:sz w:val="20"/>
                <w:szCs w:val="20"/>
                <w:color w:val="auto"/>
              </w:rPr>
            </w:pPr>
            <w:r>
              <w:rPr>
                <w:rFonts w:ascii="Arial" w:cs="Arial" w:eastAsia="Arial" w:hAnsi="Arial"/>
                <w:sz w:val="14"/>
                <w:szCs w:val="14"/>
                <w:color w:val="auto"/>
              </w:rPr>
              <w:t>Total deposits</w:t>
            </w:r>
          </w:p>
        </w:tc>
        <w:tc>
          <w:tcPr>
            <w:tcW w:w="1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10,337,117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8,677,849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Securities sold under agreements to repurchase</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207,266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175,614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Short-term borrowings</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30,168</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52,409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Senior notes, net of unamortized issuance costs</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Subordinated notes, net of unamortized issuance costs</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182,503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182,226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Junior subordinated debt owed to unconsolidated trusts</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71,551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Lease liabilities</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8,280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140,588</w:t>
            </w:r>
          </w:p>
        </w:tc>
        <w:tc>
          <w:tcPr>
            <w:tcW w:w="6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11,069,758</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9,273,978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Outstanding commitments and contingent liabilities (see Notes 9 and 15)</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580" w:type="dxa"/>
            <w:vAlign w:val="bottom"/>
            <w:shd w:val="clear" w:color="auto" w:fill="CCEEFF"/>
          </w:tcPr>
          <w:p>
            <w:pPr>
              <w:ind w:left="440"/>
              <w:spacing w:after="0" w:line="143" w:lineRule="exact"/>
              <w:rPr>
                <w:sz w:val="20"/>
                <w:szCs w:val="20"/>
                <w:color w:val="auto"/>
              </w:rPr>
            </w:pPr>
            <w:r>
              <w:rPr>
                <w:rFonts w:ascii="Arial" w:cs="Arial" w:eastAsia="Arial" w:hAnsi="Arial"/>
                <w:sz w:val="14"/>
                <w:szCs w:val="14"/>
                <w:color w:val="auto"/>
              </w:rPr>
              <w:t>Common stock, $.001 par value; 100,000,000 shares authorized;</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2021 58,116,970 shares issued; 2020 55,910,733 shares issued</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1,316,716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1,253,360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Accumulated other comprehensive income (loss)</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10,725</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shd w:val="clear" w:color="auto" w:fill="CCEEFF"/>
          </w:tcPr>
          <w:p>
            <w:pPr>
              <w:ind w:left="440"/>
              <w:spacing w:after="0" w:line="155" w:lineRule="exact"/>
              <w:rPr>
                <w:sz w:val="20"/>
                <w:szCs w:val="20"/>
                <w:color w:val="auto"/>
              </w:rPr>
            </w:pPr>
            <w:r>
              <w:rPr>
                <w:rFonts w:ascii="Arial" w:cs="Arial" w:eastAsia="Arial" w:hAnsi="Arial"/>
                <w:sz w:val="14"/>
                <w:szCs w:val="14"/>
                <w:color w:val="auto"/>
              </w:rPr>
              <w:t>Total stockholders’ equity before treasury stock</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1,390,425</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1,307,555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Treasury stock at cost 2021 1,786,354 shares; 2020 1,506,354 shares</w:t>
            </w:r>
          </w:p>
        </w:tc>
        <w:tc>
          <w:tcPr>
            <w:tcW w:w="16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(44,734)</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(37,486)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stockholders’ equity</w:t>
            </w: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1,345,691</w:t>
            </w:r>
          </w:p>
        </w:tc>
        <w:tc>
          <w:tcPr>
            <w:tcW w:w="6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1,270,069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8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12,415,449</w:t>
            </w:r>
          </w:p>
        </w:tc>
        <w:tc>
          <w:tcPr>
            <w:tcW w:w="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10,544,047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shares outstanding at period end</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56,330,616</w:t>
            </w:r>
          </w:p>
        </w:tc>
        <w:tc>
          <w:tcPr>
            <w:tcW w:w="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54,404,379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left="1500" w:right="2060"/>
        <w:spacing w:after="0" w:line="250" w:lineRule="auto"/>
        <w:rPr>
          <w:sz w:val="20"/>
          <w:szCs w:val="20"/>
          <w:color w:val="auto"/>
        </w:rPr>
      </w:pPr>
      <w:r>
        <w:rPr>
          <w:rFonts w:ascii="Arial" w:cs="Arial" w:eastAsia="Arial" w:hAnsi="Arial"/>
          <w:sz w:val="18"/>
          <w:szCs w:val="18"/>
          <w:b w:val="1"/>
          <w:bCs w:val="1"/>
          <w:color w:val="auto"/>
        </w:rPr>
        <w:t xml:space="preserve">FIRST BUSEY CORPORATION CONSOLIDATED STATEMENTS OF INCOME (Unaudited) </w:t>
      </w:r>
      <w:r>
        <w:rPr>
          <w:rFonts w:ascii="Arial" w:cs="Arial" w:eastAsia="Arial" w:hAnsi="Arial"/>
          <w:sz w:val="18"/>
          <w:szCs w:val="18"/>
          <w:i w:val="1"/>
          <w:iCs w:val="1"/>
          <w:color w:val="auto"/>
        </w:rPr>
        <w:t>(dollars in thousands, except per share amounts)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20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55"/>
        </w:trPr>
        <w:tc>
          <w:tcPr>
            <w:tcW w:w="5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6"/>
        </w:trPr>
        <w:tc>
          <w:tcPr>
            <w:tcW w:w="51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Interest income</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220"/>
              <w:spacing w:after="0"/>
              <w:rPr>
                <w:sz w:val="20"/>
                <w:szCs w:val="20"/>
                <w:color w:val="auto"/>
              </w:rPr>
            </w:pPr>
            <w:r>
              <w:rPr>
                <w:rFonts w:ascii="Arial" w:cs="Arial" w:eastAsia="Arial" w:hAnsi="Arial"/>
                <w:sz w:val="14"/>
                <w:szCs w:val="14"/>
                <w:color w:val="auto"/>
              </w:rPr>
              <w:t>Interest and fees on loans</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61,404</w:t>
            </w:r>
          </w:p>
        </w:tc>
        <w:tc>
          <w:tcPr>
            <w:tcW w:w="1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71,089</w:t>
            </w:r>
          </w:p>
        </w:tc>
        <w:tc>
          <w:tcPr>
            <w:tcW w:w="14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123,969</w:t>
            </w:r>
          </w:p>
        </w:tc>
        <w:tc>
          <w:tcPr>
            <w:tcW w:w="14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143,625</w:t>
            </w: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and dividends on investment securities: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440"/>
              <w:spacing w:after="0"/>
              <w:rPr>
                <w:sz w:val="20"/>
                <w:szCs w:val="20"/>
                <w:color w:val="auto"/>
              </w:rPr>
            </w:pPr>
            <w:r>
              <w:rPr>
                <w:rFonts w:ascii="Arial" w:cs="Arial" w:eastAsia="Arial" w:hAnsi="Arial"/>
                <w:sz w:val="14"/>
                <w:szCs w:val="14"/>
                <w:color w:val="auto"/>
              </w:rPr>
              <w:t>Taxable interest income</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9,081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8,833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17,692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18,341</w:t>
            </w: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Non-taxable interest income</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2,317</w:t>
            </w:r>
          </w:p>
        </w:tc>
        <w:tc>
          <w:tcPr>
            <w:tcW w:w="0" w:type="dxa"/>
            <w:vAlign w:val="bottom"/>
          </w:tcPr>
          <w:p>
            <w:pPr>
              <w:spacing w:after="0"/>
              <w:rPr>
                <w:sz w:val="1"/>
                <w:szCs w:val="1"/>
                <w:color w:val="auto"/>
              </w:rPr>
            </w:pPr>
          </w:p>
        </w:tc>
      </w:tr>
      <w:tr>
        <w:trPr>
          <w:trHeight w:val="162"/>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interest income</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156"/>
        </w:trPr>
        <w:tc>
          <w:tcPr>
            <w:tcW w:w="51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interest income</w:t>
            </w: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71,688</w:t>
            </w: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81,233</w:t>
            </w:r>
          </w:p>
        </w:tc>
        <w:tc>
          <w:tcPr>
            <w:tcW w:w="1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144,019</w:t>
            </w:r>
          </w:p>
        </w:tc>
        <w:tc>
          <w:tcPr>
            <w:tcW w:w="1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165,666</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220"/>
              <w:spacing w:after="0"/>
              <w:rPr>
                <w:sz w:val="20"/>
                <w:szCs w:val="20"/>
                <w:color w:val="auto"/>
              </w:rPr>
            </w:pPr>
            <w:r>
              <w:rPr>
                <w:rFonts w:ascii="Arial" w:cs="Arial" w:eastAsia="Arial" w:hAnsi="Arial"/>
                <w:sz w:val="14"/>
                <w:szCs w:val="14"/>
                <w:color w:val="auto"/>
              </w:rPr>
              <w:t>Deposits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3,295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7,721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7,027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19,948</w:t>
            </w: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Federal funds purchased and securities sold under agreements to repurchase</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62"/>
        </w:trPr>
        <w:tc>
          <w:tcPr>
            <w:tcW w:w="5100" w:type="dxa"/>
            <w:vAlign w:val="bottom"/>
          </w:tcPr>
          <w:p>
            <w:pPr>
              <w:ind w:left="220"/>
              <w:spacing w:after="0"/>
              <w:rPr>
                <w:sz w:val="20"/>
                <w:szCs w:val="20"/>
                <w:color w:val="auto"/>
              </w:rPr>
            </w:pPr>
            <w:r>
              <w:rPr>
                <w:rFonts w:ascii="Arial" w:cs="Arial" w:eastAsia="Arial" w:hAnsi="Arial"/>
                <w:sz w:val="14"/>
                <w:szCs w:val="14"/>
                <w:color w:val="auto"/>
              </w:rPr>
              <w:t>Short-term borrowings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62"/>
        </w:trPr>
        <w:tc>
          <w:tcPr>
            <w:tcW w:w="5100" w:type="dxa"/>
            <w:vAlign w:val="bottom"/>
          </w:tcPr>
          <w:p>
            <w:pPr>
              <w:ind w:left="220"/>
              <w:spacing w:after="0"/>
              <w:rPr>
                <w:sz w:val="20"/>
                <w:szCs w:val="20"/>
                <w:color w:val="auto"/>
              </w:rPr>
            </w:pPr>
            <w:r>
              <w:rPr>
                <w:rFonts w:ascii="Arial" w:cs="Arial" w:eastAsia="Arial" w:hAnsi="Arial"/>
                <w:sz w:val="14"/>
                <w:szCs w:val="14"/>
                <w:color w:val="auto"/>
              </w:rPr>
              <w:t>Senior notes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Subordinated notes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w:t>
            </w:r>
          </w:p>
        </w:tc>
        <w:tc>
          <w:tcPr>
            <w:tcW w:w="0" w:type="dxa"/>
            <w:vAlign w:val="bottom"/>
          </w:tcPr>
          <w:p>
            <w:pPr>
              <w:spacing w:after="0"/>
              <w:rPr>
                <w:sz w:val="1"/>
                <w:szCs w:val="1"/>
                <w:color w:val="auto"/>
              </w:rPr>
            </w:pPr>
          </w:p>
        </w:tc>
      </w:tr>
      <w:tr>
        <w:trPr>
          <w:trHeight w:val="162"/>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Junior subordinated debt owed to unconsolidated trusts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156"/>
        </w:trPr>
        <w:tc>
          <w:tcPr>
            <w:tcW w:w="51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interest expense</w:t>
            </w: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7,146</w:t>
            </w: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10,420</w:t>
            </w:r>
          </w:p>
        </w:tc>
        <w:tc>
          <w:tcPr>
            <w:tcW w:w="1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14,584</w:t>
            </w:r>
          </w:p>
        </w:tc>
        <w:tc>
          <w:tcPr>
            <w:tcW w:w="1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25,420</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64,542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70,813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129,435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140,246</w:t>
            </w:r>
          </w:p>
        </w:tc>
        <w:tc>
          <w:tcPr>
            <w:tcW w:w="0" w:type="dxa"/>
            <w:vAlign w:val="bottom"/>
          </w:tcPr>
          <w:p>
            <w:pPr>
              <w:spacing w:after="0"/>
              <w:rPr>
                <w:sz w:val="1"/>
                <w:szCs w:val="1"/>
                <w:color w:val="auto"/>
              </w:rPr>
            </w:pPr>
          </w:p>
        </w:tc>
      </w:tr>
      <w:tr>
        <w:trPr>
          <w:trHeight w:val="162"/>
        </w:trPr>
        <w:tc>
          <w:tcPr>
            <w:tcW w:w="5100" w:type="dxa"/>
            <w:vAlign w:val="bottom"/>
          </w:tcPr>
          <w:p>
            <w:pPr>
              <w:ind w:left="220"/>
              <w:spacing w:after="0"/>
              <w:rPr>
                <w:sz w:val="20"/>
                <w:szCs w:val="20"/>
                <w:color w:val="auto"/>
              </w:rPr>
            </w:pPr>
            <w:r>
              <w:rPr>
                <w:rFonts w:ascii="Arial" w:cs="Arial" w:eastAsia="Arial" w:hAnsi="Arial"/>
                <w:sz w:val="14"/>
                <w:szCs w:val="14"/>
                <w:color w:val="auto"/>
              </w:rPr>
              <w:t>Provision for credit losses</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(1,700)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12,891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(8,496)</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30,107</w:t>
            </w:r>
          </w:p>
        </w:tc>
        <w:tc>
          <w:tcPr>
            <w:tcW w:w="0" w:type="dxa"/>
            <w:vAlign w:val="bottom"/>
          </w:tcPr>
          <w:p>
            <w:pPr>
              <w:spacing w:after="0"/>
              <w:rPr>
                <w:sz w:val="1"/>
                <w:szCs w:val="1"/>
                <w:color w:val="auto"/>
              </w:rPr>
            </w:pPr>
          </w:p>
        </w:tc>
      </w:tr>
      <w:tr>
        <w:trPr>
          <w:trHeight w:val="156"/>
        </w:trPr>
        <w:tc>
          <w:tcPr>
            <w:tcW w:w="51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interest income after provision for credit losses</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66,242</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57,922</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137,931</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110,139</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income</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220"/>
              <w:spacing w:after="0"/>
              <w:rPr>
                <w:sz w:val="20"/>
                <w:szCs w:val="20"/>
                <w:color w:val="auto"/>
              </w:rPr>
            </w:pPr>
            <w:r>
              <w:rPr>
                <w:rFonts w:ascii="Arial" w:cs="Arial" w:eastAsia="Arial" w:hAnsi="Arial"/>
                <w:sz w:val="14"/>
                <w:szCs w:val="14"/>
                <w:color w:val="auto"/>
              </w:rPr>
              <w:t>Wealth management fees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13,002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10,193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25,586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21,748</w:t>
            </w: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Fees for customer services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15,386</w:t>
            </w:r>
          </w:p>
        </w:tc>
        <w:tc>
          <w:tcPr>
            <w:tcW w:w="0" w:type="dxa"/>
            <w:vAlign w:val="bottom"/>
          </w:tcPr>
          <w:p>
            <w:pPr>
              <w:spacing w:after="0"/>
              <w:rPr>
                <w:sz w:val="1"/>
                <w:szCs w:val="1"/>
                <w:color w:val="auto"/>
              </w:rPr>
            </w:pPr>
          </w:p>
        </w:tc>
      </w:tr>
      <w:tr>
        <w:trPr>
          <w:trHeight w:val="162"/>
        </w:trPr>
        <w:tc>
          <w:tcPr>
            <w:tcW w:w="5100" w:type="dxa"/>
            <w:vAlign w:val="bottom"/>
          </w:tcPr>
          <w:p>
            <w:pPr>
              <w:ind w:left="220"/>
              <w:spacing w:after="0"/>
              <w:rPr>
                <w:sz w:val="20"/>
                <w:szCs w:val="20"/>
                <w:color w:val="auto"/>
              </w:rPr>
            </w:pPr>
            <w:r>
              <w:rPr>
                <w:rFonts w:ascii="Arial" w:cs="Arial" w:eastAsia="Arial" w:hAnsi="Arial"/>
                <w:sz w:val="14"/>
                <w:szCs w:val="14"/>
                <w:color w:val="auto"/>
              </w:rPr>
              <w:t>Remittance processing</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4,349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3,718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8,767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7,471</w:t>
            </w: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Mortgage revenue</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4,086</w:t>
            </w:r>
          </w:p>
        </w:tc>
        <w:tc>
          <w:tcPr>
            <w:tcW w:w="0" w:type="dxa"/>
            <w:vAlign w:val="bottom"/>
          </w:tcPr>
          <w:p>
            <w:pPr>
              <w:spacing w:after="0"/>
              <w:rPr>
                <w:sz w:val="1"/>
                <w:szCs w:val="1"/>
                <w:color w:val="auto"/>
              </w:rPr>
            </w:pPr>
          </w:p>
        </w:tc>
      </w:tr>
      <w:tr>
        <w:trPr>
          <w:trHeight w:val="162"/>
        </w:trPr>
        <w:tc>
          <w:tcPr>
            <w:tcW w:w="5100" w:type="dxa"/>
            <w:vAlign w:val="bottom"/>
          </w:tcPr>
          <w:p>
            <w:pPr>
              <w:ind w:left="220"/>
              <w:spacing w:after="0"/>
              <w:rPr>
                <w:sz w:val="20"/>
                <w:szCs w:val="20"/>
                <w:color w:val="auto"/>
              </w:rPr>
            </w:pPr>
            <w:r>
              <w:rPr>
                <w:rFonts w:ascii="Arial" w:cs="Arial" w:eastAsia="Arial" w:hAnsi="Arial"/>
                <w:sz w:val="14"/>
                <w:szCs w:val="14"/>
                <w:color w:val="auto"/>
              </w:rPr>
              <w:t>Income on bank owned life insurance</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1,476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2,282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2,440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3,339</w:t>
            </w: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gains (losses) on sales of securities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1,699</w:t>
            </w:r>
          </w:p>
        </w:tc>
        <w:tc>
          <w:tcPr>
            <w:tcW w:w="0" w:type="dxa"/>
            <w:vAlign w:val="bottom"/>
          </w:tcPr>
          <w:p>
            <w:pPr>
              <w:spacing w:after="0"/>
              <w:rPr>
                <w:sz w:val="1"/>
                <w:szCs w:val="1"/>
                <w:color w:val="auto"/>
              </w:rPr>
            </w:pPr>
          </w:p>
        </w:tc>
      </w:tr>
      <w:tr>
        <w:trPr>
          <w:trHeight w:val="162"/>
        </w:trPr>
        <w:tc>
          <w:tcPr>
            <w:tcW w:w="5100" w:type="dxa"/>
            <w:vAlign w:val="bottom"/>
          </w:tcPr>
          <w:p>
            <w:pPr>
              <w:ind w:left="220"/>
              <w:spacing w:after="0"/>
              <w:rPr>
                <w:sz w:val="20"/>
                <w:szCs w:val="20"/>
                <w:color w:val="auto"/>
              </w:rPr>
            </w:pPr>
            <w:r>
              <w:rPr>
                <w:rFonts w:ascii="Arial" w:cs="Arial" w:eastAsia="Arial" w:hAnsi="Arial"/>
                <w:sz w:val="14"/>
                <w:szCs w:val="14"/>
                <w:color w:val="auto"/>
              </w:rPr>
              <w:t>Unrealized gains (losses) recognized on equity securities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2,420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2,928</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4,063</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2,549</w:t>
            </w:r>
          </w:p>
        </w:tc>
        <w:tc>
          <w:tcPr>
            <w:tcW w:w="0" w:type="dxa"/>
            <w:vAlign w:val="bottom"/>
          </w:tcPr>
          <w:p>
            <w:pPr>
              <w:spacing w:after="0"/>
              <w:rPr>
                <w:sz w:val="1"/>
                <w:szCs w:val="1"/>
                <w:color w:val="auto"/>
              </w:rPr>
            </w:pPr>
          </w:p>
        </w:tc>
      </w:tr>
      <w:tr>
        <w:trPr>
          <w:trHeight w:val="155"/>
        </w:trPr>
        <w:tc>
          <w:tcPr>
            <w:tcW w:w="51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Total non-interest income</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33,011</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27,964</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64,456</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55,481</w:t>
            </w:r>
          </w:p>
        </w:tc>
        <w:tc>
          <w:tcPr>
            <w:tcW w:w="0" w:type="dxa"/>
            <w:vAlign w:val="bottom"/>
          </w:tcPr>
          <w:p>
            <w:pPr>
              <w:spacing w:after="0"/>
              <w:rPr>
                <w:sz w:val="1"/>
                <w:szCs w:val="1"/>
                <w:color w:val="auto"/>
              </w:rPr>
            </w:pPr>
          </w:p>
        </w:tc>
      </w:tr>
      <w:tr>
        <w:trPr>
          <w:trHeight w:val="155"/>
        </w:trPr>
        <w:tc>
          <w:tcPr>
            <w:tcW w:w="5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Salaries, wages, and employee benefits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34,889</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65,273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62,558</w:t>
            </w:r>
          </w:p>
        </w:tc>
        <w:tc>
          <w:tcPr>
            <w:tcW w:w="0" w:type="dxa"/>
            <w:vAlign w:val="bottom"/>
          </w:tcPr>
          <w:p>
            <w:pPr>
              <w:spacing w:after="0"/>
              <w:rPr>
                <w:sz w:val="1"/>
                <w:szCs w:val="1"/>
                <w:color w:val="auto"/>
              </w:rPr>
            </w:pPr>
          </w:p>
        </w:tc>
      </w:tr>
      <w:tr>
        <w:trPr>
          <w:trHeight w:val="162"/>
        </w:trPr>
        <w:tc>
          <w:tcPr>
            <w:tcW w:w="5100" w:type="dxa"/>
            <w:vAlign w:val="bottom"/>
          </w:tcPr>
          <w:p>
            <w:pPr>
              <w:ind w:left="220"/>
              <w:spacing w:after="0"/>
              <w:rPr>
                <w:sz w:val="20"/>
                <w:szCs w:val="20"/>
                <w:color w:val="auto"/>
              </w:rPr>
            </w:pPr>
            <w:r>
              <w:rPr>
                <w:rFonts w:ascii="Arial" w:cs="Arial" w:eastAsia="Arial" w:hAnsi="Arial"/>
                <w:sz w:val="14"/>
                <w:szCs w:val="14"/>
                <w:color w:val="auto"/>
              </w:rPr>
              <w:t>Data processing</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4,819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4,051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9,099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8,446</w:t>
            </w: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occupancy expense of premises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8,809</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9,163</w:t>
            </w:r>
          </w:p>
        </w:tc>
        <w:tc>
          <w:tcPr>
            <w:tcW w:w="0" w:type="dxa"/>
            <w:vAlign w:val="bottom"/>
          </w:tcPr>
          <w:p>
            <w:pPr>
              <w:spacing w:after="0"/>
              <w:rPr>
                <w:sz w:val="1"/>
                <w:szCs w:val="1"/>
                <w:color w:val="auto"/>
              </w:rPr>
            </w:pPr>
          </w:p>
        </w:tc>
      </w:tr>
      <w:tr>
        <w:trPr>
          <w:trHeight w:val="162"/>
        </w:trPr>
        <w:tc>
          <w:tcPr>
            <w:tcW w:w="5100" w:type="dxa"/>
            <w:vAlign w:val="bottom"/>
          </w:tcPr>
          <w:p>
            <w:pPr>
              <w:ind w:left="220"/>
              <w:spacing w:after="0"/>
              <w:rPr>
                <w:sz w:val="20"/>
                <w:szCs w:val="20"/>
                <w:color w:val="auto"/>
              </w:rPr>
            </w:pPr>
            <w:r>
              <w:rPr>
                <w:rFonts w:ascii="Arial" w:cs="Arial" w:eastAsia="Arial" w:hAnsi="Arial"/>
                <w:sz w:val="14"/>
                <w:szCs w:val="14"/>
                <w:color w:val="auto"/>
              </w:rPr>
              <w:t>Furniture and equipment expenses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2,066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2,537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4,092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4,986</w:t>
            </w: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Professional fees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3,810</w:t>
            </w:r>
          </w:p>
        </w:tc>
        <w:tc>
          <w:tcPr>
            <w:tcW w:w="0" w:type="dxa"/>
            <w:vAlign w:val="bottom"/>
          </w:tcPr>
          <w:p>
            <w:pPr>
              <w:spacing w:after="0"/>
              <w:rPr>
                <w:sz w:val="1"/>
                <w:szCs w:val="1"/>
                <w:color w:val="auto"/>
              </w:rPr>
            </w:pPr>
          </w:p>
        </w:tc>
      </w:tr>
      <w:tr>
        <w:trPr>
          <w:trHeight w:val="162"/>
        </w:trPr>
        <w:tc>
          <w:tcPr>
            <w:tcW w:w="510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2,650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2,519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5,051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5,076</w:t>
            </w: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Interchange expense</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2,367</w:t>
            </w:r>
          </w:p>
        </w:tc>
        <w:tc>
          <w:tcPr>
            <w:tcW w:w="0" w:type="dxa"/>
            <w:vAlign w:val="bottom"/>
          </w:tcPr>
          <w:p>
            <w:pPr>
              <w:spacing w:after="0"/>
              <w:rPr>
                <w:sz w:val="1"/>
                <w:szCs w:val="1"/>
                <w:color w:val="auto"/>
              </w:rPr>
            </w:pPr>
          </w:p>
        </w:tc>
      </w:tr>
      <w:tr>
        <w:trPr>
          <w:trHeight w:val="162"/>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expense</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10,202</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7,774</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17,618</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17,176</w:t>
            </w:r>
          </w:p>
        </w:tc>
        <w:tc>
          <w:tcPr>
            <w:tcW w:w="0" w:type="dxa"/>
            <w:vAlign w:val="bottom"/>
          </w:tcPr>
          <w:p>
            <w:pPr>
              <w:spacing w:after="0"/>
              <w:rPr>
                <w:sz w:val="1"/>
                <w:szCs w:val="1"/>
                <w:color w:val="auto"/>
              </w:rPr>
            </w:pPr>
          </w:p>
        </w:tc>
      </w:tr>
      <w:tr>
        <w:trPr>
          <w:trHeight w:val="155"/>
        </w:trPr>
        <w:tc>
          <w:tcPr>
            <w:tcW w:w="51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non-interest expense</w:t>
            </w: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62,625</w:t>
            </w: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53,068</w:t>
            </w:r>
          </w:p>
        </w:tc>
        <w:tc>
          <w:tcPr>
            <w:tcW w:w="1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117,124</w:t>
            </w:r>
          </w:p>
        </w:tc>
        <w:tc>
          <w:tcPr>
            <w:tcW w:w="1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113,582</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36,628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32,818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85,263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52,038</w:t>
            </w:r>
          </w:p>
        </w:tc>
        <w:tc>
          <w:tcPr>
            <w:tcW w:w="0" w:type="dxa"/>
            <w:vAlign w:val="bottom"/>
          </w:tcPr>
          <w:p>
            <w:pPr>
              <w:spacing w:after="0"/>
              <w:rPr>
                <w:sz w:val="1"/>
                <w:szCs w:val="1"/>
                <w:color w:val="auto"/>
              </w:rPr>
            </w:pPr>
          </w:p>
        </w:tc>
      </w:tr>
      <w:tr>
        <w:trPr>
          <w:trHeight w:val="162"/>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taxes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6,862</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7,012</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17,681</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10,868</w:t>
            </w:r>
          </w:p>
        </w:tc>
        <w:tc>
          <w:tcPr>
            <w:tcW w:w="0" w:type="dxa"/>
            <w:vAlign w:val="bottom"/>
          </w:tcPr>
          <w:p>
            <w:pPr>
              <w:spacing w:after="0"/>
              <w:rPr>
                <w:sz w:val="1"/>
                <w:szCs w:val="1"/>
                <w:color w:val="auto"/>
              </w:rPr>
            </w:pPr>
          </w:p>
        </w:tc>
      </w:tr>
      <w:tr>
        <w:trPr>
          <w:trHeight w:val="155"/>
        </w:trPr>
        <w:tc>
          <w:tcPr>
            <w:tcW w:w="510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income</w:t>
            </w:r>
          </w:p>
        </w:tc>
        <w:tc>
          <w:tcPr>
            <w:tcW w:w="1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29,766</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25,806</w:t>
            </w: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67,582</w:t>
            </w: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41,170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Basic earnings per common share</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Diluted earnings per common share</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0.53</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0.47</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1.22</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43"/>
        </w:trPr>
        <w:tc>
          <w:tcPr>
            <w:tcW w:w="5100" w:type="dxa"/>
            <w:vAlign w:val="bottom"/>
            <w:tcBorders>
              <w:bottom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b w:val="1"/>
                <w:bCs w:val="1"/>
                <w:color w:val="auto"/>
              </w:rPr>
              <w:t>Dividends declared per share of common stock</w:t>
            </w:r>
          </w:p>
        </w:tc>
        <w:tc>
          <w:tcPr>
            <w:tcW w:w="18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0.23</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0.22</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0.46</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140" w:type="dxa"/>
            <w:vAlign w:val="bottom"/>
            <w:gridSpan w:val="6"/>
          </w:tcPr>
          <w:p>
            <w:pPr>
              <w:ind w:left="240"/>
              <w:spacing w:after="0"/>
              <w:rPr>
                <w:sz w:val="20"/>
                <w:szCs w:val="20"/>
                <w:color w:val="auto"/>
              </w:rPr>
            </w:pPr>
            <w:r>
              <w:rPr>
                <w:rFonts w:ascii="Arial" w:cs="Arial" w:eastAsia="Arial" w:hAnsi="Arial"/>
                <w:sz w:val="14"/>
                <w:szCs w:val="14"/>
                <w:b w:val="1"/>
                <w:bCs w:val="1"/>
                <w:color w:val="auto"/>
                <w:w w:val="94"/>
              </w:rPr>
              <w:t>Three Months Ended June 30,</w:t>
            </w:r>
          </w:p>
        </w:tc>
        <w:tc>
          <w:tcPr>
            <w:tcW w:w="1860" w:type="dxa"/>
            <w:vAlign w:val="bottom"/>
            <w:gridSpan w:val="7"/>
          </w:tcPr>
          <w:p>
            <w:pPr>
              <w:ind w:left="14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income</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29,766</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25,806</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67,582</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41,170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 (loss):</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tcPr>
          <w:p>
            <w:pPr>
              <w:ind w:left="200"/>
              <w:spacing w:after="0"/>
              <w:rPr>
                <w:sz w:val="20"/>
                <w:szCs w:val="20"/>
                <w:color w:val="auto"/>
              </w:rPr>
            </w:pPr>
            <w:r>
              <w:rPr>
                <w:rFonts w:ascii="Arial" w:cs="Arial" w:eastAsia="Arial" w:hAnsi="Arial"/>
                <w:sz w:val="14"/>
                <w:szCs w:val="14"/>
                <w:color w:val="auto"/>
              </w:rPr>
              <w:t>Unrealized gains (losses) on debt securities available for sale: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shd w:val="clear" w:color="auto" w:fill="CCEEFF"/>
          </w:tcPr>
          <w:p>
            <w:pPr>
              <w:ind w:left="400"/>
              <w:spacing w:after="0" w:line="143" w:lineRule="exact"/>
              <w:rPr>
                <w:sz w:val="20"/>
                <w:szCs w:val="20"/>
                <w:color w:val="auto"/>
              </w:rPr>
            </w:pPr>
            <w:r>
              <w:rPr>
                <w:rFonts w:ascii="Arial" w:cs="Arial" w:eastAsia="Arial" w:hAnsi="Arial"/>
                <w:sz w:val="14"/>
                <w:szCs w:val="14"/>
                <w:color w:val="auto"/>
                <w:w w:val="97"/>
              </w:rPr>
              <w:t>Net unrealized holding gains (losses) on debt securities available for sale,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net of taxes of ($2,700), ($1,670), $9,293, and ($10,259), respectively</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(23,310)</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tcPr>
          <w:p>
            <w:pPr>
              <w:ind w:left="400"/>
              <w:spacing w:after="0" w:line="143" w:lineRule="exact"/>
              <w:rPr>
                <w:sz w:val="20"/>
                <w:szCs w:val="20"/>
                <w:color w:val="auto"/>
              </w:rPr>
            </w:pPr>
            <w:r>
              <w:rPr>
                <w:rFonts w:ascii="Arial" w:cs="Arial" w:eastAsia="Arial" w:hAnsi="Arial"/>
                <w:sz w:val="14"/>
                <w:szCs w:val="14"/>
                <w:color w:val="auto"/>
                <w:w w:val="99"/>
              </w:rPr>
              <w:t>Reclassification adjustment for realized (gains) losses on debt securities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tcPr>
          <w:p>
            <w:pPr>
              <w:ind w:left="400"/>
              <w:spacing w:after="0"/>
              <w:rPr>
                <w:sz w:val="20"/>
                <w:szCs w:val="20"/>
                <w:color w:val="auto"/>
              </w:rPr>
            </w:pPr>
            <w:r>
              <w:rPr>
                <w:rFonts w:ascii="Arial" w:cs="Arial" w:eastAsia="Arial" w:hAnsi="Arial"/>
                <w:sz w:val="14"/>
                <w:szCs w:val="14"/>
                <w:color w:val="auto"/>
                <w:w w:val="99"/>
              </w:rPr>
              <w:t>available for sale included in net income, net of taxes of $1, $41, $8, and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8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$489, respectively</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w w:val="99"/>
              </w:rPr>
              <w:t>Net change in unrealized gains (losses) on debt securities available for sale</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6,767</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4,085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(23,330)</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24,474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Unrealized gains (losses) on cash flow hedges:</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tcPr>
          <w:p>
            <w:pPr>
              <w:ind w:left="400"/>
              <w:spacing w:after="0" w:line="143" w:lineRule="exact"/>
              <w:rPr>
                <w:sz w:val="20"/>
                <w:szCs w:val="20"/>
                <w:color w:val="auto"/>
              </w:rPr>
            </w:pPr>
            <w:r>
              <w:rPr>
                <w:rFonts w:ascii="Arial" w:cs="Arial" w:eastAsia="Arial" w:hAnsi="Arial"/>
                <w:sz w:val="14"/>
                <w:szCs w:val="14"/>
                <w:color w:val="auto"/>
                <w:w w:val="97"/>
              </w:rPr>
              <w:t>Net unrealized holding gains (losses) on cash flow hedges, net of taxes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80" w:type="dxa"/>
            <w:vAlign w:val="bottom"/>
          </w:tcPr>
          <w:p>
            <w:pPr>
              <w:ind w:left="400"/>
              <w:spacing w:after="0"/>
              <w:rPr>
                <w:sz w:val="20"/>
                <w:szCs w:val="20"/>
                <w:color w:val="auto"/>
              </w:rPr>
            </w:pPr>
            <w:r>
              <w:rPr>
                <w:rFonts w:ascii="Arial" w:cs="Arial" w:eastAsia="Arial" w:hAnsi="Arial"/>
                <w:sz w:val="14"/>
                <w:szCs w:val="14"/>
                <w:color w:val="auto"/>
              </w:rPr>
              <w:t>$28, $4, ($136), and $896, respectively</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(2,247)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shd w:val="clear" w:color="auto" w:fill="CCEEFF"/>
          </w:tcPr>
          <w:p>
            <w:pPr>
              <w:ind w:left="400"/>
              <w:spacing w:after="0" w:line="143" w:lineRule="exact"/>
              <w:rPr>
                <w:sz w:val="20"/>
                <w:szCs w:val="20"/>
                <w:color w:val="auto"/>
              </w:rPr>
            </w:pPr>
            <w:r>
              <w:rPr>
                <w:rFonts w:ascii="Arial" w:cs="Arial" w:eastAsia="Arial" w:hAnsi="Arial"/>
                <w:sz w:val="14"/>
                <w:szCs w:val="14"/>
                <w:color w:val="auto"/>
              </w:rPr>
              <w:t>Reclassification adjustment for realized (gains) losses on cash flow</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hedges included in net income, net of taxes of ($82), $56, ($161), and</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$60, respectively</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ind w:left="200"/>
              <w:spacing w:after="0" w:line="155" w:lineRule="exact"/>
              <w:rPr>
                <w:sz w:val="20"/>
                <w:szCs w:val="20"/>
                <w:color w:val="auto"/>
              </w:rPr>
            </w:pPr>
            <w:r>
              <w:rPr>
                <w:rFonts w:ascii="Arial" w:cs="Arial" w:eastAsia="Arial" w:hAnsi="Arial"/>
                <w:sz w:val="14"/>
                <w:szCs w:val="14"/>
                <w:color w:val="auto"/>
              </w:rPr>
              <w:t>Net change in unrealized gains (losses) on cash flow hedges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137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(149)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746</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(2,397)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line="155" w:lineRule="exact"/>
              <w:rPr>
                <w:sz w:val="20"/>
                <w:szCs w:val="20"/>
                <w:color w:val="auto"/>
              </w:rPr>
            </w:pPr>
            <w:r>
              <w:rPr>
                <w:rFonts w:ascii="Arial" w:cs="Arial" w:eastAsia="Arial" w:hAnsi="Arial"/>
                <w:sz w:val="14"/>
                <w:szCs w:val="14"/>
                <w:color w:val="auto"/>
              </w:rPr>
              <w:t>Net change in accumulated other comprehensive income (loss)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6,904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3,936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(22,584)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22,077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0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income</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36,670</w:t>
            </w:r>
          </w:p>
        </w:tc>
        <w:tc>
          <w:tcPr>
            <w:tcW w:w="18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29,742</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44,998</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 (Unaudited)</w:t>
      </w: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rPr>
              <w:t>Three Months Ended June 30, 2021</w:t>
            </w: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33"/>
        </w:trPr>
        <w:tc>
          <w:tcPr>
            <w:tcW w:w="2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2"/>
        </w:trPr>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Paid-in</w:t>
            </w: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r>
      <w:tr>
        <w:trPr>
          <w:trHeight w:val="185"/>
        </w:trPr>
        <w:tc>
          <w:tcPr>
            <w:tcW w:w="284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7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r>
      <w:tr>
        <w:trPr>
          <w:trHeight w:val="155"/>
        </w:trPr>
        <w:tc>
          <w:tcPr>
            <w:tcW w:w="28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March 31, 2021</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54,345,379</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w:t>
            </w:r>
          </w:p>
        </w:tc>
        <w:tc>
          <w:tcPr>
            <w:tcW w:w="1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$ 1,255,044</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45,897</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3,821</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(38,996)</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1,265,822</w:t>
            </w:r>
          </w:p>
        </w:tc>
      </w:tr>
      <w:tr>
        <w:trPr>
          <w:trHeight w:val="162"/>
        </w:trPr>
        <w:tc>
          <w:tcPr>
            <w:tcW w:w="284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29,766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29,766</w:t>
            </w: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income (loss)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6,904</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6,904</w:t>
            </w:r>
          </w:p>
        </w:tc>
      </w:tr>
      <w:tr>
        <w:trPr>
          <w:trHeight w:val="143"/>
        </w:trPr>
        <w:tc>
          <w:tcPr>
            <w:tcW w:w="2840" w:type="dxa"/>
            <w:vAlign w:val="bottom"/>
          </w:tcPr>
          <w:p>
            <w:pPr>
              <w:ind w:left="220"/>
              <w:spacing w:after="0" w:line="143" w:lineRule="exact"/>
              <w:rPr>
                <w:sz w:val="20"/>
                <w:szCs w:val="20"/>
                <w:color w:val="auto"/>
              </w:rPr>
            </w:pPr>
            <w:r>
              <w:rPr>
                <w:rFonts w:ascii="Arial" w:cs="Arial" w:eastAsia="Arial" w:hAnsi="Arial"/>
                <w:sz w:val="14"/>
                <w:szCs w:val="14"/>
                <w:color w:val="auto"/>
              </w:rPr>
              <w:t>Stock issued in acquisition, net of stock</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1"/>
        </w:trPr>
        <w:tc>
          <w:tcPr>
            <w:tcW w:w="2840" w:type="dxa"/>
            <w:vAlign w:val="bottom"/>
          </w:tcPr>
          <w:p>
            <w:pPr>
              <w:ind w:left="220"/>
              <w:spacing w:after="0"/>
              <w:rPr>
                <w:sz w:val="20"/>
                <w:szCs w:val="20"/>
                <w:color w:val="auto"/>
              </w:rPr>
            </w:pPr>
            <w:r>
              <w:rPr>
                <w:rFonts w:ascii="Arial" w:cs="Arial" w:eastAsia="Arial" w:hAnsi="Arial"/>
                <w:sz w:val="14"/>
                <w:szCs w:val="14"/>
                <w:color w:val="auto"/>
              </w:rPr>
              <w:t>issuance costs</w:t>
            </w:r>
          </w:p>
        </w:tc>
        <w:tc>
          <w:tcPr>
            <w:tcW w:w="740" w:type="dxa"/>
            <w:vAlign w:val="bottom"/>
          </w:tcPr>
          <w:p>
            <w:pPr>
              <w:jc w:val="right"/>
              <w:spacing w:after="0"/>
              <w:rPr>
                <w:sz w:val="20"/>
                <w:szCs w:val="20"/>
                <w:color w:val="auto"/>
              </w:rPr>
            </w:pPr>
            <w:r>
              <w:rPr>
                <w:rFonts w:ascii="Arial" w:cs="Arial" w:eastAsia="Arial" w:hAnsi="Arial"/>
                <w:sz w:val="14"/>
                <w:szCs w:val="14"/>
                <w:color w:val="auto"/>
              </w:rPr>
              <w:t>2,206,237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58,982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58,984</w:t>
            </w: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stock</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(221,000)</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(5,738)</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(5,738)</w:t>
            </w:r>
          </w:p>
        </w:tc>
      </w:tr>
      <w:tr>
        <w:trPr>
          <w:trHeight w:val="143"/>
        </w:trPr>
        <w:tc>
          <w:tcPr>
            <w:tcW w:w="2840" w:type="dxa"/>
            <w:vAlign w:val="bottom"/>
          </w:tcPr>
          <w:p>
            <w:pPr>
              <w:ind w:left="220"/>
              <w:spacing w:after="0" w:line="143" w:lineRule="exact"/>
              <w:rPr>
                <w:sz w:val="20"/>
                <w:szCs w:val="20"/>
                <w:color w:val="auto"/>
              </w:rPr>
            </w:pPr>
            <w:r>
              <w:rPr>
                <w:rFonts w:ascii="Arial" w:cs="Arial" w:eastAsia="Arial" w:hAnsi="Arial"/>
                <w:sz w:val="14"/>
                <w:szCs w:val="14"/>
                <w:color w:val="auto"/>
              </w:rPr>
              <w:t>Cash dividends common stock at $0.23</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1"/>
        </w:trPr>
        <w:tc>
          <w:tcPr>
            <w:tcW w:w="2840" w:type="dxa"/>
            <w:vAlign w:val="bottom"/>
          </w:tcPr>
          <w:p>
            <w:pPr>
              <w:ind w:left="220"/>
              <w:spacing w:after="0"/>
              <w:rPr>
                <w:sz w:val="20"/>
                <w:szCs w:val="20"/>
                <w:color w:val="auto"/>
              </w:rPr>
            </w:pPr>
            <w:r>
              <w:rPr>
                <w:rFonts w:ascii="Arial" w:cs="Arial" w:eastAsia="Arial" w:hAnsi="Arial"/>
                <w:sz w:val="14"/>
                <w:szCs w:val="14"/>
                <w:color w:val="auto"/>
              </w:rPr>
              <w:t>per share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(12,484)</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(12,484)</w:t>
            </w:r>
          </w:p>
        </w:tc>
      </w:tr>
      <w:tr>
        <w:trPr>
          <w:trHeight w:val="143"/>
        </w:trPr>
        <w:tc>
          <w:tcPr>
            <w:tcW w:w="28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w w:val="98"/>
              </w:rPr>
              <w:t>Stock dividend equivalents restricted stock</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81"/>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units at $0.23 per share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(253)</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84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2,437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2,437</w:t>
            </w:r>
          </w:p>
        </w:tc>
      </w:tr>
      <w:tr>
        <w:trPr>
          <w:trHeight w:val="156"/>
        </w:trPr>
        <w:tc>
          <w:tcPr>
            <w:tcW w:w="284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June 30, 2021</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56,330,616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$ 1,316,716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62,926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10,725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(44,734)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1,345,691</w:t>
            </w:r>
          </w:p>
        </w:tc>
      </w:tr>
      <w:tr>
        <w:trPr>
          <w:trHeight w:val="20"/>
        </w:trPr>
        <w:tc>
          <w:tcPr>
            <w:tcW w:w="2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58"/>
        </w:trPr>
        <w:tc>
          <w:tcPr>
            <w:tcW w:w="28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rPr>
              <w:t>Six Months Ended June 30, 2021</w:t>
            </w: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33"/>
        </w:trPr>
        <w:tc>
          <w:tcPr>
            <w:tcW w:w="2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2"/>
        </w:trPr>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Paid-in</w:t>
            </w: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r>
      <w:tr>
        <w:trPr>
          <w:trHeight w:val="185"/>
        </w:trPr>
        <w:tc>
          <w:tcPr>
            <w:tcW w:w="284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7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r>
      <w:tr>
        <w:trPr>
          <w:trHeight w:val="155"/>
        </w:trPr>
        <w:tc>
          <w:tcPr>
            <w:tcW w:w="28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December 31, 2020</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54,404,379</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w:t>
            </w:r>
          </w:p>
        </w:tc>
        <w:tc>
          <w:tcPr>
            <w:tcW w:w="1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$ 1,253,360</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20,830</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33,309</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(37,486)</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1,270,069</w:t>
            </w:r>
          </w:p>
        </w:tc>
      </w:tr>
      <w:tr>
        <w:trPr>
          <w:trHeight w:val="162"/>
        </w:trPr>
        <w:tc>
          <w:tcPr>
            <w:tcW w:w="284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67,582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67,582</w:t>
            </w: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income (loss)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(22,584)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(22,584)</w:t>
            </w:r>
          </w:p>
        </w:tc>
      </w:tr>
      <w:tr>
        <w:trPr>
          <w:trHeight w:val="143"/>
        </w:trPr>
        <w:tc>
          <w:tcPr>
            <w:tcW w:w="2840" w:type="dxa"/>
            <w:vAlign w:val="bottom"/>
          </w:tcPr>
          <w:p>
            <w:pPr>
              <w:ind w:left="220"/>
              <w:spacing w:after="0" w:line="143" w:lineRule="exact"/>
              <w:rPr>
                <w:sz w:val="20"/>
                <w:szCs w:val="20"/>
                <w:color w:val="auto"/>
              </w:rPr>
            </w:pPr>
            <w:r>
              <w:rPr>
                <w:rFonts w:ascii="Arial" w:cs="Arial" w:eastAsia="Arial" w:hAnsi="Arial"/>
                <w:sz w:val="14"/>
                <w:szCs w:val="14"/>
                <w:color w:val="auto"/>
              </w:rPr>
              <w:t>Stock issued in acquisition, net of stock</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1"/>
        </w:trPr>
        <w:tc>
          <w:tcPr>
            <w:tcW w:w="2840" w:type="dxa"/>
            <w:vAlign w:val="bottom"/>
          </w:tcPr>
          <w:p>
            <w:pPr>
              <w:ind w:left="220"/>
              <w:spacing w:after="0"/>
              <w:rPr>
                <w:sz w:val="20"/>
                <w:szCs w:val="20"/>
                <w:color w:val="auto"/>
              </w:rPr>
            </w:pPr>
            <w:r>
              <w:rPr>
                <w:rFonts w:ascii="Arial" w:cs="Arial" w:eastAsia="Arial" w:hAnsi="Arial"/>
                <w:sz w:val="14"/>
                <w:szCs w:val="14"/>
                <w:color w:val="auto"/>
              </w:rPr>
              <w:t>issuance costs</w:t>
            </w:r>
          </w:p>
        </w:tc>
        <w:tc>
          <w:tcPr>
            <w:tcW w:w="740" w:type="dxa"/>
            <w:vAlign w:val="bottom"/>
          </w:tcPr>
          <w:p>
            <w:pPr>
              <w:jc w:val="right"/>
              <w:spacing w:after="0"/>
              <w:rPr>
                <w:sz w:val="20"/>
                <w:szCs w:val="20"/>
                <w:color w:val="auto"/>
              </w:rPr>
            </w:pPr>
            <w:r>
              <w:rPr>
                <w:rFonts w:ascii="Arial" w:cs="Arial" w:eastAsia="Arial" w:hAnsi="Arial"/>
                <w:sz w:val="14"/>
                <w:szCs w:val="14"/>
                <w:color w:val="auto"/>
              </w:rPr>
              <w:t>2,206,237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58,982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58,984</w:t>
            </w: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stock</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(280,000)</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(7,248)</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(7,248)</w:t>
            </w:r>
          </w:p>
        </w:tc>
      </w:tr>
      <w:tr>
        <w:trPr>
          <w:trHeight w:val="143"/>
        </w:trPr>
        <w:tc>
          <w:tcPr>
            <w:tcW w:w="2840" w:type="dxa"/>
            <w:vAlign w:val="bottom"/>
          </w:tcPr>
          <w:p>
            <w:pPr>
              <w:ind w:left="220"/>
              <w:spacing w:after="0" w:line="143" w:lineRule="exact"/>
              <w:rPr>
                <w:sz w:val="20"/>
                <w:szCs w:val="20"/>
                <w:color w:val="auto"/>
              </w:rPr>
            </w:pPr>
            <w:r>
              <w:rPr>
                <w:rFonts w:ascii="Arial" w:cs="Arial" w:eastAsia="Arial" w:hAnsi="Arial"/>
                <w:sz w:val="14"/>
                <w:szCs w:val="14"/>
                <w:color w:val="auto"/>
              </w:rPr>
              <w:t>Cash dividends common stock at $0.46</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1"/>
        </w:trPr>
        <w:tc>
          <w:tcPr>
            <w:tcW w:w="2840" w:type="dxa"/>
            <w:vAlign w:val="bottom"/>
          </w:tcPr>
          <w:p>
            <w:pPr>
              <w:ind w:left="220"/>
              <w:spacing w:after="0"/>
              <w:rPr>
                <w:sz w:val="20"/>
                <w:szCs w:val="20"/>
                <w:color w:val="auto"/>
              </w:rPr>
            </w:pPr>
            <w:r>
              <w:rPr>
                <w:rFonts w:ascii="Arial" w:cs="Arial" w:eastAsia="Arial" w:hAnsi="Arial"/>
                <w:sz w:val="14"/>
                <w:szCs w:val="14"/>
                <w:color w:val="auto"/>
              </w:rPr>
              <w:t>per share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(24,997)</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(24,997)</w:t>
            </w:r>
          </w:p>
        </w:tc>
      </w:tr>
      <w:tr>
        <w:trPr>
          <w:trHeight w:val="143"/>
        </w:trPr>
        <w:tc>
          <w:tcPr>
            <w:tcW w:w="28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w w:val="98"/>
              </w:rPr>
              <w:t>Stock dividend equivalents restricted stock</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81"/>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units at $0.46 per share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(489)</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84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3,885</w:t>
            </w:r>
          </w:p>
        </w:tc>
      </w:tr>
      <w:tr>
        <w:trPr>
          <w:trHeight w:val="155"/>
        </w:trPr>
        <w:tc>
          <w:tcPr>
            <w:tcW w:w="284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June 30, 2021</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56,330,616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$ 1,316,716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62,926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10,725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(44,734)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1,345,691</w:t>
            </w:r>
          </w:p>
        </w:tc>
      </w:tr>
      <w:tr>
        <w:trPr>
          <w:trHeight w:val="20"/>
        </w:trPr>
        <w:tc>
          <w:tcPr>
            <w:tcW w:w="2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 (Unaudited)</w:t>
      </w: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Three Months Ended June 30, 2020</w:t>
            </w: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33"/>
        </w:trPr>
        <w:tc>
          <w:tcPr>
            <w:tcW w:w="2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2"/>
        </w:trPr>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Paid-in</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r>
      <w:tr>
        <w:trPr>
          <w:trHeight w:val="185"/>
        </w:trPr>
        <w:tc>
          <w:tcPr>
            <w:tcW w:w="258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7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r>
      <w:tr>
        <w:trPr>
          <w:trHeight w:val="155"/>
        </w:trPr>
        <w:tc>
          <w:tcPr>
            <w:tcW w:w="25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March 31, 2020</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54,401,208</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w:t>
            </w: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$ 1,249,301</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(27,599)</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33,101</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(37,274)</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1,217,585</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25,806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25,806</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income (loss)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3,936</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Repurchase of stock</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43"/>
        </w:trPr>
        <w:tc>
          <w:tcPr>
            <w:tcW w:w="258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Issuance of treasury stock for</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81"/>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employee stock purchase plan</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143"/>
        </w:trPr>
        <w:tc>
          <w:tcPr>
            <w:tcW w:w="2580" w:type="dxa"/>
            <w:vAlign w:val="bottom"/>
          </w:tcPr>
          <w:p>
            <w:pPr>
              <w:ind w:left="220"/>
              <w:spacing w:after="0" w:line="143" w:lineRule="exact"/>
              <w:rPr>
                <w:sz w:val="20"/>
                <w:szCs w:val="20"/>
                <w:color w:val="auto"/>
              </w:rPr>
            </w:pPr>
            <w:r>
              <w:rPr>
                <w:rFonts w:ascii="Arial" w:cs="Arial" w:eastAsia="Arial" w:hAnsi="Arial"/>
                <w:sz w:val="14"/>
                <w:szCs w:val="14"/>
                <w:color w:val="auto"/>
              </w:rPr>
              <w:t>Net issuance of treasury stock for</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restricted/deferred stock unit vesting</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and related tax</w:t>
            </w:r>
          </w:p>
        </w:tc>
        <w:tc>
          <w:tcPr>
            <w:tcW w:w="740" w:type="dxa"/>
            <w:vAlign w:val="bottom"/>
          </w:tcPr>
          <w:p>
            <w:pPr>
              <w:jc w:val="right"/>
              <w:spacing w:after="0"/>
              <w:rPr>
                <w:sz w:val="20"/>
                <w:szCs w:val="20"/>
                <w:color w:val="auto"/>
              </w:rPr>
            </w:pPr>
            <w:r>
              <w:rPr>
                <w:rFonts w:ascii="Arial" w:cs="Arial" w:eastAsia="Arial" w:hAnsi="Arial"/>
                <w:sz w:val="14"/>
                <w:szCs w:val="14"/>
                <w:color w:val="auto"/>
              </w:rPr>
              <w:t>100,968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(2,467)</w:t>
            </w: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1,907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(560)</w:t>
            </w:r>
          </w:p>
        </w:tc>
      </w:tr>
      <w:tr>
        <w:trPr>
          <w:trHeight w:val="143"/>
        </w:trPr>
        <w:tc>
          <w:tcPr>
            <w:tcW w:w="258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Net issuance of treasury stock for</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9"/>
              </w:rPr>
              <w:t>stock options exercised, net of shares</w:t>
            </w: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81"/>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redeemed and related tax</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43"/>
        </w:trPr>
        <w:tc>
          <w:tcPr>
            <w:tcW w:w="2580" w:type="dxa"/>
            <w:vAlign w:val="bottom"/>
          </w:tcPr>
          <w:p>
            <w:pPr>
              <w:ind w:left="220"/>
              <w:spacing w:after="0" w:line="143" w:lineRule="exact"/>
              <w:rPr>
                <w:sz w:val="20"/>
                <w:szCs w:val="20"/>
                <w:color w:val="auto"/>
              </w:rPr>
            </w:pPr>
            <w:r>
              <w:rPr>
                <w:rFonts w:ascii="Arial" w:cs="Arial" w:eastAsia="Arial" w:hAnsi="Arial"/>
                <w:sz w:val="14"/>
                <w:szCs w:val="14"/>
                <w:color w:val="auto"/>
              </w:rPr>
              <w:t>Cash dividends common stock at</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$0.22 per share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(11,968)</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(11,968)</w:t>
            </w:r>
          </w:p>
        </w:tc>
      </w:tr>
      <w:tr>
        <w:trPr>
          <w:trHeight w:val="143"/>
        </w:trPr>
        <w:tc>
          <w:tcPr>
            <w:tcW w:w="258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Stock dividend equivalents restricted</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81"/>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units at $0.22 per share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(190)</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1,069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1,069</w:t>
            </w:r>
          </w:p>
        </w:tc>
      </w:tr>
      <w:tr>
        <w:trPr>
          <w:trHeight w:val="156"/>
        </w:trPr>
        <w:tc>
          <w:tcPr>
            <w:tcW w:w="258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June 30, 2020</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54,516,000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$ 1,248,045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(13,951)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37,037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(35,103)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1,236,084</w:t>
            </w:r>
          </w:p>
        </w:tc>
      </w:tr>
      <w:tr>
        <w:trPr>
          <w:trHeight w:val="20"/>
        </w:trPr>
        <w:tc>
          <w:tcPr>
            <w:tcW w:w="2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58"/>
        </w:trPr>
        <w:tc>
          <w:tcPr>
            <w:tcW w:w="25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Six Months Ended June 30, 2020</w:t>
            </w: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33"/>
        </w:trPr>
        <w:tc>
          <w:tcPr>
            <w:tcW w:w="2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2"/>
        </w:trPr>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Paid-in</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r>
      <w:tr>
        <w:trPr>
          <w:trHeight w:val="185"/>
        </w:trPr>
        <w:tc>
          <w:tcPr>
            <w:tcW w:w="258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7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r>
      <w:tr>
        <w:trPr>
          <w:trHeight w:val="155"/>
        </w:trPr>
        <w:tc>
          <w:tcPr>
            <w:tcW w:w="25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December 31, 2019</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54,788,772</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w:t>
            </w: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$ 1,248,216</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(14,813)</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14,960</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(27,985)</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1,220,434</w:t>
            </w:r>
          </w:p>
        </w:tc>
      </w:tr>
      <w:tr>
        <w:trPr>
          <w:trHeight w:val="143"/>
        </w:trPr>
        <w:tc>
          <w:tcPr>
            <w:tcW w:w="2580" w:type="dxa"/>
            <w:vAlign w:val="bottom"/>
          </w:tcPr>
          <w:p>
            <w:pPr>
              <w:ind w:left="220"/>
              <w:spacing w:after="0" w:line="143" w:lineRule="exact"/>
              <w:rPr>
                <w:sz w:val="20"/>
                <w:szCs w:val="20"/>
                <w:color w:val="auto"/>
              </w:rPr>
            </w:pPr>
            <w:r>
              <w:rPr>
                <w:rFonts w:ascii="Arial" w:cs="Arial" w:eastAsia="Arial" w:hAnsi="Arial"/>
                <w:sz w:val="14"/>
                <w:szCs w:val="14"/>
                <w:color w:val="auto"/>
              </w:rPr>
              <w:t>Cumulative effect of change in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accounting principle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(15,922)</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(15,922)</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41,170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41,170</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Other comprehensive income (loss)</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22,077</w:t>
            </w:r>
          </w:p>
        </w:tc>
        <w:tc>
          <w:tcPr>
            <w:tcW w:w="1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22,077</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stock</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(407,850)</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(9,669)</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(9,669)</w:t>
            </w:r>
          </w:p>
        </w:tc>
      </w:tr>
      <w:tr>
        <w:trPr>
          <w:trHeight w:val="143"/>
        </w:trPr>
        <w:tc>
          <w:tcPr>
            <w:tcW w:w="2580" w:type="dxa"/>
            <w:vAlign w:val="bottom"/>
          </w:tcPr>
          <w:p>
            <w:pPr>
              <w:ind w:left="220"/>
              <w:spacing w:after="0" w:line="143" w:lineRule="exact"/>
              <w:rPr>
                <w:sz w:val="20"/>
                <w:szCs w:val="20"/>
                <w:color w:val="auto"/>
              </w:rPr>
            </w:pPr>
            <w:r>
              <w:rPr>
                <w:rFonts w:ascii="Arial" w:cs="Arial" w:eastAsia="Arial" w:hAnsi="Arial"/>
                <w:sz w:val="14"/>
                <w:szCs w:val="14"/>
                <w:color w:val="auto"/>
              </w:rPr>
              <w:t>Issuance of treasury stock for</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employee stock purchase plan</w:t>
            </w:r>
          </w:p>
        </w:tc>
        <w:tc>
          <w:tcPr>
            <w:tcW w:w="740" w:type="dxa"/>
            <w:vAlign w:val="bottom"/>
          </w:tcPr>
          <w:p>
            <w:pPr>
              <w:jc w:val="right"/>
              <w:spacing w:after="0"/>
              <w:rPr>
                <w:sz w:val="20"/>
                <w:szCs w:val="20"/>
                <w:color w:val="auto"/>
              </w:rPr>
            </w:pPr>
            <w:r>
              <w:rPr>
                <w:rFonts w:ascii="Arial" w:cs="Arial" w:eastAsia="Arial" w:hAnsi="Arial"/>
                <w:sz w:val="14"/>
                <w:szCs w:val="14"/>
                <w:color w:val="auto"/>
              </w:rPr>
              <w:t>20,532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388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343</w:t>
            </w:r>
          </w:p>
        </w:tc>
      </w:tr>
      <w:tr>
        <w:trPr>
          <w:trHeight w:val="143"/>
        </w:trPr>
        <w:tc>
          <w:tcPr>
            <w:tcW w:w="258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Net issuance of treasury stock for</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restricted/deferred stock unit vesting</w:t>
            </w: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81"/>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related tax</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106,477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(2,646)</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r>
      <w:tr>
        <w:trPr>
          <w:trHeight w:val="143"/>
        </w:trPr>
        <w:tc>
          <w:tcPr>
            <w:tcW w:w="2580" w:type="dxa"/>
            <w:vAlign w:val="bottom"/>
          </w:tcPr>
          <w:p>
            <w:pPr>
              <w:ind w:left="220"/>
              <w:spacing w:after="0" w:line="143" w:lineRule="exact"/>
              <w:rPr>
                <w:sz w:val="20"/>
                <w:szCs w:val="20"/>
                <w:color w:val="auto"/>
              </w:rPr>
            </w:pPr>
            <w:r>
              <w:rPr>
                <w:rFonts w:ascii="Arial" w:cs="Arial" w:eastAsia="Arial" w:hAnsi="Arial"/>
                <w:sz w:val="14"/>
                <w:szCs w:val="14"/>
                <w:color w:val="auto"/>
              </w:rPr>
              <w:t>Net issuance of treasury stock for</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w w:val="99"/>
              </w:rPr>
              <w:t>stock options exercised, net of shares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redeemed and related tax</w:t>
            </w:r>
          </w:p>
        </w:tc>
        <w:tc>
          <w:tcPr>
            <w:tcW w:w="740" w:type="dxa"/>
            <w:vAlign w:val="bottom"/>
          </w:tcPr>
          <w:p>
            <w:pPr>
              <w:jc w:val="right"/>
              <w:spacing w:after="0"/>
              <w:rPr>
                <w:sz w:val="20"/>
                <w:szCs w:val="20"/>
                <w:color w:val="auto"/>
              </w:rPr>
            </w:pPr>
            <w:r>
              <w:rPr>
                <w:rFonts w:ascii="Arial" w:cs="Arial" w:eastAsia="Arial" w:hAnsi="Arial"/>
                <w:sz w:val="14"/>
                <w:szCs w:val="14"/>
                <w:color w:val="auto"/>
              </w:rPr>
              <w:t>8,069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43"/>
        </w:trPr>
        <w:tc>
          <w:tcPr>
            <w:tcW w:w="258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Cash dividends common stock at</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81"/>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$0.44 per share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(24,023)</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(24,023)</w:t>
            </w:r>
          </w:p>
        </w:tc>
      </w:tr>
      <w:tr>
        <w:trPr>
          <w:trHeight w:val="143"/>
        </w:trPr>
        <w:tc>
          <w:tcPr>
            <w:tcW w:w="2580" w:type="dxa"/>
            <w:vAlign w:val="bottom"/>
          </w:tcPr>
          <w:p>
            <w:pPr>
              <w:ind w:left="220"/>
              <w:spacing w:after="0" w:line="143" w:lineRule="exact"/>
              <w:rPr>
                <w:sz w:val="20"/>
                <w:szCs w:val="20"/>
                <w:color w:val="auto"/>
              </w:rPr>
            </w:pPr>
            <w:r>
              <w:rPr>
                <w:rFonts w:ascii="Arial" w:cs="Arial" w:eastAsia="Arial" w:hAnsi="Arial"/>
                <w:sz w:val="14"/>
                <w:szCs w:val="14"/>
                <w:color w:val="auto"/>
              </w:rPr>
              <w:t>Stock dividend equivalents restricted</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 units at $0.44 per share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(363)</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w:t>
            </w:r>
          </w:p>
        </w:tc>
      </w:tr>
      <w:tr>
        <w:trPr>
          <w:trHeight w:val="155"/>
        </w:trPr>
        <w:tc>
          <w:tcPr>
            <w:tcW w:w="2580" w:type="dxa"/>
            <w:vAlign w:val="bottom"/>
          </w:tcPr>
          <w:p>
            <w:pPr>
              <w:ind w:left="20"/>
              <w:spacing w:after="0" w:line="155" w:lineRule="exact"/>
              <w:rPr>
                <w:sz w:val="20"/>
                <w:szCs w:val="20"/>
                <w:color w:val="auto"/>
              </w:rPr>
            </w:pPr>
            <w:r>
              <w:rPr>
                <w:rFonts w:ascii="Arial" w:cs="Arial" w:eastAsia="Arial" w:hAnsi="Arial"/>
                <w:sz w:val="14"/>
                <w:szCs w:val="14"/>
                <w:color w:val="auto"/>
              </w:rPr>
              <w:t>Balance, June 30, 2020</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54,516,000</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w:t>
            </w:r>
          </w:p>
        </w:tc>
        <w:tc>
          <w:tcPr>
            <w:tcW w:w="1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$ 1,248,045</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(13,951)</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37,037</w:t>
            </w: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 (35,103)</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1,236,084</w:t>
            </w:r>
          </w:p>
        </w:tc>
      </w:tr>
      <w:tr>
        <w:trPr>
          <w:trHeight w:val="20"/>
        </w:trPr>
        <w:tc>
          <w:tcPr>
            <w:tcW w:w="2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Provided by (Used in) Operating Activities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700" w:type="dxa"/>
            <w:vAlign w:val="bottom"/>
            <w:gridSpan w:val="2"/>
          </w:tcPr>
          <w:p>
            <w:pPr>
              <w:jc w:val="right"/>
              <w:ind w:right="149"/>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67,582</w:t>
            </w:r>
          </w:p>
        </w:tc>
        <w:tc>
          <w:tcPr>
            <w:tcW w:w="44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41,170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income to net cash provided by (used in) operating activities: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Provision for credit losses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(8,496)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30,107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intangible assets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Amortization of mortgage servicing rights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2,961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Depreciation and amortization of premises and equipment</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Net amortization (accretion) of premium (discount) on portfolio loans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(3,404)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(4,663)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amortization (accretion) of premium (discount) on investment securities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Net amortization (accretion) of premium (discount) on time deposits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amortization (accretion) of premium (discount) on FHLB advances and other borrowings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Impairment of fixed assets held for sale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Impairment of mortgage servicing rights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Change in fair value of equity securities, net</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(2,420)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(Gain) loss on sales of debt securities, net</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(Gain) loss on sales of loans, net</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(6,133)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(11,387)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(Gain) loss on sales of OREO</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(Gain) loss on sales of premises and equipment</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(Gain) loss on life insurance proceeds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Provision for deferred income taxes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3,804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Stock-based and non-cash compensation</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(Increase) decrease in cash surrender value of bank owned life insurance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(1,953)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Mortgage loans originated for sale</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(157,670)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Proceeds from sales of mortgage loans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188,216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483,238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change in operating assets and liabilities: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620"/>
              <w:spacing w:after="0"/>
              <w:rPr>
                <w:sz w:val="20"/>
                <w:szCs w:val="20"/>
                <w:color w:val="auto"/>
              </w:rPr>
            </w:pPr>
            <w:r>
              <w:rPr>
                <w:rFonts w:ascii="Arial" w:cs="Arial" w:eastAsia="Arial" w:hAnsi="Arial"/>
                <w:sz w:val="13"/>
                <w:szCs w:val="13"/>
                <w:color w:val="auto"/>
              </w:rPr>
              <w:t>(Increase) decrease in other assets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(8,995)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12,225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Increase (decrease) in other liabilities</w:t>
            </w:r>
          </w:p>
        </w:tc>
        <w:tc>
          <w:tcPr>
            <w:tcW w:w="4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(14,260)</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line="142" w:lineRule="exact"/>
              <w:rPr>
                <w:sz w:val="20"/>
                <w:szCs w:val="20"/>
                <w:color w:val="auto"/>
              </w:rPr>
            </w:pPr>
            <w:r>
              <w:rPr>
                <w:rFonts w:ascii="Arial" w:cs="Arial" w:eastAsia="Arial" w:hAnsi="Arial"/>
                <w:sz w:val="13"/>
                <w:szCs w:val="13"/>
                <w:color w:val="auto"/>
              </w:rPr>
              <w:t>Net cash provided by (used in) operating activities</w:t>
            </w:r>
          </w:p>
        </w:tc>
        <w:tc>
          <w:tcPr>
            <w:tcW w:w="44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82,265</w:t>
            </w:r>
          </w:p>
        </w:tc>
        <w:tc>
          <w:tcPr>
            <w:tcW w:w="20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54,730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80" w:type="dxa"/>
            <w:vAlign w:val="bottom"/>
          </w:tcPr>
          <w:p>
            <w:pPr>
              <w:spacing w:after="0"/>
              <w:rPr>
                <w:sz w:val="20"/>
                <w:szCs w:val="20"/>
                <w:color w:val="auto"/>
              </w:rPr>
            </w:pPr>
            <w:r>
              <w:rPr>
                <w:rFonts w:ascii="Arial" w:cs="Arial" w:eastAsia="Arial" w:hAnsi="Arial"/>
                <w:sz w:val="13"/>
                <w:szCs w:val="13"/>
                <w:b w:val="1"/>
                <w:bCs w:val="1"/>
                <w:color w:val="auto"/>
              </w:rPr>
              <w:t>Cash Flows Provided by (Used in) Investing Activities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Purchases of equity securities</w:t>
            </w:r>
          </w:p>
        </w:tc>
        <w:tc>
          <w:tcPr>
            <w:tcW w:w="700" w:type="dxa"/>
            <w:vAlign w:val="bottom"/>
            <w:gridSpan w:val="2"/>
            <w:shd w:val="clear" w:color="auto" w:fill="CCEEFF"/>
          </w:tcPr>
          <w:p>
            <w:pPr>
              <w:jc w:val="right"/>
              <w:ind w:right="149"/>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(5,998)</w:t>
            </w:r>
          </w:p>
        </w:tc>
        <w:tc>
          <w:tcPr>
            <w:tcW w:w="44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Purchases of debt securities available for sale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(1,274,797)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(356,700)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sales of equity securities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Proceeds from sales of debt securities available for sale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290,955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paydowns and maturities of debt securities available for sale</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424,725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315,988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Net cash received in (paid for) acquisitions (see Note 2)</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236,981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(increase) decrease in loans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79,088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(546,599)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Cash paid for premiums on bank-owned life insurance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Purchases of premises and equipment</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Proceeds from life insurance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3,227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disposition of premises and equipment</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Proceeds from sales of OREO</w:t>
            </w:r>
          </w:p>
        </w:tc>
        <w:tc>
          <w:tcPr>
            <w:tcW w:w="4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1,410</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cash provided by (used in) investing activities</w:t>
            </w:r>
          </w:p>
        </w:tc>
        <w:tc>
          <w:tcPr>
            <w:tcW w:w="4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(241,222)</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(586,700)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 (Continued)</w:t>
      </w: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Provided by (Used in) Financing Activities</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Net increase (decrease) in deposits</w:t>
            </w:r>
          </w:p>
        </w:tc>
        <w:tc>
          <w:tcPr>
            <w:tcW w:w="900" w:type="dxa"/>
            <w:vAlign w:val="bottom"/>
            <w:gridSpan w:val="2"/>
          </w:tcPr>
          <w:p>
            <w:pPr>
              <w:jc w:val="right"/>
              <w:ind w:right="149"/>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335,422</w:t>
            </w:r>
          </w:p>
        </w:tc>
        <w:tc>
          <w:tcPr>
            <w:tcW w:w="44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1,007,979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change in federal funds purchased and securities sold under agreements to repurchase</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Proceeds from other borrowings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72,500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142,634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 of other borrowings</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Proceeds from FHLB advances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5,000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 of FHLB advances</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Cash dividends paid</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(24,997)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(24,023)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of treasury stock</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Cash paid for withholding taxes on stock-based payments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stock options exercised</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Common stock issuance costs</w:t>
            </w:r>
          </w:p>
        </w:tc>
        <w:tc>
          <w:tcPr>
            <w:tcW w:w="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cash provided by (used in) financing activities</w:t>
            </w:r>
          </w:p>
        </w:tc>
        <w:tc>
          <w:tcPr>
            <w:tcW w:w="6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391,230</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1,052,754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232,273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Cash and cash equivalents, beginning of period</w:t>
            </w:r>
          </w:p>
        </w:tc>
        <w:tc>
          <w:tcPr>
            <w:tcW w:w="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688,537</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529,288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3"/>
                <w:szCs w:val="13"/>
                <w:b w:val="1"/>
                <w:bCs w:val="1"/>
                <w:color w:val="auto"/>
              </w:rPr>
              <w:t>Cash and cash equivalents, ending of period</w:t>
            </w:r>
          </w:p>
        </w:tc>
        <w:tc>
          <w:tcPr>
            <w:tcW w:w="900" w:type="dxa"/>
            <w:vAlign w:val="bottom"/>
            <w:gridSpan w:val="2"/>
          </w:tcPr>
          <w:p>
            <w:pPr>
              <w:jc w:val="right"/>
              <w:ind w:right="149"/>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920,810</w:t>
            </w:r>
          </w:p>
        </w:tc>
        <w:tc>
          <w:tcPr>
            <w:tcW w:w="44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1,050,072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3"/>
                <w:szCs w:val="13"/>
                <w:b w:val="1"/>
                <w:bCs w:val="1"/>
                <w:color w:val="auto"/>
              </w:rPr>
              <w:t>Cash payments for:</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w:t>
            </w:r>
          </w:p>
        </w:tc>
        <w:tc>
          <w:tcPr>
            <w:tcW w:w="900" w:type="dxa"/>
            <w:vAlign w:val="bottom"/>
            <w:gridSpan w:val="2"/>
            <w:shd w:val="clear" w:color="auto" w:fill="CCEEFF"/>
          </w:tcPr>
          <w:p>
            <w:pPr>
              <w:jc w:val="right"/>
              <w:ind w:right="149"/>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11,571</w:t>
            </w:r>
          </w:p>
        </w:tc>
        <w:tc>
          <w:tcPr>
            <w:tcW w:w="44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Income taxes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9,211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4,510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OREO acquired in settlement of loans</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98"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First Busey Corporation, a Nevada corporation organized in 1980, is a $12.4 billion financial holding company headquartered in Champaign, Illinois. Our common stock is traded on The Nasdaq Global Select Market under the symbol “BUSE.”</w:t>
      </w:r>
    </w:p>
    <w:p>
      <w:pPr>
        <w:spacing w:after="0" w:line="16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operates and reports its business in three segments: Banking, Remittance Processing, and Wealth Management. The Banking operating segment provides a full range of banking services to individual and corporate customers through the Company’s wholly-owned bank subsidiaries, Busey Bank and GSB, with banking centers in Illinois; the St. Louis, Missouri metropolitan area; southwest Florida; and Indianapolis, Indiana. The Remittance Processing operating segment provides solutions for online bill payments, lockbox, and walk-in payments through the Company’s subsidiary, FirsTech. The Wealth Management operating segment provides a full range of asset management, investment, brokerage, fiduciary, philanthropic advisory, tax preparation, and farm management services to individuals, businesses, and foundations.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Financial Statement Presentation</w:t>
      </w:r>
    </w:p>
    <w:p>
      <w:pPr>
        <w:spacing w:after="0" w:line="198"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These unaudited consolidated financial statements and related notes should be read in conjunction with the audited consolidated financial statements included in our 2020 Annual Report. These interim unaudited consolidated financial statements serve to update our 2020 Annual Report and may not include all information and notes necessary to constitute a complete set of financial statements.</w:t>
      </w:r>
    </w:p>
    <w:p>
      <w:pPr>
        <w:spacing w:after="0" w:line="174" w:lineRule="exact"/>
        <w:rPr>
          <w:sz w:val="20"/>
          <w:szCs w:val="20"/>
          <w:color w:val="auto"/>
        </w:rPr>
      </w:pPr>
    </w:p>
    <w:p>
      <w:pPr>
        <w:ind w:left="60" w:right="359"/>
        <w:spacing w:after="0" w:line="243" w:lineRule="auto"/>
        <w:rPr>
          <w:sz w:val="20"/>
          <w:szCs w:val="20"/>
          <w:color w:val="auto"/>
        </w:rPr>
      </w:pPr>
      <w:r>
        <w:rPr>
          <w:rFonts w:ascii="Arial" w:cs="Arial" w:eastAsia="Arial" w:hAnsi="Arial"/>
          <w:sz w:val="18"/>
          <w:szCs w:val="18"/>
          <w:color w:val="auto"/>
        </w:rPr>
        <w:t>We prepared these unaudited consolidated financial statements in conformity with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74" w:lineRule="exact"/>
        <w:rPr>
          <w:sz w:val="20"/>
          <w:szCs w:val="20"/>
          <w:color w:val="auto"/>
        </w:rPr>
      </w:pPr>
    </w:p>
    <w:p>
      <w:pPr>
        <w:jc w:val="both"/>
        <w:ind w:left="60" w:right="199"/>
        <w:spacing w:after="0" w:line="248" w:lineRule="auto"/>
        <w:rPr>
          <w:sz w:val="20"/>
          <w:szCs w:val="20"/>
          <w:color w:val="auto"/>
        </w:rPr>
      </w:pPr>
      <w:r>
        <w:rPr>
          <w:rFonts w:ascii="Arial" w:cs="Arial" w:eastAsia="Arial" w:hAnsi="Arial"/>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w:t>
      </w:r>
    </w:p>
    <w:p>
      <w:pPr>
        <w:spacing w:after="0" w:line="198"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First Busey has continued to operate as an essential community resource during these challenging and unprecedented times. Federal bank regulatory agencies, along with their state counterparts, have issued a steady stream of guidance responding to the COVID-19 pandemic and have taken a number of steps to help banks navigate the pandemic and mitigate its impact.</w:t>
      </w:r>
    </w:p>
    <w:p>
      <w:pPr>
        <w:spacing w:after="0" w:line="174" w:lineRule="exact"/>
        <w:rPr>
          <w:sz w:val="20"/>
          <w:szCs w:val="20"/>
          <w:color w:val="auto"/>
        </w:rPr>
      </w:pPr>
    </w:p>
    <w:p>
      <w:pPr>
        <w:ind w:left="60" w:right="879"/>
        <w:spacing w:after="0" w:line="261" w:lineRule="auto"/>
        <w:rPr>
          <w:sz w:val="20"/>
          <w:szCs w:val="20"/>
          <w:color w:val="auto"/>
        </w:rPr>
      </w:pPr>
      <w:r>
        <w:rPr>
          <w:rFonts w:ascii="Arial" w:cs="Arial" w:eastAsia="Arial" w:hAnsi="Arial"/>
          <w:sz w:val="18"/>
          <w:szCs w:val="18"/>
          <w:color w:val="auto"/>
        </w:rPr>
        <w:t>The Company remains vigilant as the negative impacts of COVID-19, such as further margin compression and a deterioration in asset quality, could impact future quarters.</w:t>
      </w:r>
    </w:p>
    <w:p>
      <w:pPr>
        <w:spacing w:after="0" w:line="157" w:lineRule="exact"/>
        <w:rPr>
          <w:sz w:val="20"/>
          <w:szCs w:val="20"/>
          <w:color w:val="auto"/>
        </w:rPr>
      </w:pPr>
    </w:p>
    <w:p>
      <w:pPr>
        <w:ind w:left="60" w:right="379"/>
        <w:spacing w:after="0" w:line="254" w:lineRule="auto"/>
        <w:rPr>
          <w:sz w:val="20"/>
          <w:szCs w:val="20"/>
          <w:color w:val="auto"/>
        </w:rPr>
      </w:pPr>
      <w:r>
        <w:rPr>
          <w:rFonts w:ascii="Arial" w:cs="Arial" w:eastAsia="Arial" w:hAnsi="Arial"/>
          <w:sz w:val="17"/>
          <w:szCs w:val="17"/>
          <w:color w:val="auto"/>
        </w:rPr>
        <w:t>As part of the CARES Act, Congress appropriated approximately $349 billion for the creation of the PPP and then authorized a second phase for an additional $310 billion in PPP loans. The program provided payroll assistance for the nation’s nearly 30 million small businesses—and select nonprofits—in the form of 100% government-guaranteed low-interest loans from the SBA. On December 27, 2020, the Economic Aid Act extended the authority to make PPP loans through March 31, 2021, and revised certain PPP requirements. On March 30, 2021, the President signed the PPP Extension Act of 2021, which extended the PPP application deadline to May 31, 2021, or until funding was exhausted, which occurred on May 28, 2021. First Busey served as a bridge for these programs, actively helping existing and new business clients sign up for this important financial resource.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summarizes First Busey’s PPP loans as of June 30, 2021,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CARES</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Economic Aid</w:t>
            </w:r>
          </w:p>
        </w:tc>
        <w:tc>
          <w:tcPr>
            <w:tcW w:w="120" w:type="dxa"/>
            <w:vAlign w:val="bottom"/>
          </w:tcPr>
          <w:p>
            <w:pPr>
              <w:spacing w:after="0"/>
              <w:rPr>
                <w:sz w:val="14"/>
                <w:szCs w:val="14"/>
                <w:color w:val="auto"/>
              </w:rPr>
            </w:pPr>
          </w:p>
        </w:tc>
        <w:tc>
          <w:tcPr>
            <w:tcW w:w="820" w:type="dxa"/>
            <w:vAlign w:val="bottom"/>
          </w:tcPr>
          <w:p>
            <w:pPr>
              <w:jc w:val="right"/>
              <w:ind w:right="73"/>
              <w:spacing w:after="0"/>
              <w:rPr>
                <w:sz w:val="20"/>
                <w:szCs w:val="20"/>
                <w:color w:val="auto"/>
              </w:rPr>
            </w:pPr>
            <w:r>
              <w:rPr>
                <w:rFonts w:ascii="Arial" w:cs="Arial" w:eastAsia="Arial" w:hAnsi="Arial"/>
                <w:sz w:val="14"/>
                <w:szCs w:val="14"/>
                <w:b w:val="1"/>
                <w:bCs w:val="1"/>
                <w:color w:val="auto"/>
                <w:w w:val="97"/>
              </w:rPr>
              <w:t>PPP Loan</w:t>
            </w:r>
          </w:p>
        </w:tc>
      </w:tr>
      <w:tr>
        <w:trPr>
          <w:trHeight w:val="185"/>
        </w:trPr>
        <w:tc>
          <w:tcPr>
            <w:tcW w:w="22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Act</w:t>
            </w:r>
          </w:p>
        </w:tc>
        <w:tc>
          <w:tcPr>
            <w:tcW w:w="200" w:type="dxa"/>
            <w:vAlign w:val="bottom"/>
          </w:tcPr>
          <w:p>
            <w:pPr>
              <w:spacing w:after="0"/>
              <w:rPr>
                <w:sz w:val="16"/>
                <w:szCs w:val="16"/>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Act</w:t>
            </w:r>
          </w:p>
        </w:tc>
        <w:tc>
          <w:tcPr>
            <w:tcW w:w="120" w:type="dxa"/>
            <w:vAlign w:val="bottom"/>
          </w:tcPr>
          <w:p>
            <w:pPr>
              <w:spacing w:after="0"/>
              <w:rPr>
                <w:sz w:val="16"/>
                <w:szCs w:val="16"/>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Totals</w:t>
            </w:r>
          </w:p>
        </w:tc>
      </w:tr>
      <w:tr>
        <w:trPr>
          <w:trHeight w:val="196"/>
        </w:trPr>
        <w:tc>
          <w:tcPr>
            <w:tcW w:w="578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Busey Bank customers with PPP loans processed</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4,569</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7,043</w:t>
            </w:r>
          </w:p>
        </w:tc>
      </w:tr>
      <w:tr>
        <w:trPr>
          <w:trHeight w:val="203"/>
        </w:trPr>
        <w:tc>
          <w:tcPr>
            <w:tcW w:w="5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PPP loans originated by Busey Bank</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749,429</w:t>
            </w:r>
          </w:p>
        </w:tc>
        <w:tc>
          <w:tcPr>
            <w:tcW w:w="160" w:type="dxa"/>
            <w:vAlign w:val="bottom"/>
          </w:tcPr>
          <w:p>
            <w:pPr>
              <w:spacing w:after="0"/>
              <w:rPr>
                <w:sz w:val="17"/>
                <w:szCs w:val="17"/>
                <w:color w:val="auto"/>
              </w:rPr>
            </w:pPr>
          </w:p>
        </w:tc>
        <w:tc>
          <w:tcPr>
            <w:tcW w:w="200" w:type="dxa"/>
            <w:vAlign w:val="bottom"/>
          </w:tcPr>
          <w:p>
            <w:pPr>
              <w:jc w:val="right"/>
              <w:ind w:right="14"/>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296,346</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4"/>
              </w:rPr>
              <w:t>1,045,775</w:t>
            </w:r>
          </w:p>
        </w:tc>
      </w:tr>
      <w:tr>
        <w:trPr>
          <w:trHeight w:val="203"/>
        </w:trPr>
        <w:tc>
          <w:tcPr>
            <w:tcW w:w="22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5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GSB customers with PPP loans acquired</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r>
      <w:tr>
        <w:trPr>
          <w:trHeight w:val="203"/>
        </w:trPr>
        <w:tc>
          <w:tcPr>
            <w:tcW w:w="5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PPP loans acquired from GSB</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15,783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27,694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43,477</w:t>
            </w:r>
          </w:p>
        </w:tc>
      </w:tr>
      <w:tr>
        <w:trPr>
          <w:trHeight w:val="203"/>
        </w:trPr>
        <w:tc>
          <w:tcPr>
            <w:tcW w:w="22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5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Customers with PPP loans outstanding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3,104</w:t>
            </w:r>
          </w:p>
        </w:tc>
      </w:tr>
      <w:tr>
        <w:trPr>
          <w:trHeight w:val="203"/>
        </w:trPr>
        <w:tc>
          <w:tcPr>
            <w:tcW w:w="578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PPP loans outstanding </w:t>
            </w:r>
            <w:r>
              <w:rPr>
                <w:rFonts w:ascii="Arial" w:cs="Arial" w:eastAsia="Arial" w:hAnsi="Arial"/>
                <w:sz w:val="23"/>
                <w:szCs w:val="23"/>
                <w:color w:val="auto"/>
                <w:vertAlign w:val="superscript"/>
              </w:rPr>
              <w:t>(1)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93,455</w:t>
            </w:r>
          </w:p>
        </w:tc>
        <w:tc>
          <w:tcPr>
            <w:tcW w:w="160" w:type="dxa"/>
            <w:vAlign w:val="bottom"/>
          </w:tcPr>
          <w:p>
            <w:pPr>
              <w:spacing w:after="0"/>
              <w:rPr>
                <w:sz w:val="17"/>
                <w:szCs w:val="17"/>
                <w:color w:val="auto"/>
              </w:rPr>
            </w:pPr>
          </w:p>
        </w:tc>
        <w:tc>
          <w:tcPr>
            <w:tcW w:w="200" w:type="dxa"/>
            <w:vAlign w:val="bottom"/>
          </w:tcPr>
          <w:p>
            <w:pPr>
              <w:jc w:val="right"/>
              <w:ind w:right="14"/>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306,249</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399,704</w:t>
            </w:r>
          </w:p>
        </w:tc>
      </w:tr>
      <w:tr>
        <w:trPr>
          <w:trHeight w:val="203"/>
        </w:trPr>
        <w:tc>
          <w:tcPr>
            <w:tcW w:w="5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PPP loans outstanding, amortized cost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93,099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297,296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390,395</w:t>
            </w:r>
          </w:p>
        </w:tc>
      </w:tr>
      <w:tr>
        <w:trPr>
          <w:trHeight w:val="203"/>
        </w:trPr>
        <w:tc>
          <w:tcPr>
            <w:tcW w:w="22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5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PPP loan balance forgiveness: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57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Received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667,796</w:t>
            </w:r>
          </w:p>
        </w:tc>
        <w:tc>
          <w:tcPr>
            <w:tcW w:w="160" w:type="dxa"/>
            <w:vAlign w:val="bottom"/>
          </w:tcPr>
          <w:p>
            <w:pPr>
              <w:spacing w:after="0"/>
              <w:rPr>
                <w:sz w:val="17"/>
                <w:szCs w:val="17"/>
                <w:color w:val="auto"/>
              </w:rPr>
            </w:pPr>
          </w:p>
        </w:tc>
        <w:tc>
          <w:tcPr>
            <w:tcW w:w="200" w:type="dxa"/>
            <w:vAlign w:val="bottom"/>
          </w:tcPr>
          <w:p>
            <w:pPr>
              <w:jc w:val="right"/>
              <w:ind w:right="14"/>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17,788</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685,584</w:t>
            </w:r>
          </w:p>
        </w:tc>
      </w:tr>
      <w:tr>
        <w:trPr>
          <w:trHeight w:val="203"/>
        </w:trPr>
        <w:tc>
          <w:tcPr>
            <w:tcW w:w="57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Balances submitted to the SBA for forgiveness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18,652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20,891</w:t>
            </w:r>
          </w:p>
        </w:tc>
      </w:tr>
      <w:tr>
        <w:trPr>
          <w:trHeight w:val="115"/>
        </w:trPr>
        <w:tc>
          <w:tcPr>
            <w:tcW w:w="224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spacing w:after="0" w:line="62"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Consolidated totals include Busey Bank and GSB.</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preparing the accompanying unaudited consolidated financial statements in conformity with GAAP, the Company’s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investment securities available for sale, fair value of assets acquired and liabilities assumed in business combinations, goodwill, income taxes, and the determination of the ACL.</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ind w:left="60" w:right="119"/>
        <w:spacing w:after="0" w:line="255" w:lineRule="auto"/>
        <w:rPr>
          <w:sz w:val="20"/>
          <w:szCs w:val="20"/>
          <w:color w:val="auto"/>
        </w:rPr>
      </w:pPr>
      <w:r>
        <w:rPr>
          <w:rFonts w:ascii="Arial" w:cs="Arial" w:eastAsia="Arial" w:hAnsi="Arial"/>
          <w:sz w:val="17"/>
          <w:szCs w:val="17"/>
          <w:color w:val="auto"/>
        </w:rPr>
        <w:t>The Company has evaluated subsequent events for potential recognition and/or disclosure through the date the unaudited consolidated financial statements included in this Quarterly Report were issued. On July 27, 2021, the Company announced its Personal Banking Transformation Plan which includes plans to close and consolidate 15 Busey Bank banking centers. In addition, the Company announced plans to consolidate two GSB banking centers, with the banking centers in connection with the integration of the acquisition. Each of these banking center closures is expected to occur in the fourth quarter of 2021. There were no other significant subsequent events for the quarter ended June 30, 2021, through the filing date of these unaudited consolidated financial statements.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Acquisitions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Cummins-American Corp.</w:t>
      </w:r>
    </w:p>
    <w:p>
      <w:pPr>
        <w:spacing w:after="0" w:line="198" w:lineRule="exact"/>
        <w:rPr>
          <w:sz w:val="20"/>
          <w:szCs w:val="20"/>
          <w:color w:val="auto"/>
        </w:rPr>
      </w:pPr>
    </w:p>
    <w:p>
      <w:pPr>
        <w:ind w:left="60" w:right="139"/>
        <w:spacing w:after="0" w:line="257" w:lineRule="auto"/>
        <w:rPr>
          <w:sz w:val="20"/>
          <w:szCs w:val="20"/>
          <w:color w:val="auto"/>
        </w:rPr>
      </w:pPr>
      <w:r>
        <w:rPr>
          <w:rFonts w:ascii="Arial" w:cs="Arial" w:eastAsia="Arial" w:hAnsi="Arial"/>
          <w:sz w:val="17"/>
          <w:szCs w:val="17"/>
          <w:color w:val="auto"/>
        </w:rPr>
        <w:t>Effective May 31, 2021, the Company completed its acquisition of CAC, the holding company for GSB. The partnership will enhance the Company’s existing deposit, commercial banking, and wealth management presence in the Chicago-Naperville-Elgin, IL-IN-WI Metropolitan Statistical Area. GSB’s results of operations were included in the Company’s results of operation beginning June 1, 2021. Busey will operate GSB as a separate banking subsidiary of Busey until it is merged with Busey Bank, which is expected to occur in the third quarter of 2021. At the time of the bank merger, all GSB banking centers will become branches of Busey Bank.</w:t>
      </w:r>
    </w:p>
    <w:p>
      <w:pPr>
        <w:spacing w:after="0" w:line="162" w:lineRule="exact"/>
        <w:rPr>
          <w:sz w:val="20"/>
          <w:szCs w:val="20"/>
          <w:color w:val="auto"/>
        </w:rPr>
      </w:pPr>
    </w:p>
    <w:p>
      <w:pPr>
        <w:ind w:left="60" w:right="179"/>
        <w:spacing w:after="0" w:line="279" w:lineRule="auto"/>
        <w:rPr>
          <w:sz w:val="20"/>
          <w:szCs w:val="20"/>
          <w:color w:val="auto"/>
        </w:rPr>
      </w:pPr>
      <w:r>
        <w:rPr>
          <w:rFonts w:ascii="Arial" w:cs="Arial" w:eastAsia="Arial" w:hAnsi="Arial"/>
          <w:sz w:val="16"/>
          <w:szCs w:val="16"/>
          <w:color w:val="auto"/>
        </w:rPr>
        <w:t>Under terms of the definitive agreement, each share of CAC common stock issued and outstanding as of the effective date was converted into the right to receive 444.4783 shares of First Busey common stock and $14,173.96 in cash, which reflects the adjustments made to the cash consideration in accordance with the terms of the definitive agreement. The fair value of the common shares issued as part of the consideration paid for CAC was determined on the basis of the closing price of the Company’s common shares on the last trading day immediately preceding the acquisition date of</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159"/>
        <w:spacing w:after="0" w:line="324" w:lineRule="auto"/>
        <w:rPr>
          <w:sz w:val="20"/>
          <w:szCs w:val="20"/>
          <w:color w:val="auto"/>
        </w:rPr>
      </w:pPr>
      <w:r>
        <w:rPr>
          <w:rFonts w:ascii="Arial" w:cs="Arial" w:eastAsia="Arial" w:hAnsi="Arial"/>
          <w:sz w:val="16"/>
          <w:szCs w:val="16"/>
          <w:color w:val="auto"/>
        </w:rPr>
        <w:t>May 31, 2021. As additional consideration provided to CAC’s shareholders in the merger, CAC paid a special dividend to its shareholders in the amount of $60 million, or $12,087.58 per share of CAC common stock, on May 28, 2021.</w:t>
      </w:r>
    </w:p>
    <w:p>
      <w:pPr>
        <w:spacing w:after="0" w:line="111"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This transaction was accounted for using the acquisition method of accounting and, accordingly, assets acquired, liabilities assumed, and consideration exchanged was recorded at estimated fair values on the date of acquisition. Fair values are considered provisional until final fair values are determined, or the measurement period has passed, but no later than one year from the acquisition date. Reviews of third-party valuations for loans, deposits, and other intangible assets are still being performed by management. Therefore, amounts are subject to change, and could change materially from the provisional amounts discussed below.</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the total consideration paid for CAC exceeded the provisional fair value of net assets acquired, estimated goodwill</w:t>
      </w:r>
    </w:p>
    <w:p>
      <w:pPr>
        <w:spacing w:after="0" w:line="23"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of $6.0 million was recorded as of the acquisition date. The amount of Goodwill recognized as a result of this transaction is expected to be fully tax deductible for federal income tax purposes in accordance with the Company’s election pursuant to Section 338(h)(10) of the Internal Revenue Code. Goodwill recorded for this transaction reflects synergies expected from the acquisition and expansion within the Chicago-Naperville-Elgin, IL-IN-WI Metropolitan Statistical Area, and was assigned to the Banking operating segment.</w:t>
      </w:r>
    </w:p>
    <w:p>
      <w:pPr>
        <w:spacing w:after="0" w:line="177"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color w:val="auto"/>
        </w:rPr>
        <w:t xml:space="preserve">The following table presents the estimated fair value of CAC’s assets acquired and liabilities assumed as of May 31, 2021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 acquired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307,339</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702,367</w:t>
            </w: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Portfolio loans, net of ACL</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430,491</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Premises and equipment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17,034</w:t>
            </w:r>
          </w:p>
        </w:tc>
      </w:tr>
      <w:tr>
        <w:trPr>
          <w:trHeight w:val="202"/>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17,340</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Mortgage servicing rights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w:t>
            </w:r>
          </w:p>
        </w:tc>
      </w:tr>
      <w:tr>
        <w:trPr>
          <w:trHeight w:val="203"/>
        </w:trPr>
        <w:tc>
          <w:tcPr>
            <w:tcW w:w="78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8,178</w:t>
            </w:r>
          </w:p>
        </w:tc>
      </w:tr>
      <w:tr>
        <w:trPr>
          <w:trHeight w:val="196"/>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1,483,378</w:t>
            </w:r>
          </w:p>
        </w:tc>
      </w:tr>
      <w:tr>
        <w:trPr>
          <w:trHeight w:val="196"/>
        </w:trPr>
        <w:tc>
          <w:tcPr>
            <w:tcW w:w="7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 assumed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1,324,396</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borrowings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16,651</w:t>
            </w:r>
          </w:p>
        </w:tc>
      </w:tr>
      <w:tr>
        <w:trPr>
          <w:trHeight w:val="202"/>
        </w:trPr>
        <w:tc>
          <w:tcPr>
            <w:tcW w:w="78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18,853</w:t>
            </w:r>
          </w:p>
        </w:tc>
      </w:tr>
      <w:tr>
        <w:trPr>
          <w:trHeight w:val="196"/>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liabilities assumed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1,359,900</w:t>
            </w:r>
          </w:p>
        </w:tc>
      </w:tr>
      <w:tr>
        <w:trPr>
          <w:trHeight w:val="196"/>
        </w:trPr>
        <w:tc>
          <w:tcPr>
            <w:tcW w:w="7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8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123,478</w:t>
            </w: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7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Consideration paid: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70,358</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Common stock</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59,105</w:t>
            </w:r>
          </w:p>
        </w:tc>
      </w:tr>
      <w:tr>
        <w:trPr>
          <w:trHeight w:val="236"/>
        </w:trPr>
        <w:tc>
          <w:tcPr>
            <w:tcW w:w="786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consideration paid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129,463</w:t>
            </w:r>
          </w:p>
        </w:tc>
      </w:tr>
      <w:tr>
        <w:trPr>
          <w:trHeight w:val="183"/>
        </w:trPr>
        <w:tc>
          <w:tcPr>
            <w:tcW w:w="7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5,985</w:t>
            </w: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99"/>
        <w:spacing w:after="0" w:line="270" w:lineRule="auto"/>
        <w:rPr>
          <w:sz w:val="20"/>
          <w:szCs w:val="20"/>
          <w:color w:val="auto"/>
        </w:rPr>
      </w:pPr>
      <w:r>
        <w:rPr>
          <w:rFonts w:ascii="Arial" w:cs="Arial" w:eastAsia="Arial" w:hAnsi="Arial"/>
          <w:sz w:val="17"/>
          <w:szCs w:val="17"/>
          <w:color w:val="auto"/>
        </w:rPr>
        <w:t>The fair value of PCD financial assets was $60.5 million on the date of acquisition. Gross contractual amounts receivable relating to the PCD financial assets was $65.2 million. The Company estimates, on the date of acquisition, that $4.2 million of the contractual cash flows specific to the PCD financial assets will not be collected.</w:t>
      </w:r>
    </w:p>
    <w:p>
      <w:pPr>
        <w:spacing w:after="0" w:line="150" w:lineRule="exact"/>
        <w:rPr>
          <w:sz w:val="20"/>
          <w:szCs w:val="20"/>
          <w:color w:val="auto"/>
        </w:rPr>
      </w:pPr>
    </w:p>
    <w:p>
      <w:pPr>
        <w:ind w:left="60" w:right="179"/>
        <w:spacing w:after="0" w:line="248" w:lineRule="auto"/>
        <w:rPr>
          <w:sz w:val="20"/>
          <w:szCs w:val="20"/>
          <w:color w:val="auto"/>
        </w:rPr>
      </w:pPr>
      <w:r>
        <w:rPr>
          <w:rFonts w:ascii="Arial" w:cs="Arial" w:eastAsia="Arial" w:hAnsi="Arial"/>
          <w:sz w:val="18"/>
          <w:szCs w:val="18"/>
          <w:color w:val="auto"/>
        </w:rPr>
        <w:t>During three and six months ended June 30, 2021, First Busey incurred $2.7 million and $3.0 million, respectively, in pre-tax acquisition expenses related to the acquisition of CAC, comprised primarily of professional fees, compensation expense, and data processing expense.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Securities</w:t>
      </w:r>
    </w:p>
    <w:p>
      <w:pPr>
        <w:spacing w:after="0" w:line="202" w:lineRule="exact"/>
        <w:rPr>
          <w:sz w:val="20"/>
          <w:szCs w:val="20"/>
          <w:color w:val="auto"/>
        </w:rPr>
      </w:pPr>
    </w:p>
    <w:p>
      <w:pPr>
        <w:ind w:left="60" w:right="159"/>
        <w:spacing w:after="0" w:line="261" w:lineRule="auto"/>
        <w:rPr>
          <w:sz w:val="20"/>
          <w:szCs w:val="20"/>
          <w:color w:val="auto"/>
        </w:rPr>
      </w:pPr>
      <w:r>
        <w:rPr>
          <w:rFonts w:ascii="Arial" w:cs="Arial" w:eastAsia="Arial" w:hAnsi="Arial"/>
          <w:sz w:val="18"/>
          <w:szCs w:val="18"/>
          <w:color w:val="auto"/>
        </w:rPr>
        <w:t xml:space="preserve">The table below provides the amortized cost, unrealized gains and losses, and fair values of debt securities summarized by major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10"/>
          </w:tcPr>
          <w:p>
            <w:pPr>
              <w:jc w:val="center"/>
              <w:ind w:left="236"/>
              <w:spacing w:after="0"/>
              <w:rPr>
                <w:sz w:val="20"/>
                <w:szCs w:val="20"/>
                <w:color w:val="auto"/>
              </w:rPr>
            </w:pPr>
            <w:r>
              <w:rPr>
                <w:rFonts w:ascii="Arial" w:cs="Arial" w:eastAsia="Arial" w:hAnsi="Arial"/>
                <w:sz w:val="14"/>
                <w:szCs w:val="14"/>
                <w:b w:val="1"/>
                <w:bCs w:val="1"/>
                <w:color w:val="auto"/>
                <w:w w:val="92"/>
              </w:rPr>
              <w:t>As of June 30, 2021</w:t>
            </w: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33"/>
        </w:trPr>
        <w:tc>
          <w:tcPr>
            <w:tcW w:w="4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2"/>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54"/>
              <w:spacing w:after="0"/>
              <w:rPr>
                <w:sz w:val="20"/>
                <w:szCs w:val="20"/>
                <w:color w:val="auto"/>
              </w:rPr>
            </w:pPr>
            <w:r>
              <w:rPr>
                <w:rFonts w:ascii="Arial" w:cs="Arial" w:eastAsia="Arial" w:hAnsi="Arial"/>
                <w:sz w:val="14"/>
                <w:szCs w:val="14"/>
                <w:b w:val="1"/>
                <w:bCs w:val="1"/>
                <w:color w:val="auto"/>
              </w:rPr>
              <w:t>Fair</w:t>
            </w:r>
          </w:p>
        </w:tc>
      </w:tr>
      <w:tr>
        <w:trPr>
          <w:trHeight w:val="185"/>
        </w:trPr>
        <w:tc>
          <w:tcPr>
            <w:tcW w:w="41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ACL</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securities available for sale</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212,022</w:t>
            </w:r>
          </w:p>
        </w:tc>
        <w:tc>
          <w:tcPr>
            <w:tcW w:w="2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2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(279)</w:t>
            </w:r>
          </w:p>
        </w:tc>
        <w:tc>
          <w:tcPr>
            <w:tcW w:w="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211,893</w:t>
            </w:r>
          </w:p>
        </w:tc>
      </w:tr>
      <w:tr>
        <w:trPr>
          <w:trHeight w:val="188"/>
        </w:trPr>
        <w:tc>
          <w:tcPr>
            <w:tcW w:w="41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9"/>
              </w:rPr>
              <w:t>Obligations of U.S. government corporations and</w:t>
            </w: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7"/>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agencies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50,998</w:t>
            </w: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292,221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9,634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301,342</w:t>
            </w:r>
          </w:p>
        </w:tc>
      </w:tr>
      <w:tr>
        <w:trPr>
          <w:trHeight w:val="203"/>
        </w:trPr>
        <w:tc>
          <w:tcPr>
            <w:tcW w:w="4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513,067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6,528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(5,543)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514,052</w:t>
            </w: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1,837,271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7"/>
              </w:rPr>
              <w:t>16,875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89"/>
              </w:rPr>
              <w:t>(11,952)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1,842,194</w:t>
            </w:r>
          </w:p>
        </w:tc>
      </w:tr>
      <w:tr>
        <w:trPr>
          <w:trHeight w:val="203"/>
        </w:trPr>
        <w:tc>
          <w:tcPr>
            <w:tcW w:w="4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Asset-backed securities</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246,998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246,997</w:t>
            </w:r>
          </w:p>
        </w:tc>
      </w:tr>
      <w:tr>
        <w:trPr>
          <w:trHeight w:val="203"/>
        </w:trPr>
        <w:tc>
          <w:tcPr>
            <w:tcW w:w="41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3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296,397</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1,457</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(813)</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297,041</w:t>
            </w:r>
          </w:p>
        </w:tc>
      </w:tr>
      <w:tr>
        <w:trPr>
          <w:trHeight w:val="196"/>
        </w:trPr>
        <w:tc>
          <w:tcPr>
            <w:tcW w:w="4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debt securities available for sale</w:t>
            </w: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3,447,504</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$ 36,293</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87"/>
              </w:rPr>
              <w:t>$ (19,280)</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3,464,517</w:t>
            </w:r>
          </w:p>
        </w:tc>
      </w:tr>
      <w:tr>
        <w:trPr>
          <w:trHeight w:val="20"/>
        </w:trPr>
        <w:tc>
          <w:tcPr>
            <w:tcW w:w="4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72"/>
        </w:trPr>
        <w:tc>
          <w:tcPr>
            <w:tcW w:w="4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2"/>
          </w:tcPr>
          <w:p>
            <w:pPr>
              <w:jc w:val="center"/>
              <w:ind w:right="120"/>
              <w:spacing w:after="0"/>
              <w:rPr>
                <w:sz w:val="20"/>
                <w:szCs w:val="20"/>
                <w:color w:val="auto"/>
              </w:rPr>
            </w:pPr>
            <w:r>
              <w:rPr>
                <w:rFonts w:ascii="Arial" w:cs="Arial" w:eastAsia="Arial" w:hAnsi="Arial"/>
                <w:sz w:val="14"/>
                <w:szCs w:val="14"/>
                <w:b w:val="1"/>
                <w:bCs w:val="1"/>
                <w:color w:val="auto"/>
                <w:w w:val="92"/>
              </w:rPr>
              <w:t>As of December 31, 2020</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33"/>
        </w:trPr>
        <w:tc>
          <w:tcPr>
            <w:tcW w:w="4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6"/>
              <w:spacing w:after="0" w:line="133" w:lineRule="exact"/>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2"/>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74"/>
              <w:spacing w:after="0"/>
              <w:rPr>
                <w:sz w:val="20"/>
                <w:szCs w:val="20"/>
                <w:color w:val="auto"/>
              </w:rPr>
            </w:pPr>
            <w:r>
              <w:rPr>
                <w:rFonts w:ascii="Arial" w:cs="Arial" w:eastAsia="Arial" w:hAnsi="Arial"/>
                <w:sz w:val="14"/>
                <w:szCs w:val="14"/>
                <w:b w:val="1"/>
                <w:bCs w:val="1"/>
                <w:color w:val="auto"/>
              </w:rPr>
              <w:t>Fair</w:t>
            </w:r>
          </w:p>
        </w:tc>
      </w:tr>
      <w:tr>
        <w:trPr>
          <w:trHeight w:val="185"/>
        </w:trPr>
        <w:tc>
          <w:tcPr>
            <w:tcW w:w="4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ACL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securities available for sale</w:t>
            </w: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460" w:type="dxa"/>
            <w:vAlign w:val="bottom"/>
            <w:gridSpan w:val="3"/>
          </w:tcPr>
          <w:p>
            <w:pPr>
              <w:ind w:left="36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27,481</w:t>
            </w:r>
          </w:p>
        </w:tc>
        <w:tc>
          <w:tcPr>
            <w:tcW w:w="2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356</w:t>
            </w:r>
          </w:p>
        </w:tc>
        <w:tc>
          <w:tcPr>
            <w:tcW w:w="2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4"/>
          </w:tcPr>
          <w:p>
            <w:pPr>
              <w:jc w:val="right"/>
              <w:ind w:right="9"/>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27,837</w:t>
            </w:r>
          </w:p>
        </w:tc>
      </w:tr>
      <w:tr>
        <w:trPr>
          <w:trHeight w:val="188"/>
        </w:trPr>
        <w:tc>
          <w:tcPr>
            <w:tcW w:w="41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9"/>
              </w:rPr>
              <w:t>Obligations of U.S. government corporations and</w:t>
            </w: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7"/>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agencies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69,519</w:t>
            </w: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292,940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0"/>
              </w:rPr>
              <w:t>11,779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304,711</w:t>
            </w:r>
          </w:p>
        </w:tc>
      </w:tr>
      <w:tr>
        <w:trPr>
          <w:trHeight w:val="203"/>
        </w:trPr>
        <w:tc>
          <w:tcPr>
            <w:tcW w:w="4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408,716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10,212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418,616</w:t>
            </w: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2"/>
              </w:rPr>
              <w:t>1,344,047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0"/>
              </w:rPr>
              <w:t>24,571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1,368,315</w:t>
            </w:r>
          </w:p>
        </w:tc>
      </w:tr>
      <w:tr>
        <w:trPr>
          <w:trHeight w:val="203"/>
        </w:trPr>
        <w:tc>
          <w:tcPr>
            <w:tcW w:w="4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70,953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72,189</w:t>
            </w:r>
          </w:p>
        </w:tc>
      </w:tr>
      <w:tr>
        <w:trPr>
          <w:trHeight w:val="196"/>
        </w:trPr>
        <w:tc>
          <w:tcPr>
            <w:tcW w:w="4120" w:type="dxa"/>
            <w:vAlign w:val="bottom"/>
          </w:tcPr>
          <w:p>
            <w:pPr>
              <w:spacing w:after="0" w:line="196" w:lineRule="exact"/>
              <w:rPr>
                <w:sz w:val="20"/>
                <w:szCs w:val="20"/>
                <w:color w:val="auto"/>
              </w:rPr>
            </w:pPr>
            <w:r>
              <w:rPr>
                <w:rFonts w:ascii="Arial" w:cs="Arial" w:eastAsia="Arial" w:hAnsi="Arial"/>
                <w:sz w:val="18"/>
                <w:szCs w:val="18"/>
                <w:color w:val="auto"/>
              </w:rPr>
              <w:t>Total debt securities available for sale</w:t>
            </w:r>
          </w:p>
        </w:tc>
        <w:tc>
          <w:tcPr>
            <w:tcW w:w="380" w:type="dxa"/>
            <w:vAlign w:val="bottom"/>
            <w:gridSpan w:val="2"/>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2,211,543</w:t>
            </w:r>
          </w:p>
        </w:tc>
        <w:tc>
          <w:tcPr>
            <w:tcW w:w="20" w:type="dxa"/>
            <w:vAlign w:val="bottom"/>
            <w:tcBorders>
              <w:top w:val="single" w:sz="8" w:color="auto"/>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6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5"/>
              </w:rPr>
              <w:t>$ 50,317</w:t>
            </w:r>
          </w:p>
        </w:tc>
        <w:tc>
          <w:tcPr>
            <w:tcW w:w="20" w:type="dxa"/>
            <w:vAlign w:val="bottom"/>
            <w:tcBorders>
              <w:top w:val="single" w:sz="8" w:color="auto"/>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(673)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ind w:left="18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2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2,261,187</w:t>
            </w:r>
          </w:p>
        </w:tc>
      </w:tr>
      <w:tr>
        <w:trPr>
          <w:trHeight w:val="20"/>
        </w:trPr>
        <w:tc>
          <w:tcPr>
            <w:tcW w:w="4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color w:val="auto"/>
        </w:rPr>
        <w:t xml:space="preserve">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As of June 30, 2021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Borders>
              <w:bottom w:val="single" w:sz="8" w:color="CCEEFF"/>
            </w:tcBorders>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securities available for sale</w:t>
            </w:r>
          </w:p>
        </w:tc>
        <w:tc>
          <w:tcPr>
            <w:tcW w:w="2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220"/>
              <w:spacing w:after="0" w:line="202" w:lineRule="exact"/>
              <w:rPr>
                <w:sz w:val="20"/>
                <w:szCs w:val="20"/>
                <w:color w:val="auto"/>
              </w:rPr>
            </w:pPr>
            <w:r>
              <w:rPr>
                <w:rFonts w:ascii="Arial" w:cs="Arial" w:eastAsia="Arial" w:hAnsi="Arial"/>
                <w:sz w:val="18"/>
                <w:szCs w:val="18"/>
                <w:color w:val="auto"/>
              </w:rPr>
              <w:t>Due in one year or less</w:t>
            </w:r>
          </w:p>
        </w:tc>
        <w:tc>
          <w:tcPr>
            <w:tcW w:w="3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122,809</w:t>
            </w:r>
          </w:p>
        </w:tc>
        <w:tc>
          <w:tcPr>
            <w:tcW w:w="40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123,502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Due after one year through five years</w:t>
            </w:r>
          </w:p>
        </w:tc>
        <w:tc>
          <w:tcPr>
            <w:tcW w:w="2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573,422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220"/>
              <w:spacing w:after="0" w:line="202" w:lineRule="exact"/>
              <w:rPr>
                <w:sz w:val="20"/>
                <w:szCs w:val="20"/>
                <w:color w:val="auto"/>
              </w:rPr>
            </w:pPr>
            <w:r>
              <w:rPr>
                <w:rFonts w:ascii="Arial" w:cs="Arial" w:eastAsia="Arial" w:hAnsi="Arial"/>
                <w:sz w:val="18"/>
                <w:szCs w:val="18"/>
                <w:color w:val="auto"/>
              </w:rPr>
              <w:t>Due after five years through ten years</w:t>
            </w:r>
          </w:p>
        </w:tc>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398,111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407,150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Due after ten years</w:t>
            </w:r>
          </w:p>
        </w:tc>
        <w:tc>
          <w:tcPr>
            <w:tcW w:w="29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2,353,162</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2,354,646</w:t>
            </w:r>
          </w:p>
        </w:tc>
        <w:tc>
          <w:tcPr>
            <w:tcW w:w="0" w:type="dxa"/>
            <w:vAlign w:val="bottom"/>
          </w:tcPr>
          <w:p>
            <w:pPr>
              <w:spacing w:after="0"/>
              <w:rPr>
                <w:sz w:val="1"/>
                <w:szCs w:val="1"/>
                <w:color w:val="auto"/>
              </w:rPr>
            </w:pPr>
          </w:p>
        </w:tc>
      </w:tr>
      <w:tr>
        <w:trPr>
          <w:trHeight w:val="196"/>
        </w:trPr>
        <w:tc>
          <w:tcPr>
            <w:tcW w:w="36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debt securities available for sale</w:t>
            </w:r>
          </w:p>
        </w:tc>
        <w:tc>
          <w:tcPr>
            <w:tcW w:w="29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3,447,504</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3,464,517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940" w:type="dxa"/>
            <w:vAlign w:val="bottom"/>
            <w:vMerge w:val="restart"/>
          </w:tcPr>
          <w:p>
            <w:pPr>
              <w:jc w:val="right"/>
              <w:ind w:right="195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auto"/>
        </w:rPr>
        <w:t xml:space="preserve">Realized gains and losses related to sales and calls of debt securities available for sale are summarized as follows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ind w:right="55"/>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55"/>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216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20" w:type="dxa"/>
            <w:vAlign w:val="bottom"/>
          </w:tcPr>
          <w:p>
            <w:pPr>
              <w:spacing w:after="0"/>
              <w:rPr>
                <w:sz w:val="17"/>
                <w:szCs w:val="17"/>
                <w:color w:val="auto"/>
              </w:rPr>
            </w:pPr>
          </w:p>
        </w:tc>
        <w:tc>
          <w:tcPr>
            <w:tcW w:w="4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5"/>
              </w:rPr>
              <w:t>Realized gains and losses on sales of debt securities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Gross security gains</w:t>
            </w:r>
          </w:p>
        </w:tc>
        <w:tc>
          <w:tcPr>
            <w:tcW w:w="70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499</w:t>
            </w:r>
          </w:p>
        </w:tc>
        <w:tc>
          <w:tcPr>
            <w:tcW w:w="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524</w:t>
            </w:r>
          </w:p>
        </w:tc>
        <w:tc>
          <w:tcPr>
            <w:tcW w:w="160" w:type="dxa"/>
            <w:vAlign w:val="bottom"/>
          </w:tcPr>
          <w:p>
            <w:pPr>
              <w:spacing w:after="0"/>
              <w:rPr>
                <w:sz w:val="17"/>
                <w:szCs w:val="17"/>
                <w:color w:val="auto"/>
              </w:rPr>
            </w:pPr>
          </w:p>
        </w:tc>
        <w:tc>
          <w:tcPr>
            <w:tcW w:w="20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1,707</w:t>
            </w:r>
          </w:p>
        </w:tc>
      </w:tr>
      <w:tr>
        <w:trPr>
          <w:trHeight w:val="203"/>
        </w:trPr>
        <w:tc>
          <w:tcPr>
            <w:tcW w:w="20" w:type="dxa"/>
            <w:vAlign w:val="bottom"/>
          </w:tcPr>
          <w:p>
            <w:pPr>
              <w:spacing w:after="0"/>
              <w:rPr>
                <w:sz w:val="17"/>
                <w:szCs w:val="17"/>
                <w:color w:val="auto"/>
              </w:rPr>
            </w:pPr>
          </w:p>
        </w:tc>
        <w:tc>
          <w:tcPr>
            <w:tcW w:w="43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security (losses)</w:t>
            </w:r>
          </w:p>
        </w:tc>
        <w:tc>
          <w:tcPr>
            <w:tcW w:w="5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196"/>
        </w:trPr>
        <w:tc>
          <w:tcPr>
            <w:tcW w:w="20" w:type="dxa"/>
            <w:vAlign w:val="bottom"/>
          </w:tcPr>
          <w:p>
            <w:pPr>
              <w:spacing w:after="0"/>
              <w:rPr>
                <w:sz w:val="17"/>
                <w:szCs w:val="17"/>
                <w:color w:val="auto"/>
              </w:rPr>
            </w:pPr>
          </w:p>
        </w:tc>
        <w:tc>
          <w:tcPr>
            <w:tcW w:w="4380" w:type="dxa"/>
            <w:vAlign w:val="bottom"/>
            <w:gridSpan w:val="2"/>
          </w:tcPr>
          <w:p>
            <w:pPr>
              <w:spacing w:after="0" w:line="195" w:lineRule="exact"/>
              <w:rPr>
                <w:sz w:val="20"/>
                <w:szCs w:val="20"/>
                <w:color w:val="auto"/>
              </w:rPr>
            </w:pPr>
            <w:r>
              <w:rPr>
                <w:rFonts w:ascii="Arial" w:cs="Arial" w:eastAsia="Arial" w:hAnsi="Arial"/>
                <w:sz w:val="16"/>
                <w:szCs w:val="16"/>
                <w:color w:val="auto"/>
              </w:rPr>
              <w:t xml:space="preserve">Net gains (losses) on sales of debt securities </w:t>
            </w:r>
            <w:r>
              <w:rPr>
                <w:rFonts w:ascii="Arial" w:cs="Arial" w:eastAsia="Arial" w:hAnsi="Arial"/>
                <w:sz w:val="22"/>
                <w:szCs w:val="22"/>
                <w:color w:val="auto"/>
                <w:vertAlign w:val="superscript"/>
              </w:rPr>
              <w:t>(1)</w:t>
            </w:r>
          </w:p>
        </w:tc>
        <w:tc>
          <w:tcPr>
            <w:tcW w:w="50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62" w:lineRule="exact"/>
        <w:rPr>
          <w:sz w:val="20"/>
          <w:szCs w:val="20"/>
          <w:color w:val="auto"/>
        </w:rPr>
      </w:pPr>
    </w:p>
    <w:p>
      <w:pPr>
        <w:ind w:left="480" w:right="79" w:hanging="322"/>
        <w:spacing w:after="0" w:line="273" w:lineRule="auto"/>
        <w:tabs>
          <w:tab w:leader="none" w:pos="480" w:val="left"/>
        </w:tabs>
        <w:numPr>
          <w:ilvl w:val="0"/>
          <w:numId w:val="4"/>
        </w:numPr>
        <w:rPr>
          <w:rFonts w:ascii="Arial" w:cs="Arial" w:eastAsia="Arial" w:hAnsi="Arial"/>
          <w:sz w:val="13"/>
          <w:szCs w:val="13"/>
          <w:color w:val="auto"/>
        </w:rPr>
      </w:pPr>
      <w:r>
        <w:rPr>
          <w:rFonts w:ascii="Arial" w:cs="Arial" w:eastAsia="Arial" w:hAnsi="Arial"/>
          <w:sz w:val="14"/>
          <w:szCs w:val="14"/>
          <w:color w:val="auto"/>
        </w:rPr>
        <w:t>Net gains (losses) on sales of securities reported on the unaudited Consolidated Statements of Income includes sales of equity securities, excluded in this table.</w:t>
      </w:r>
    </w:p>
    <w:p>
      <w:pPr>
        <w:spacing w:after="0" w:line="165" w:lineRule="exact"/>
        <w:rPr>
          <w:sz w:val="20"/>
          <w:szCs w:val="20"/>
          <w:color w:val="auto"/>
        </w:rPr>
      </w:pPr>
    </w:p>
    <w:p>
      <w:pPr>
        <w:ind w:left="60" w:right="79"/>
        <w:spacing w:after="0" w:line="324" w:lineRule="auto"/>
        <w:rPr>
          <w:sz w:val="20"/>
          <w:szCs w:val="20"/>
          <w:color w:val="auto"/>
        </w:rPr>
      </w:pPr>
      <w:r>
        <w:rPr>
          <w:rFonts w:ascii="Arial" w:cs="Arial" w:eastAsia="Arial" w:hAnsi="Arial"/>
          <w:sz w:val="16"/>
          <w:szCs w:val="16"/>
          <w:color w:val="auto"/>
        </w:rPr>
        <w:t>Debt securities with carrying amounts of $703.1 million on June 30, 2021, and $628.0 million December 31, 2020, were pledged as collateral for public deposits, securities sold under agreements to repurchase, and for other purposes as required.</w:t>
      </w:r>
    </w:p>
    <w:p>
      <w:pPr>
        <w:spacing w:after="0" w:line="111" w:lineRule="exact"/>
        <w:rPr>
          <w:sz w:val="20"/>
          <w:szCs w:val="20"/>
          <w:color w:val="auto"/>
        </w:rPr>
      </w:pPr>
    </w:p>
    <w:p>
      <w:pPr>
        <w:ind w:left="60" w:right="199"/>
        <w:spacing w:after="0" w:line="324" w:lineRule="auto"/>
        <w:rPr>
          <w:sz w:val="20"/>
          <w:szCs w:val="20"/>
          <w:color w:val="auto"/>
        </w:rPr>
      </w:pPr>
      <w:r>
        <w:rPr>
          <w:rFonts w:ascii="Arial" w:cs="Arial" w:eastAsia="Arial" w:hAnsi="Arial"/>
          <w:sz w:val="16"/>
          <w:szCs w:val="16"/>
          <w:color w:val="auto"/>
        </w:rPr>
        <w:t xml:space="preserve">The following information pertains to debt securities with gross unrealized losses, aggregated by investment category and the length of time that individual securities have been in a continuous loss position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As of June 30, 2021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55"/>
        </w:trPr>
        <w:tc>
          <w:tcPr>
            <w:tcW w:w="3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10"/>
          </w:tcPr>
          <w:p>
            <w:pPr>
              <w:ind w:left="180"/>
              <w:spacing w:after="0" w:line="155" w:lineRule="exact"/>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9"/>
          </w:tcPr>
          <w:p>
            <w:pPr>
              <w:ind w:left="20"/>
              <w:spacing w:after="0" w:line="155" w:lineRule="exact"/>
              <w:rPr>
                <w:sz w:val="20"/>
                <w:szCs w:val="20"/>
                <w:color w:val="auto"/>
              </w:rPr>
            </w:pPr>
            <w:r>
              <w:rPr>
                <w:rFonts w:ascii="Arial" w:cs="Arial" w:eastAsia="Arial" w:hAnsi="Arial"/>
                <w:sz w:val="14"/>
                <w:szCs w:val="14"/>
                <w:b w:val="1"/>
                <w:bCs w:val="1"/>
                <w:color w:val="auto"/>
              </w:rPr>
              <w:t>12 months or more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5"/>
          </w:tcPr>
          <w:p>
            <w:pPr>
              <w:jc w:val="right"/>
              <w:ind w:right="59"/>
              <w:spacing w:after="0" w:line="155" w:lineRule="exact"/>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3"/>
                <w:szCs w:val="13"/>
                <w:color w:val="auto"/>
              </w:rPr>
            </w:pPr>
          </w:p>
        </w:tc>
      </w:tr>
      <w:tr>
        <w:trPr>
          <w:trHeight w:val="133"/>
        </w:trPr>
        <w:tc>
          <w:tcPr>
            <w:tcW w:w="3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224"/>
              <w:spacing w:after="0" w:line="133" w:lineRule="exact"/>
              <w:rPr>
                <w:sz w:val="20"/>
                <w:szCs w:val="20"/>
                <w:color w:val="auto"/>
              </w:rPr>
            </w:pPr>
            <w:r>
              <w:rPr>
                <w:rFonts w:ascii="Arial" w:cs="Arial" w:eastAsia="Arial" w:hAnsi="Arial"/>
                <w:sz w:val="14"/>
                <w:szCs w:val="14"/>
                <w:b w:val="1"/>
                <w:bCs w:val="1"/>
                <w:color w:val="auto"/>
              </w:rPr>
              <w:t>Fair</w:t>
            </w: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4"/>
          </w:tcPr>
          <w:p>
            <w:pPr>
              <w:jc w:val="right"/>
              <w:spacing w:after="0" w:line="13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3"/>
          </w:tcPr>
          <w:p>
            <w:pPr>
              <w:jc w:val="right"/>
              <w:ind w:right="280"/>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4"/>
          </w:tcPr>
          <w:p>
            <w:pPr>
              <w:jc w:val="right"/>
              <w:spacing w:after="0" w:line="133"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5"/>
              <w:spacing w:after="0" w:line="133" w:lineRule="exact"/>
              <w:rPr>
                <w:sz w:val="20"/>
                <w:szCs w:val="20"/>
                <w:color w:val="auto"/>
              </w:rPr>
            </w:pPr>
            <w:r>
              <w:rPr>
                <w:rFonts w:ascii="Arial" w:cs="Arial" w:eastAsia="Arial" w:hAnsi="Arial"/>
                <w:sz w:val="14"/>
                <w:szCs w:val="14"/>
                <w:b w:val="1"/>
                <w:bCs w:val="1"/>
                <w:color w:val="auto"/>
              </w:rPr>
              <w:t>Fair</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ind w:left="40"/>
              <w:spacing w:after="0" w:line="133" w:lineRule="exact"/>
              <w:rPr>
                <w:sz w:val="20"/>
                <w:szCs w:val="20"/>
                <w:color w:val="auto"/>
              </w:rPr>
            </w:pPr>
            <w:r>
              <w:rPr>
                <w:rFonts w:ascii="Arial" w:cs="Arial" w:eastAsia="Arial" w:hAnsi="Arial"/>
                <w:sz w:val="14"/>
                <w:szCs w:val="14"/>
                <w:b w:val="1"/>
                <w:bCs w:val="1"/>
                <w:color w:val="auto"/>
              </w:rPr>
              <w:t>Unrealized</w:t>
            </w:r>
          </w:p>
        </w:tc>
      </w:tr>
      <w:tr>
        <w:trPr>
          <w:trHeight w:val="185"/>
        </w:trPr>
        <w:tc>
          <w:tcPr>
            <w:tcW w:w="3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9"/>
              </w:rPr>
              <w:t>Losses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9"/>
              </w:rPr>
              <w:t>Losses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205"/>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w w:val="86"/>
              </w:rPr>
              <w:t>Losses</w:t>
            </w:r>
          </w:p>
        </w:tc>
      </w:tr>
      <w:tr>
        <w:trPr>
          <w:trHeight w:val="196"/>
        </w:trPr>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securities available for sale</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150,811</w:t>
            </w:r>
          </w:p>
        </w:tc>
        <w:tc>
          <w:tcPr>
            <w:tcW w:w="400" w:type="dxa"/>
            <w:vAlign w:val="bottom"/>
            <w:gridSpan w:val="5"/>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95"/>
              </w:rPr>
              <w:t>(279)</w:t>
            </w:r>
          </w:p>
        </w:tc>
        <w:tc>
          <w:tcPr>
            <w:tcW w:w="140" w:type="dxa"/>
            <w:vAlign w:val="bottom"/>
          </w:tcPr>
          <w:p>
            <w:pPr>
              <w:spacing w:after="0"/>
              <w:rPr>
                <w:sz w:val="17"/>
                <w:szCs w:val="17"/>
                <w:color w:val="auto"/>
              </w:rPr>
            </w:pP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3"/>
          </w:tcPr>
          <w:p>
            <w:pPr>
              <w:jc w:val="right"/>
              <w:ind w:right="28"/>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7"/>
                <w:szCs w:val="17"/>
                <w:color w:val="auto"/>
              </w:rPr>
            </w:pPr>
          </w:p>
        </w:tc>
        <w:tc>
          <w:tcPr>
            <w:tcW w:w="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150,811</w:t>
            </w:r>
          </w:p>
        </w:tc>
        <w:tc>
          <w:tcPr>
            <w:tcW w:w="3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(279)</w:t>
            </w:r>
          </w:p>
        </w:tc>
      </w:tr>
      <w:tr>
        <w:trPr>
          <w:trHeight w:val="188"/>
        </w:trPr>
        <w:tc>
          <w:tcPr>
            <w:tcW w:w="35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Obligations of states and political</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subdivisions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48,579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322,082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(5,543)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322,082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(5,543)</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1,073,263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(11,948)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1,073,607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(11,952)</w:t>
            </w: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Asset-backed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98,703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95"/>
              </w:rPr>
              <w:t>(180)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98,703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200,076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(813)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200,076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r>
      <w:tr>
        <w:trPr>
          <w:trHeight w:val="196"/>
        </w:trPr>
        <w:tc>
          <w:tcPr>
            <w:tcW w:w="3500" w:type="dxa"/>
            <w:vAlign w:val="bottom"/>
          </w:tcPr>
          <w:p>
            <w:pPr>
              <w:spacing w:after="0" w:line="196" w:lineRule="exact"/>
              <w:rPr>
                <w:sz w:val="20"/>
                <w:szCs w:val="20"/>
                <w:color w:val="auto"/>
              </w:rPr>
            </w:pPr>
            <w:r>
              <w:rPr>
                <w:rFonts w:ascii="Arial" w:cs="Arial" w:eastAsia="Arial" w:hAnsi="Arial"/>
                <w:sz w:val="18"/>
                <w:szCs w:val="18"/>
                <w:color w:val="auto"/>
              </w:rPr>
              <w:t>Total temporarily impaired securities</w:t>
            </w:r>
          </w:p>
        </w:tc>
        <w:tc>
          <w:tcPr>
            <w:tcW w:w="40" w:type="dxa"/>
            <w:vAlign w:val="bottom"/>
          </w:tcPr>
          <w:p>
            <w:pPr>
              <w:spacing w:after="0"/>
              <w:rPr>
                <w:sz w:val="17"/>
                <w:szCs w:val="17"/>
                <w:color w:val="auto"/>
              </w:rPr>
            </w:pPr>
          </w:p>
        </w:tc>
        <w:tc>
          <w:tcPr>
            <w:tcW w:w="8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8"/>
              </w:rPr>
              <w:t>$ 1,893,514</w:t>
            </w: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top w:val="single" w:sz="8" w:color="auto"/>
              <w:bottom w:val="single" w:sz="8" w:color="auto"/>
            </w:tcBorders>
            <w:gridSpan w:val="5"/>
          </w:tcPr>
          <w:p>
            <w:pPr>
              <w:jc w:val="right"/>
              <w:spacing w:after="0" w:line="196" w:lineRule="exact"/>
              <w:rPr>
                <w:sz w:val="20"/>
                <w:szCs w:val="20"/>
                <w:color w:val="auto"/>
              </w:rPr>
            </w:pPr>
            <w:r>
              <w:rPr>
                <w:rFonts w:ascii="Arial" w:cs="Arial" w:eastAsia="Arial" w:hAnsi="Arial"/>
                <w:sz w:val="18"/>
                <w:szCs w:val="18"/>
                <w:color w:val="auto"/>
                <w:w w:val="90"/>
              </w:rPr>
              <w:t>$ (19,276)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344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920" w:type="dxa"/>
            <w:vAlign w:val="bottom"/>
            <w:tcBorders>
              <w:top w:val="single" w:sz="8" w:color="auto"/>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w w:val="88"/>
              </w:rPr>
              <w:t>$ 1,893,858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2"/>
              </w:rPr>
              <w:t>$ (19,280)</w:t>
            </w:r>
          </w:p>
        </w:tc>
      </w:tr>
      <w:tr>
        <w:trPr>
          <w:trHeight w:val="20"/>
        </w:trPr>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58"/>
        </w:trPr>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w w:val="90"/>
              </w:rPr>
              <w:t>As of December 31, 2020</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55"/>
        </w:trPr>
        <w:tc>
          <w:tcPr>
            <w:tcW w:w="3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Borders>
              <w:bottom w:val="single" w:sz="8" w:color="auto"/>
            </w:tcBorders>
            <w:gridSpan w:val="9"/>
          </w:tcPr>
          <w:p>
            <w:pPr>
              <w:jc w:val="right"/>
              <w:ind w:right="180"/>
              <w:spacing w:after="0" w:line="155" w:lineRule="exact"/>
              <w:rPr>
                <w:sz w:val="20"/>
                <w:szCs w:val="20"/>
                <w:color w:val="auto"/>
              </w:rPr>
            </w:pPr>
            <w:r>
              <w:rPr>
                <w:rFonts w:ascii="Arial" w:cs="Arial" w:eastAsia="Arial" w:hAnsi="Arial"/>
                <w:sz w:val="14"/>
                <w:szCs w:val="14"/>
                <w:b w:val="1"/>
                <w:bCs w:val="1"/>
                <w:color w:val="auto"/>
              </w:rPr>
              <w:t>Less than 12 months</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Borders>
              <w:bottom w:val="single" w:sz="8" w:color="auto"/>
            </w:tcBorders>
            <w:gridSpan w:val="8"/>
          </w:tcPr>
          <w:p>
            <w:pPr>
              <w:jc w:val="right"/>
              <w:ind w:right="100"/>
              <w:spacing w:after="0" w:line="155" w:lineRule="exact"/>
              <w:rPr>
                <w:sz w:val="20"/>
                <w:szCs w:val="20"/>
                <w:color w:val="auto"/>
              </w:rPr>
            </w:pPr>
            <w:r>
              <w:rPr>
                <w:rFonts w:ascii="Arial" w:cs="Arial" w:eastAsia="Arial" w:hAnsi="Arial"/>
                <w:sz w:val="14"/>
                <w:szCs w:val="14"/>
                <w:b w:val="1"/>
                <w:bCs w:val="1"/>
                <w:color w:val="auto"/>
                <w:w w:val="99"/>
              </w:rPr>
              <w:t>12 months or more</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tcPr>
          <w:p>
            <w:pPr>
              <w:spacing w:after="0"/>
              <w:rPr>
                <w:sz w:val="13"/>
                <w:szCs w:val="13"/>
                <w:color w:val="auto"/>
              </w:rPr>
            </w:pPr>
          </w:p>
        </w:tc>
      </w:tr>
      <w:tr>
        <w:trPr>
          <w:trHeight w:val="133"/>
        </w:trPr>
        <w:tc>
          <w:tcPr>
            <w:tcW w:w="3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20"/>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25"/>
              <w:spacing w:after="0" w:line="133"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5"/>
              </w:rPr>
              <w:t>Unrealized</w:t>
            </w:r>
          </w:p>
        </w:tc>
      </w:tr>
      <w:tr>
        <w:trPr>
          <w:trHeight w:val="185"/>
        </w:trPr>
        <w:tc>
          <w:tcPr>
            <w:tcW w:w="35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Value</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1"/>
              </w:rPr>
              <w:t>Losses</w:t>
            </w:r>
          </w:p>
        </w:tc>
      </w:tr>
      <w:tr>
        <w:trPr>
          <w:trHeight w:val="196"/>
        </w:trPr>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securities available for sale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8"/>
        </w:trPr>
        <w:tc>
          <w:tcPr>
            <w:tcW w:w="3500" w:type="dxa"/>
            <w:vAlign w:val="bottom"/>
          </w:tcPr>
          <w:p>
            <w:pPr>
              <w:ind w:left="220"/>
              <w:spacing w:after="0" w:line="189" w:lineRule="exact"/>
              <w:rPr>
                <w:sz w:val="20"/>
                <w:szCs w:val="20"/>
                <w:color w:val="auto"/>
              </w:rPr>
            </w:pPr>
            <w:r>
              <w:rPr>
                <w:rFonts w:ascii="Arial" w:cs="Arial" w:eastAsia="Arial" w:hAnsi="Arial"/>
                <w:sz w:val="18"/>
                <w:szCs w:val="18"/>
                <w:color w:val="auto"/>
                <w:w w:val="92"/>
              </w:rPr>
              <w:t>Obligations of U.S. government corporations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7"/>
        </w:trPr>
        <w:tc>
          <w:tcPr>
            <w:tcW w:w="3500" w:type="dxa"/>
            <w:vAlign w:val="bottom"/>
          </w:tcPr>
          <w:p>
            <w:pPr>
              <w:ind w:left="220"/>
              <w:spacing w:after="0"/>
              <w:rPr>
                <w:sz w:val="20"/>
                <w:szCs w:val="20"/>
                <w:color w:val="auto"/>
              </w:rPr>
            </w:pPr>
            <w:r>
              <w:rPr>
                <w:rFonts w:ascii="Arial" w:cs="Arial" w:eastAsia="Arial" w:hAnsi="Arial"/>
                <w:sz w:val="18"/>
                <w:szCs w:val="18"/>
                <w:color w:val="auto"/>
              </w:rPr>
              <w:t>and agencies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4"/>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6"/>
              </w:rPr>
              <w:t>$ 4,957</w:t>
            </w:r>
          </w:p>
        </w:tc>
        <w:tc>
          <w:tcPr>
            <w:tcW w:w="320" w:type="dxa"/>
            <w:vAlign w:val="bottom"/>
            <w:gridSpan w:val="4"/>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4,957</w:t>
            </w:r>
          </w:p>
        </w:tc>
        <w:tc>
          <w:tcPr>
            <w:tcW w:w="300" w:type="dxa"/>
            <w:vAlign w:val="bottom"/>
            <w:gridSpan w:val="4"/>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3"/>
        </w:trPr>
        <w:tc>
          <w:tcPr>
            <w:tcW w:w="364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w w:val="92"/>
              </w:rPr>
              <w:t>Obligations of states and political subdivisions</w:t>
            </w:r>
          </w:p>
        </w:tc>
        <w:tc>
          <w:tcPr>
            <w:tcW w:w="9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762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129,655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129,655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89,997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90,136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1,499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1,499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35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temporarily impaired securities</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$ 221,913</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(621)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$ 5,096</w:t>
            </w:r>
          </w:p>
        </w:tc>
        <w:tc>
          <w:tcPr>
            <w:tcW w:w="60" w:type="dxa"/>
            <w:vAlign w:val="bottom"/>
            <w:tcBorders>
              <w:top w:val="single" w:sz="8" w:color="auto"/>
              <w:bottom w:val="single" w:sz="8" w:color="auto"/>
            </w:tcBorders>
            <w:gridSpan w:val="2"/>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$ 227,009</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(673)</w:t>
            </w:r>
          </w:p>
        </w:tc>
      </w:tr>
      <w:tr>
        <w:trPr>
          <w:trHeight w:val="20"/>
        </w:trPr>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59"/>
        <w:spacing w:after="0" w:line="272" w:lineRule="auto"/>
        <w:rPr>
          <w:sz w:val="20"/>
          <w:szCs w:val="20"/>
          <w:color w:val="auto"/>
        </w:rPr>
      </w:pPr>
      <w:r>
        <w:rPr>
          <w:rFonts w:ascii="Arial" w:cs="Arial" w:eastAsia="Arial" w:hAnsi="Arial"/>
          <w:sz w:val="16"/>
          <w:szCs w:val="16"/>
          <w:color w:val="auto"/>
        </w:rPr>
        <w:t>Debt securities available for sale are not within the scope of CECL, however, the accounting for credit losses on these securities is affected by ASC 326-30. As of June 30, 2021, the Company’s debt security portfolio consisted of 1,249 securities, compared to 1,114 securities as of December 31, 2020. The number of debt securities in the investment portfolio in an unrealized loss position as of June 30, 2021, was 252, representing an unrealized loss of 1.02% of the aggregate fair value, compared to 23 securities as of December 31, 2020, representing an unrealized loss of 0.30% of the aggregate fair value. Unrealized losses related to changes in market interest rates and market conditions that do not represent credit-related impairments. Furthermore, the Company does not intend to sell such securities and it is more likely than not that the Company will recover the amortized cost prior to being required to sell the debt securities. Full</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color w:val="auto"/>
        </w:rPr>
        <w:t>collection of the amounts due according to the contractual terms of the debt securities is expected; therefore, the impairment related to noncredit factors is recognized in accumulated other comprehensive income (loss), net of applicable taxes. As of June 30, 2021, the Company did not hold general obligation bonds of any single issuer, the aggregate of which exceeded 10% of the Company’s stockholders’ equity.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Portfolio Loans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Distributions of portfolio loans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9"/>
              </w:rPr>
              <w:t>As of</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Portfolio loans</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Commercial</w:t>
            </w:r>
          </w:p>
        </w:tc>
        <w:tc>
          <w:tcPr>
            <w:tcW w:w="24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9"/>
              </w:rPr>
              <w:t>2,054,550</w:t>
            </w:r>
          </w:p>
        </w:tc>
        <w:tc>
          <w:tcPr>
            <w:tcW w:w="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2,014,576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Commercial real estate</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2,920,312</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2,892,535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Real estate construction</w:t>
            </w: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500,599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461,786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Retail real estate</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1,525,810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1,407,852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Retail other</w:t>
            </w:r>
          </w:p>
        </w:tc>
        <w:tc>
          <w:tcPr>
            <w:tcW w:w="2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184,379</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portfolio loans</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7,185,650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6,814,177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ACL</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(95,410)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(101,048)</w:t>
            </w:r>
          </w:p>
        </w:tc>
        <w:tc>
          <w:tcPr>
            <w:tcW w:w="0" w:type="dxa"/>
            <w:vAlign w:val="bottom"/>
          </w:tcPr>
          <w:p>
            <w:pPr>
              <w:spacing w:after="0"/>
              <w:rPr>
                <w:sz w:val="1"/>
                <w:szCs w:val="1"/>
                <w:color w:val="auto"/>
              </w:rPr>
            </w:pPr>
          </w:p>
        </w:tc>
      </w:tr>
      <w:tr>
        <w:trPr>
          <w:trHeight w:val="203"/>
        </w:trPr>
        <w:tc>
          <w:tcPr>
            <w:tcW w:w="4260" w:type="dxa"/>
            <w:vAlign w:val="bottom"/>
            <w:gridSpan w:val="2"/>
          </w:tcPr>
          <w:p>
            <w:pPr>
              <w:spacing w:after="0"/>
              <w:rPr>
                <w:sz w:val="17"/>
                <w:szCs w:val="17"/>
                <w:color w:val="auto"/>
              </w:rPr>
            </w:pP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Portfolio loans, net</w:t>
            </w:r>
          </w:p>
        </w:tc>
        <w:tc>
          <w:tcPr>
            <w:tcW w:w="2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7,090,240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6,713,129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Net deferred loan origination (fees) costs included in the balances above were ($0.3) million as of June 30, 2021, compared to $2.4 million as of December 31, 2020. Net accretable purchase accounting adjustments included in the balances above reduced loans by $11.5 million as of June 30, 2021, and $10.9 million as of December 31, 2020. The June 30, 2021, commercial balance includes loans originated under PPP with an amortized cost of $390.4 million, compared to $446.4 million in loans originated under PPP included in the December 31, 2020, balance.</w:t>
      </w:r>
    </w:p>
    <w:p>
      <w:pPr>
        <w:spacing w:after="0" w:line="160"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During the three and six months ended June 30, 2021, the Company purchased retail real estate loans totaling $32.2 million, compared to no retail real estate loan purchases during the three months ended June 30, 2020, and $43.9 million of retail real estate loan purchases in the six months ended June 30, 2020.</w:t>
      </w:r>
    </w:p>
    <w:p>
      <w:pPr>
        <w:spacing w:after="0" w:line="168" w:lineRule="exact"/>
        <w:rPr>
          <w:sz w:val="20"/>
          <w:szCs w:val="20"/>
          <w:color w:val="auto"/>
        </w:rPr>
      </w:pPr>
    </w:p>
    <w:p>
      <w:pPr>
        <w:ind w:left="60" w:right="939"/>
        <w:spacing w:after="0" w:line="261" w:lineRule="auto"/>
        <w:rPr>
          <w:sz w:val="20"/>
          <w:szCs w:val="20"/>
          <w:color w:val="auto"/>
        </w:rPr>
      </w:pPr>
      <w:r>
        <w:rPr>
          <w:rFonts w:ascii="Arial" w:cs="Arial" w:eastAsia="Arial" w:hAnsi="Arial"/>
          <w:sz w:val="18"/>
          <w:szCs w:val="18"/>
          <w:color w:val="auto"/>
        </w:rPr>
        <w:t>The Company utilizes a loan grading scale to assign a risk grade to all of its loans. A description of the general characteristics of each grade is as follows:</w:t>
      </w:r>
    </w:p>
    <w:p>
      <w:pPr>
        <w:spacing w:after="0" w:line="157" w:lineRule="exact"/>
        <w:rPr>
          <w:sz w:val="20"/>
          <w:szCs w:val="20"/>
          <w:color w:val="auto"/>
        </w:rPr>
      </w:pPr>
    </w:p>
    <w:p>
      <w:pPr>
        <w:ind w:left="720" w:right="339" w:hanging="319"/>
        <w:spacing w:after="0" w:line="24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 This category includes loans that are all considered acceptable credits, ranging from investment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to loans made to borrowers who exhibit credit fundamentals that meet or exceed industry standards.</w:t>
      </w:r>
    </w:p>
    <w:p>
      <w:pPr>
        <w:spacing w:after="0" w:line="168" w:lineRule="exact"/>
        <w:rPr>
          <w:rFonts w:ascii="Arial" w:cs="Arial" w:eastAsia="Arial" w:hAnsi="Arial"/>
          <w:sz w:val="18"/>
          <w:szCs w:val="18"/>
          <w:color w:val="auto"/>
        </w:rPr>
      </w:pPr>
    </w:p>
    <w:p>
      <w:pPr>
        <w:ind w:left="720" w:right="179" w:hanging="319"/>
        <w:spacing w:after="0" w:line="24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Watch – </w:t>
      </w:r>
      <w:r>
        <w:rPr>
          <w:rFonts w:ascii="Arial" w:cs="Arial" w:eastAsia="Arial" w:hAnsi="Arial"/>
          <w:sz w:val="18"/>
          <w:szCs w:val="18"/>
          <w:color w:val="auto"/>
        </w:rPr>
        <w:t>This category includes loans that warrant a higher than average level of monitoring to ensure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174" w:lineRule="exact"/>
        <w:rPr>
          <w:rFonts w:ascii="Arial" w:cs="Arial" w:eastAsia="Arial" w:hAnsi="Arial"/>
          <w:sz w:val="18"/>
          <w:szCs w:val="18"/>
          <w:color w:val="auto"/>
        </w:rPr>
      </w:pPr>
    </w:p>
    <w:p>
      <w:pPr>
        <w:jc w:val="both"/>
        <w:ind w:left="720" w:right="99" w:hanging="319"/>
        <w:spacing w:after="0" w:line="24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 </w:t>
      </w:r>
      <w:r>
        <w:rPr>
          <w:rFonts w:ascii="Arial" w:cs="Arial" w:eastAsia="Arial" w:hAnsi="Arial"/>
          <w:sz w:val="18"/>
          <w:szCs w:val="18"/>
          <w:color w:val="auto"/>
        </w:rPr>
        <w:t>This category is for “Other Assets Specially Mentioned” loans that have potential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if not checked or corrected, weaken the asset or inadequately protect the Company’s credit position at some future date.</w:t>
      </w:r>
    </w:p>
    <w:p>
      <w:pPr>
        <w:spacing w:after="0" w:line="168" w:lineRule="exact"/>
        <w:rPr>
          <w:rFonts w:ascii="Arial" w:cs="Arial" w:eastAsia="Arial" w:hAnsi="Arial"/>
          <w:sz w:val="18"/>
          <w:szCs w:val="18"/>
          <w:color w:val="auto"/>
        </w:rPr>
      </w:pPr>
    </w:p>
    <w:p>
      <w:pPr>
        <w:ind w:left="720" w:right="139" w:hanging="319"/>
        <w:spacing w:after="0" w:line="262"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Substandard – </w:t>
      </w:r>
      <w:r>
        <w:rPr>
          <w:rFonts w:ascii="Arial" w:cs="Arial" w:eastAsia="Arial" w:hAnsi="Arial"/>
          <w:sz w:val="17"/>
          <w:szCs w:val="17"/>
          <w:color w:val="auto"/>
        </w:rPr>
        <w:t>This category includes “Substandard” loans, determined in accordance with regulatory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left="720" w:right="139" w:hanging="319"/>
        <w:spacing w:after="0" w:line="270"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Substandard non-accrual – </w:t>
      </w:r>
      <w:r>
        <w:rPr>
          <w:rFonts w:ascii="Arial" w:cs="Arial" w:eastAsia="Arial" w:hAnsi="Arial"/>
          <w:sz w:val="17"/>
          <w:szCs w:val="17"/>
          <w:color w:val="auto"/>
        </w:rPr>
        <w:t>This category includes loans that have all the characteristics of a “Substandard” loan</w:t>
      </w:r>
      <w:r>
        <w:rPr>
          <w:rFonts w:ascii="Arial" w:cs="Arial" w:eastAsia="Arial" w:hAnsi="Arial"/>
          <w:sz w:val="17"/>
          <w:szCs w:val="17"/>
          <w:i w:val="1"/>
          <w:iCs w:val="1"/>
          <w:color w:val="auto"/>
        </w:rPr>
        <w:t xml:space="preserve"> </w:t>
      </w:r>
      <w:r>
        <w:rPr>
          <w:rFonts w:ascii="Arial" w:cs="Arial" w:eastAsia="Arial" w:hAnsi="Arial"/>
          <w:sz w:val="17"/>
          <w:szCs w:val="17"/>
          <w:color w:val="auto"/>
        </w:rPr>
        <w:t>with additional factors that make collection in full highly questionable and improbable. Such loans are placed on non-accrual status and may be dependent on collateral with a value that is difficult to determine.</w:t>
      </w:r>
    </w:p>
    <w:p>
      <w:pPr>
        <w:spacing w:after="0" w:line="150"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All loans are graded at their inception. Commercial lending relationships that are $1.0 million or less are usually processed through an expedited underwriting process. Most commercial loans greater than $1.0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 GSB’s policies are similar in nature to Busey Bank’s policies and the Company is migrating such loan production and grading toward the Busey Bank policies.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is a summary of risk grades segregated by category of portfolio loans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127"/>
              <w:spacing w:after="0"/>
              <w:rPr>
                <w:sz w:val="20"/>
                <w:szCs w:val="20"/>
                <w:color w:val="auto"/>
              </w:rPr>
            </w:pPr>
            <w:r>
              <w:rPr>
                <w:rFonts w:ascii="Arial" w:cs="Arial" w:eastAsia="Arial" w:hAnsi="Arial"/>
                <w:sz w:val="14"/>
                <w:szCs w:val="14"/>
                <w:b w:val="1"/>
                <w:bCs w:val="1"/>
                <w:color w:val="auto"/>
              </w:rPr>
              <w:t>As of June 30, 2021</w:t>
            </w: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33"/>
        </w:trPr>
        <w:tc>
          <w:tcPr>
            <w:tcW w:w="3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89"/>
              </w:rPr>
              <w:t>Special</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3"/>
              </w:rPr>
              <w:t>Substandard</w:t>
            </w:r>
          </w:p>
        </w:tc>
      </w:tr>
      <w:tr>
        <w:trPr>
          <w:trHeight w:val="185"/>
        </w:trPr>
        <w:tc>
          <w:tcPr>
            <w:tcW w:w="3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Arial" w:cs="Arial" w:eastAsia="Arial" w:hAnsi="Arial"/>
                <w:sz w:val="14"/>
                <w:szCs w:val="14"/>
                <w:b w:val="1"/>
                <w:bCs w:val="1"/>
                <w:color w:val="auto"/>
              </w:rPr>
              <w:t>Pass</w:t>
            </w:r>
          </w:p>
        </w:tc>
        <w:tc>
          <w:tcPr>
            <w:tcW w:w="140" w:type="dxa"/>
            <w:vAlign w:val="bottom"/>
          </w:tcPr>
          <w:p>
            <w:pPr>
              <w:spacing w:after="0"/>
              <w:rPr>
                <w:sz w:val="16"/>
                <w:szCs w:val="16"/>
                <w:color w:val="auto"/>
              </w:rPr>
            </w:pPr>
          </w:p>
        </w:tc>
        <w:tc>
          <w:tcPr>
            <w:tcW w:w="800" w:type="dxa"/>
            <w:vAlign w:val="bottom"/>
          </w:tcPr>
          <w:p>
            <w:pPr>
              <w:jc w:val="right"/>
              <w:ind w:right="119"/>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Mention</w:t>
            </w: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Substandard</w:t>
            </w:r>
          </w:p>
        </w:tc>
        <w:tc>
          <w:tcPr>
            <w:tcW w:w="16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Non-accrual</w:t>
            </w: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Portfolio loans</w:t>
            </w:r>
          </w:p>
        </w:tc>
        <w:tc>
          <w:tcPr>
            <w:tcW w:w="1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03"/>
        </w:trPr>
        <w:tc>
          <w:tcPr>
            <w:tcW w:w="306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$ 1,816,456</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$ 131,361</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76,706</w:t>
            </w:r>
          </w:p>
        </w:tc>
        <w:tc>
          <w:tcPr>
            <w:tcW w:w="36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0"/>
              </w:rPr>
              <w:t>19,349</w:t>
            </w:r>
          </w:p>
        </w:tc>
        <w:tc>
          <w:tcPr>
            <w:tcW w:w="3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10,678</w:t>
            </w:r>
          </w:p>
        </w:tc>
      </w:tr>
      <w:tr>
        <w:trPr>
          <w:trHeight w:val="203"/>
        </w:trPr>
        <w:tc>
          <w:tcPr>
            <w:tcW w:w="3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2,446,143</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379,546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67,179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18,679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8,765</w:t>
            </w:r>
          </w:p>
        </w:tc>
      </w:tr>
      <w:tr>
        <w:trPr>
          <w:trHeight w:val="203"/>
        </w:trPr>
        <w:tc>
          <w:tcPr>
            <w:tcW w:w="306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482,718</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15,473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1,496,677</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13,878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8,241</w:t>
            </w:r>
          </w:p>
        </w:tc>
      </w:tr>
      <w:tr>
        <w:trPr>
          <w:trHeight w:val="203"/>
        </w:trPr>
        <w:tc>
          <w:tcPr>
            <w:tcW w:w="3060" w:type="dxa"/>
            <w:vAlign w:val="bottom"/>
          </w:tcPr>
          <w:p>
            <w:pPr>
              <w:ind w:left="220"/>
              <w:spacing w:after="0" w:line="202" w:lineRule="exact"/>
              <w:rPr>
                <w:sz w:val="20"/>
                <w:szCs w:val="20"/>
                <w:color w:val="auto"/>
              </w:rPr>
            </w:pPr>
            <w:r>
              <w:rPr>
                <w:rFonts w:ascii="Arial" w:cs="Arial" w:eastAsia="Arial" w:hAnsi="Arial"/>
                <w:sz w:val="18"/>
                <w:szCs w:val="18"/>
                <w:color w:val="auto"/>
              </w:rPr>
              <w:t>Retail other</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184,338</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r>
      <w:tr>
        <w:trPr>
          <w:trHeight w:val="196"/>
        </w:trPr>
        <w:tc>
          <w:tcPr>
            <w:tcW w:w="30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portfolio loans</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$ 6,426,332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$ 540,258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146,235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45,100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27,725</w:t>
            </w:r>
          </w:p>
        </w:tc>
      </w:tr>
      <w:tr>
        <w:trPr>
          <w:trHeight w:val="20"/>
        </w:trPr>
        <w:tc>
          <w:tcPr>
            <w:tcW w:w="3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58"/>
        </w:trPr>
        <w:tc>
          <w:tcPr>
            <w:tcW w:w="3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33"/>
        </w:trPr>
        <w:tc>
          <w:tcPr>
            <w:tcW w:w="3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89"/>
              </w:rPr>
              <w:t>Special</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3"/>
              </w:rPr>
              <w:t>Substandard</w:t>
            </w:r>
          </w:p>
        </w:tc>
      </w:tr>
      <w:tr>
        <w:trPr>
          <w:trHeight w:val="185"/>
        </w:trPr>
        <w:tc>
          <w:tcPr>
            <w:tcW w:w="3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Arial" w:cs="Arial" w:eastAsia="Arial" w:hAnsi="Arial"/>
                <w:sz w:val="14"/>
                <w:szCs w:val="14"/>
                <w:b w:val="1"/>
                <w:bCs w:val="1"/>
                <w:color w:val="auto"/>
              </w:rPr>
              <w:t>Pass</w:t>
            </w:r>
          </w:p>
        </w:tc>
        <w:tc>
          <w:tcPr>
            <w:tcW w:w="140" w:type="dxa"/>
            <w:vAlign w:val="bottom"/>
          </w:tcPr>
          <w:p>
            <w:pPr>
              <w:spacing w:after="0"/>
              <w:rPr>
                <w:sz w:val="16"/>
                <w:szCs w:val="16"/>
                <w:color w:val="auto"/>
              </w:rPr>
            </w:pPr>
          </w:p>
        </w:tc>
        <w:tc>
          <w:tcPr>
            <w:tcW w:w="800" w:type="dxa"/>
            <w:vAlign w:val="bottom"/>
          </w:tcPr>
          <w:p>
            <w:pPr>
              <w:jc w:val="right"/>
              <w:ind w:right="119"/>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Mention</w:t>
            </w: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Substandard</w:t>
            </w:r>
          </w:p>
        </w:tc>
        <w:tc>
          <w:tcPr>
            <w:tcW w:w="16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Non-accrual</w:t>
            </w: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Portfolio loans</w:t>
            </w:r>
          </w:p>
        </w:tc>
        <w:tc>
          <w:tcPr>
            <w:tcW w:w="1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03"/>
        </w:trPr>
        <w:tc>
          <w:tcPr>
            <w:tcW w:w="306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$ 1,768,755</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$ 136,948</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72,447</w:t>
            </w:r>
          </w:p>
        </w:tc>
        <w:tc>
          <w:tcPr>
            <w:tcW w:w="36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0"/>
              </w:rPr>
              <w:t>27,903</w:t>
            </w:r>
          </w:p>
        </w:tc>
        <w:tc>
          <w:tcPr>
            <w:tcW w:w="3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8,523</w:t>
            </w:r>
          </w:p>
        </w:tc>
      </w:tr>
      <w:tr>
        <w:trPr>
          <w:trHeight w:val="203"/>
        </w:trPr>
        <w:tc>
          <w:tcPr>
            <w:tcW w:w="3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2,393,372</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383,277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75,486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34,897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5,503</w:t>
            </w:r>
          </w:p>
        </w:tc>
      </w:tr>
      <w:tr>
        <w:trPr>
          <w:trHeight w:val="203"/>
        </w:trPr>
        <w:tc>
          <w:tcPr>
            <w:tcW w:w="306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434,681</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24,481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2,546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3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1,382,616</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8,799</w:t>
            </w:r>
          </w:p>
        </w:tc>
      </w:tr>
      <w:tr>
        <w:trPr>
          <w:trHeight w:val="203"/>
        </w:trPr>
        <w:tc>
          <w:tcPr>
            <w:tcW w:w="3060" w:type="dxa"/>
            <w:vAlign w:val="bottom"/>
          </w:tcPr>
          <w:p>
            <w:pPr>
              <w:ind w:left="220"/>
              <w:spacing w:after="0" w:line="202" w:lineRule="exact"/>
              <w:rPr>
                <w:sz w:val="20"/>
                <w:szCs w:val="20"/>
                <w:color w:val="auto"/>
              </w:rPr>
            </w:pPr>
            <w:r>
              <w:rPr>
                <w:rFonts w:ascii="Arial" w:cs="Arial" w:eastAsia="Arial" w:hAnsi="Arial"/>
                <w:sz w:val="18"/>
                <w:szCs w:val="18"/>
                <w:color w:val="auto"/>
              </w:rPr>
              <w:t>Retail other</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37,324</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196"/>
        </w:trPr>
        <w:tc>
          <w:tcPr>
            <w:tcW w:w="30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portfolio loans</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$ 6,016,748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$ 554,970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150,481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69,048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22,930</w:t>
            </w:r>
          </w:p>
        </w:tc>
      </w:tr>
      <w:tr>
        <w:trPr>
          <w:trHeight w:val="20"/>
        </w:trPr>
        <w:tc>
          <w:tcPr>
            <w:tcW w:w="3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Risk grades of portfolio loans, further sorted by origination year,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 of June 30, 2021</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gridSpan w:val="12"/>
          </w:tcPr>
          <w:p>
            <w:pPr>
              <w:ind w:left="60"/>
              <w:spacing w:after="0" w:line="155" w:lineRule="exact"/>
              <w:rPr>
                <w:sz w:val="20"/>
                <w:szCs w:val="20"/>
                <w:color w:val="auto"/>
              </w:rPr>
            </w:pPr>
            <w:r>
              <w:rPr>
                <w:rFonts w:ascii="Arial" w:cs="Arial" w:eastAsia="Arial" w:hAnsi="Arial"/>
                <w:sz w:val="14"/>
                <w:szCs w:val="14"/>
                <w:b w:val="1"/>
                <w:bCs w:val="1"/>
                <w:color w:val="auto"/>
              </w:rPr>
              <w:t>Term Loans Amortized Cost Basis by Origination Year</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Revolving</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Risk Grade Ratings</w:t>
            </w:r>
          </w:p>
        </w:tc>
        <w:tc>
          <w:tcPr>
            <w:tcW w:w="120" w:type="dxa"/>
            <w:vAlign w:val="bottom"/>
          </w:tcPr>
          <w:p>
            <w:pPr>
              <w:spacing w:after="0"/>
              <w:rPr>
                <w:sz w:val="13"/>
                <w:szCs w:val="13"/>
                <w:color w:val="auto"/>
              </w:rPr>
            </w:pPr>
          </w:p>
        </w:tc>
        <w:tc>
          <w:tcPr>
            <w:tcW w:w="80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780" w:type="dxa"/>
            <w:vAlign w:val="bottom"/>
          </w:tcPr>
          <w:p>
            <w:pPr>
              <w:jc w:val="right"/>
              <w:ind w:right="91"/>
              <w:spacing w:after="0" w:line="155" w:lineRule="exact"/>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3"/>
                <w:szCs w:val="13"/>
                <w:color w:val="auto"/>
              </w:rPr>
            </w:pPr>
          </w:p>
        </w:tc>
        <w:tc>
          <w:tcPr>
            <w:tcW w:w="8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7"/>
              </w:rPr>
              <w:t>loans</w:t>
            </w:r>
          </w:p>
        </w:tc>
        <w:tc>
          <w:tcPr>
            <w:tcW w:w="9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4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Commercial</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550,732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363,044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118,095</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94,495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79,018</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89"/>
              </w:rPr>
              <w:t>$ 129,150</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89"/>
              </w:rPr>
              <w:t>$ 481,922</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0"/>
              </w:rPr>
              <w:t>$ 1,816,456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20,256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8,415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68,800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2,864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4,845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6,920</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18,111</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38,577</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76,706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572,672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378,163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146,310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106,744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97,835</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157,289</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595,537</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2,054,550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Commercial real estate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420,841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691,476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441,952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313,315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89"/>
              </w:rPr>
              <w:t>269,126</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291,896</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17,537</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2,446,143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84,131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28,486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41,473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379,546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22,415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6,780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9,907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10,285</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9,794</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67,179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1,854</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4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485,110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763,300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582,526</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410,571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311,926</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346,777</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20,102</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Real estate construction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99,885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183,938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148,531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34,750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957</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1,277</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13,380</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482,718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154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real estate</w:t>
            </w: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102,215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196,512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149,425</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13,380</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Retail real estate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335,450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246,690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133,617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110,169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89"/>
              </w:rPr>
              <w:t>110,300</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349,052</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211,399</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1,496,677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1,934</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4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retail real</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estate</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339,821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250,264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135,766</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112,318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112,040</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358,532</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217,069</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Retail other</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22,532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28,477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35,134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23,894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13,223</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4,535</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56,543</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184,338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retail other</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22,532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28,490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35,141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23,899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13,237</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4,537</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56,543</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54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b w:val="1"/>
                <w:bCs w:val="1"/>
                <w:color w:val="auto"/>
              </w:rPr>
              <w:t>Total portfolio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1,522,350</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1,616,729</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1,049,168</w:t>
            </w:r>
          </w:p>
        </w:tc>
        <w:tc>
          <w:tcPr>
            <w:tcW w:w="80" w:type="dxa"/>
            <w:vAlign w:val="bottom"/>
            <w:shd w:val="clear" w:color="auto" w:fill="CCEEFF"/>
          </w:tcPr>
          <w:p>
            <w:pPr>
              <w:spacing w:after="0"/>
              <w:rPr>
                <w:sz w:val="16"/>
                <w:szCs w:val="1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688,565</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537,654</w:t>
            </w:r>
          </w:p>
        </w:tc>
        <w:tc>
          <w:tcPr>
            <w:tcW w:w="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$ 868,553</w:t>
            </w:r>
          </w:p>
        </w:tc>
        <w:tc>
          <w:tcPr>
            <w:tcW w:w="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$ 902,631</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$ 7,185,650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loans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11"/>
          </w:tcPr>
          <w:p>
            <w:pPr>
              <w:spacing w:after="0" w:line="155" w:lineRule="exact"/>
              <w:rPr>
                <w:sz w:val="20"/>
                <w:szCs w:val="20"/>
                <w:color w:val="auto"/>
              </w:rPr>
            </w:pPr>
            <w:r>
              <w:rPr>
                <w:rFonts w:ascii="Arial" w:cs="Arial" w:eastAsia="Arial" w:hAnsi="Arial"/>
                <w:sz w:val="14"/>
                <w:szCs w:val="14"/>
                <w:b w:val="1"/>
                <w:bCs w:val="1"/>
                <w:color w:val="auto"/>
                <w:w w:val="98"/>
              </w:rPr>
              <w:t>Term Loans Amortized Cost Basis by Origination Year</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Revolving</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Risk Grade Ratings</w:t>
            </w:r>
          </w:p>
        </w:tc>
        <w:tc>
          <w:tcPr>
            <w:tcW w:w="140" w:type="dxa"/>
            <w:vAlign w:val="bottom"/>
          </w:tcPr>
          <w:p>
            <w:pPr>
              <w:spacing w:after="0"/>
              <w:rPr>
                <w:sz w:val="13"/>
                <w:szCs w:val="13"/>
                <w:color w:val="auto"/>
              </w:rPr>
            </w:pPr>
          </w:p>
        </w:tc>
        <w:tc>
          <w:tcPr>
            <w:tcW w:w="78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78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71"/>
              <w:spacing w:after="0" w:line="155" w:lineRule="exact"/>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3"/>
                <w:szCs w:val="13"/>
                <w:color w:val="auto"/>
              </w:rPr>
            </w:pPr>
          </w:p>
        </w:tc>
        <w:tc>
          <w:tcPr>
            <w:tcW w:w="8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7"/>
              </w:rPr>
              <w:t>loans</w:t>
            </w:r>
          </w:p>
        </w:tc>
        <w:tc>
          <w:tcPr>
            <w:tcW w:w="9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4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Commercial</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812,536</w:t>
            </w:r>
          </w:p>
        </w:tc>
        <w:tc>
          <w:tcPr>
            <w:tcW w:w="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158,307</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87"/>
              </w:rPr>
              <w:t>$ 107,565</w:t>
            </w:r>
          </w:p>
        </w:tc>
        <w:tc>
          <w:tcPr>
            <w:tcW w:w="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93,190</w:t>
            </w:r>
          </w:p>
        </w:tc>
        <w:tc>
          <w:tcPr>
            <w:tcW w:w="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61,847</w:t>
            </w:r>
          </w:p>
        </w:tc>
        <w:tc>
          <w:tcPr>
            <w:tcW w:w="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79,970</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$ 455,340</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0"/>
              </w:rPr>
              <w:t>$ 1,768,755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22,247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10,943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55,959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136,948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6,402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2,671</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7,164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6,763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13,733</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33,645</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72,447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9,978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non-accrual</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commercial</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843,404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190,061</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127,410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118,185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72,647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105,947</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556,922</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2,014,576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89"/>
              </w:rPr>
              <w:t>Commercial real estate</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717,559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503,977</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360,573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89"/>
              </w:rPr>
              <w:t>384,843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2"/>
              </w:rPr>
              <w:t>180,555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2"/>
              </w:rPr>
              <w:t>227,068</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18,797</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2,393,372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110,526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90,412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27,023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383,277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16,490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8,858</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10,490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10,505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7,102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21,808</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75,486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1,377</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66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commercial</w:t>
            </w: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840,882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628,303</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463,787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437,776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222,941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278,923</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Real estate construction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179,232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171,663</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64,025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1,444</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16,088</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434,681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66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real estate</w:t>
            </w: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200,184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175,330</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16,088</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Retail real estate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319,302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162,711</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135,065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89"/>
              </w:rPr>
              <w:t>136,427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2"/>
              </w:rPr>
              <w:t>140,600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2"/>
              </w:rPr>
              <w:t>257,147</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231,364</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1,382,616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non-accrual</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66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retail real</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estate</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324,112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164,938</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137,163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137,949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144,101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263,826</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235,763</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Retail other</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8,357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9,430</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5,600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440</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10,290</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37,324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non-accrual</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retail other</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8,371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9,437</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5,605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10,291</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6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b w:val="1"/>
                <w:bCs w:val="1"/>
                <w:color w:val="auto"/>
              </w:rPr>
              <w:t>Total portfolio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2,216,953</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1,168,069</w:t>
            </w:r>
          </w:p>
        </w:tc>
        <w:tc>
          <w:tcPr>
            <w:tcW w:w="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$ 798,327</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699,747</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441,456</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650,638</w:t>
            </w: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$ 838,987</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$ 6,814,177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loans</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auto"/>
        </w:rPr>
        <w:t xml:space="preserve">An analysis of the amortized cost basis of portfolio loans that are past due and still accruing, or on a non-accrual status,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0"/>
              </w:rPr>
              <w:t>As of June 30, 2021</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56"/>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00" w:type="dxa"/>
            <w:vAlign w:val="bottom"/>
            <w:gridSpan w:val="8"/>
          </w:tcPr>
          <w:p>
            <w:pPr>
              <w:jc w:val="center"/>
              <w:ind w:right="360"/>
              <w:spacing w:after="0" w:line="155" w:lineRule="exact"/>
              <w:rPr>
                <w:sz w:val="20"/>
                <w:szCs w:val="20"/>
                <w:color w:val="auto"/>
              </w:rPr>
            </w:pPr>
            <w:r>
              <w:rPr>
                <w:rFonts w:ascii="Arial" w:cs="Arial" w:eastAsia="Arial" w:hAnsi="Arial"/>
                <w:sz w:val="14"/>
                <w:szCs w:val="14"/>
                <w:b w:val="1"/>
                <w:bCs w:val="1"/>
                <w:color w:val="auto"/>
                <w:w w:val="90"/>
              </w:rPr>
              <w:t>Loans past due, still accruing</w:t>
            </w:r>
          </w:p>
        </w:tc>
        <w:tc>
          <w:tcPr>
            <w:tcW w:w="8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Non-accrual</w:t>
            </w:r>
          </w:p>
        </w:tc>
      </w:tr>
      <w:tr>
        <w:trPr>
          <w:trHeight w:val="155"/>
        </w:trPr>
        <w:tc>
          <w:tcPr>
            <w:tcW w:w="5140" w:type="dxa"/>
            <w:vAlign w:val="bottom"/>
          </w:tcPr>
          <w:p>
            <w:pPr>
              <w:spacing w:after="0"/>
              <w:rPr>
                <w:sz w:val="13"/>
                <w:szCs w:val="13"/>
                <w:color w:val="auto"/>
              </w:rPr>
            </w:pPr>
          </w:p>
        </w:tc>
        <w:tc>
          <w:tcPr>
            <w:tcW w:w="9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30-59 Days</w:t>
            </w:r>
          </w:p>
        </w:tc>
        <w:tc>
          <w:tcPr>
            <w:tcW w:w="960" w:type="dxa"/>
            <w:vAlign w:val="bottom"/>
            <w:tcBorders>
              <w:top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2"/>
              </w:rPr>
              <w:t>60-89 Days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4"/>
              </w:rPr>
              <w:t>90+Days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ind w:right="33"/>
              <w:spacing w:after="0" w:line="155" w:lineRule="exact"/>
              <w:rPr>
                <w:sz w:val="20"/>
                <w:szCs w:val="20"/>
                <w:color w:val="auto"/>
              </w:rPr>
            </w:pPr>
            <w:r>
              <w:rPr>
                <w:rFonts w:ascii="Arial" w:cs="Arial" w:eastAsia="Arial" w:hAnsi="Arial"/>
                <w:sz w:val="14"/>
                <w:szCs w:val="14"/>
                <w:b w:val="1"/>
                <w:bCs w:val="1"/>
                <w:color w:val="auto"/>
                <w:w w:val="92"/>
              </w:rPr>
              <w:t>Loans</w:t>
            </w:r>
          </w:p>
        </w:tc>
      </w:tr>
      <w:tr>
        <w:trPr>
          <w:trHeight w:val="196"/>
        </w:trPr>
        <w:tc>
          <w:tcPr>
            <w:tcW w:w="5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Past due and non-accrual loans</w:t>
            </w: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03"/>
        </w:trPr>
        <w:tc>
          <w:tcPr>
            <w:tcW w:w="514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10,678</w:t>
            </w:r>
          </w:p>
        </w:tc>
      </w:tr>
      <w:tr>
        <w:trPr>
          <w:trHeight w:val="203"/>
        </w:trPr>
        <w:tc>
          <w:tcPr>
            <w:tcW w:w="5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8,765</w:t>
            </w:r>
          </w:p>
        </w:tc>
      </w:tr>
      <w:tr>
        <w:trPr>
          <w:trHeight w:val="203"/>
        </w:trPr>
        <w:tc>
          <w:tcPr>
            <w:tcW w:w="514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22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8,241</w:t>
            </w:r>
          </w:p>
        </w:tc>
      </w:tr>
      <w:tr>
        <w:trPr>
          <w:trHeight w:val="203"/>
        </w:trPr>
        <w:tc>
          <w:tcPr>
            <w:tcW w:w="514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Retail other</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w:t>
            </w:r>
          </w:p>
        </w:tc>
      </w:tr>
      <w:tr>
        <w:trPr>
          <w:trHeight w:val="196"/>
        </w:trPr>
        <w:tc>
          <w:tcPr>
            <w:tcW w:w="51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past due and non-accrual loans</w:t>
            </w:r>
          </w:p>
        </w:tc>
        <w:tc>
          <w:tcPr>
            <w:tcW w:w="220" w:type="dxa"/>
            <w:vAlign w:val="bottom"/>
            <w:tcBorders>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590</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27,725</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9"/>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As of December 31, 2020</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55"/>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00" w:type="dxa"/>
            <w:vAlign w:val="bottom"/>
            <w:gridSpan w:val="8"/>
          </w:tcPr>
          <w:p>
            <w:pPr>
              <w:jc w:val="center"/>
              <w:ind w:right="360"/>
              <w:spacing w:after="0" w:line="155" w:lineRule="exact"/>
              <w:rPr>
                <w:sz w:val="20"/>
                <w:szCs w:val="20"/>
                <w:color w:val="auto"/>
              </w:rPr>
            </w:pPr>
            <w:r>
              <w:rPr>
                <w:rFonts w:ascii="Arial" w:cs="Arial" w:eastAsia="Arial" w:hAnsi="Arial"/>
                <w:sz w:val="14"/>
                <w:szCs w:val="14"/>
                <w:b w:val="1"/>
                <w:bCs w:val="1"/>
                <w:color w:val="auto"/>
                <w:w w:val="90"/>
              </w:rPr>
              <w:t>Loans past due, still accruing</w:t>
            </w:r>
          </w:p>
        </w:tc>
        <w:tc>
          <w:tcPr>
            <w:tcW w:w="8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Non-accrual</w:t>
            </w:r>
          </w:p>
        </w:tc>
      </w:tr>
      <w:tr>
        <w:trPr>
          <w:trHeight w:val="156"/>
        </w:trPr>
        <w:tc>
          <w:tcPr>
            <w:tcW w:w="5140" w:type="dxa"/>
            <w:vAlign w:val="bottom"/>
          </w:tcPr>
          <w:p>
            <w:pPr>
              <w:spacing w:after="0"/>
              <w:rPr>
                <w:sz w:val="13"/>
                <w:szCs w:val="13"/>
                <w:color w:val="auto"/>
              </w:rPr>
            </w:pPr>
          </w:p>
        </w:tc>
        <w:tc>
          <w:tcPr>
            <w:tcW w:w="9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30-59 Days</w:t>
            </w:r>
          </w:p>
        </w:tc>
        <w:tc>
          <w:tcPr>
            <w:tcW w:w="960" w:type="dxa"/>
            <w:vAlign w:val="bottom"/>
            <w:tcBorders>
              <w:top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2"/>
              </w:rPr>
              <w:t>60-89 Days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4"/>
              </w:rPr>
              <w:t>90+Days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ind w:right="33"/>
              <w:spacing w:after="0" w:line="155" w:lineRule="exact"/>
              <w:rPr>
                <w:sz w:val="20"/>
                <w:szCs w:val="20"/>
                <w:color w:val="auto"/>
              </w:rPr>
            </w:pPr>
            <w:r>
              <w:rPr>
                <w:rFonts w:ascii="Arial" w:cs="Arial" w:eastAsia="Arial" w:hAnsi="Arial"/>
                <w:sz w:val="14"/>
                <w:szCs w:val="14"/>
                <w:b w:val="1"/>
                <w:bCs w:val="1"/>
                <w:color w:val="auto"/>
                <w:w w:val="92"/>
              </w:rPr>
              <w:t>Loans</w:t>
            </w:r>
          </w:p>
        </w:tc>
      </w:tr>
      <w:tr>
        <w:trPr>
          <w:trHeight w:val="196"/>
        </w:trPr>
        <w:tc>
          <w:tcPr>
            <w:tcW w:w="5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Past due and non-accrual loans</w:t>
            </w: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03"/>
        </w:trPr>
        <w:tc>
          <w:tcPr>
            <w:tcW w:w="514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8,523</w:t>
            </w:r>
          </w:p>
        </w:tc>
      </w:tr>
      <w:tr>
        <w:trPr>
          <w:trHeight w:val="203"/>
        </w:trPr>
        <w:tc>
          <w:tcPr>
            <w:tcW w:w="5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5,503</w:t>
            </w:r>
          </w:p>
        </w:tc>
      </w:tr>
      <w:tr>
        <w:trPr>
          <w:trHeight w:val="203"/>
        </w:trPr>
        <w:tc>
          <w:tcPr>
            <w:tcW w:w="514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8,799</w:t>
            </w:r>
          </w:p>
        </w:tc>
      </w:tr>
      <w:tr>
        <w:trPr>
          <w:trHeight w:val="203"/>
        </w:trPr>
        <w:tc>
          <w:tcPr>
            <w:tcW w:w="514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Retail other</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196"/>
        </w:trPr>
        <w:tc>
          <w:tcPr>
            <w:tcW w:w="51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past due and non-accrual loans</w:t>
            </w:r>
          </w:p>
        </w:tc>
        <w:tc>
          <w:tcPr>
            <w:tcW w:w="220" w:type="dxa"/>
            <w:vAlign w:val="bottom"/>
            <w:tcBorders>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6,794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1,371</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22,930</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59"/>
        <w:spacing w:after="0" w:line="276" w:lineRule="auto"/>
        <w:rPr>
          <w:sz w:val="20"/>
          <w:szCs w:val="20"/>
          <w:color w:val="auto"/>
        </w:rPr>
      </w:pPr>
      <w:r>
        <w:rPr>
          <w:rFonts w:ascii="Arial" w:cs="Arial" w:eastAsia="Arial" w:hAnsi="Arial"/>
          <w:sz w:val="16"/>
          <w:szCs w:val="16"/>
          <w:color w:val="auto"/>
        </w:rPr>
        <w:t>Gross interest income recorded on 90+ day past due loans and that would have been recorded on non-accrual loans if they had been accruing interest in accordance with their original terms was $0.4 million for the three months ended June 30, 2021 and 2020. Gross interest income recorded on 90+ day past due loans and that would have been recorded on non-accrual loans if they had been accruing interest in accordance with their original terms was $0.9 million for the six months ended June 30, 2021 and 2020. The amount of interest collected on those loans and recognized on a cash basis that was included in interest income was insignificant for the three and six months ended June 30, 2021 and 2020.</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 summary of TDR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980" w:type="dxa"/>
            <w:vAlign w:val="bottom"/>
            <w:tcBorders>
              <w:bottom w:val="single" w:sz="8" w:color="auto"/>
            </w:tcBorders>
          </w:tcPr>
          <w:p>
            <w:pPr>
              <w:spacing w:after="0"/>
              <w:rPr>
                <w:sz w:val="16"/>
                <w:szCs w:val="16"/>
                <w:color w:val="auto"/>
              </w:rPr>
            </w:pPr>
          </w:p>
        </w:tc>
      </w:tr>
      <w:tr>
        <w:trPr>
          <w:trHeight w:val="133"/>
        </w:trPr>
        <w:tc>
          <w:tcPr>
            <w:tcW w:w="6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156"/>
              <w:spacing w:after="0" w:line="133" w:lineRule="exact"/>
              <w:rPr>
                <w:sz w:val="20"/>
                <w:szCs w:val="20"/>
                <w:color w:val="auto"/>
              </w:rPr>
            </w:pPr>
            <w:r>
              <w:rPr>
                <w:rFonts w:ascii="Arial" w:cs="Arial" w:eastAsia="Arial" w:hAnsi="Arial"/>
                <w:sz w:val="14"/>
                <w:szCs w:val="14"/>
                <w:b w:val="1"/>
                <w:bCs w:val="1"/>
                <w:color w:val="auto"/>
                <w:w w:val="99"/>
              </w:rPr>
              <w:t>June 30,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56"/>
              <w:spacing w:after="0" w:line="133" w:lineRule="exact"/>
              <w:rPr>
                <w:sz w:val="20"/>
                <w:szCs w:val="20"/>
                <w:color w:val="auto"/>
              </w:rPr>
            </w:pPr>
            <w:r>
              <w:rPr>
                <w:rFonts w:ascii="Arial" w:cs="Arial" w:eastAsia="Arial" w:hAnsi="Arial"/>
                <w:sz w:val="14"/>
                <w:szCs w:val="14"/>
                <w:b w:val="1"/>
                <w:bCs w:val="1"/>
                <w:color w:val="auto"/>
                <w:w w:val="90"/>
              </w:rPr>
              <w:t>December 31,</w:t>
            </w:r>
          </w:p>
        </w:tc>
      </w:tr>
      <w:tr>
        <w:trPr>
          <w:trHeight w:val="185"/>
        </w:trPr>
        <w:tc>
          <w:tcPr>
            <w:tcW w:w="6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Performing TDR loans: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line="202" w:lineRule="exact"/>
              <w:rPr>
                <w:sz w:val="20"/>
                <w:szCs w:val="20"/>
                <w:color w:val="auto"/>
              </w:rPr>
            </w:pPr>
            <w:r>
              <w:rPr>
                <w:rFonts w:ascii="Arial" w:cs="Arial" w:eastAsia="Arial" w:hAnsi="Arial"/>
                <w:sz w:val="18"/>
                <w:szCs w:val="18"/>
                <w:color w:val="auto"/>
              </w:rPr>
              <w:t>In compliance with modified terms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2,518</w:t>
            </w:r>
          </w:p>
        </w:tc>
        <w:tc>
          <w:tcPr>
            <w:tcW w:w="3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3,814</w:t>
            </w:r>
          </w:p>
        </w:tc>
      </w:tr>
      <w:tr>
        <w:trPr>
          <w:trHeight w:val="203"/>
        </w:trPr>
        <w:tc>
          <w:tcPr>
            <w:tcW w:w="6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30 – 89 days past due</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65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Non-performing TDR loans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1,314</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1,249</w:t>
            </w:r>
          </w:p>
        </w:tc>
      </w:tr>
      <w:tr>
        <w:trPr>
          <w:trHeight w:val="196"/>
        </w:trPr>
        <w:tc>
          <w:tcPr>
            <w:tcW w:w="65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TDR loans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3,832</w:t>
            </w: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5,078</w:t>
            </w: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color w:val="auto"/>
        </w:rPr>
        <w:t>We did not newly classify any loans as performing TDRs during the three or six months ended June 30, 2021. Loans newly classified as performing TDRs during the three and six months ended June 30, 2020, included one retail real estate loan for $0.2 million for payment modification.</w:t>
      </w:r>
    </w:p>
    <w:p>
      <w:pPr>
        <w:spacing w:after="0" w:line="168" w:lineRule="exact"/>
        <w:rPr>
          <w:sz w:val="20"/>
          <w:szCs w:val="20"/>
          <w:color w:val="auto"/>
        </w:rPr>
      </w:pPr>
    </w:p>
    <w:p>
      <w:pPr>
        <w:ind w:left="60" w:right="239"/>
        <w:spacing w:after="0" w:line="276" w:lineRule="auto"/>
        <w:rPr>
          <w:sz w:val="20"/>
          <w:szCs w:val="20"/>
          <w:color w:val="auto"/>
        </w:rPr>
      </w:pPr>
      <w:r>
        <w:rPr>
          <w:rFonts w:ascii="Arial" w:cs="Arial" w:eastAsia="Arial" w:hAnsi="Arial"/>
          <w:sz w:val="16"/>
          <w:szCs w:val="16"/>
          <w:color w:val="auto"/>
        </w:rPr>
        <w:t>During the six months ended June 30, 2021, one commercial loan for $0.5 million was newly classified as a non-performing TDR for payment and rate modifications. This loan had been non-accrual since the second quarter of 2020. Also, during the six months ended June 30, 2021, one retail real estate loan for $0.1 million that had been a performing TDR for longer than 12 months, with a rate modification, became non-performing. During the six months ended June 30, 2020, three commercial loans for $0.5 million and one commercial real estate loan for $0.7 million were newly classified as non-performing TDRs for payment and rate modifications. These loans had been non-accrual since 2019.</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179"/>
        <w:spacing w:after="0" w:line="248" w:lineRule="auto"/>
        <w:rPr>
          <w:sz w:val="20"/>
          <w:szCs w:val="20"/>
          <w:color w:val="auto"/>
        </w:rPr>
      </w:pPr>
      <w:r>
        <w:rPr>
          <w:rFonts w:ascii="Arial" w:cs="Arial" w:eastAsia="Arial" w:hAnsi="Arial"/>
          <w:sz w:val="18"/>
          <w:szCs w:val="18"/>
          <w:color w:val="auto"/>
        </w:rPr>
        <w:t>There were no TDRs that were entered into during the last 12 months that were subsequently classified as non-performing and had payment defaults (a default occurs when a loan is 90 days or more past due or transferred to non-accrual) during the three and six months ended June 30, 2021 or 2020.</w:t>
      </w:r>
    </w:p>
    <w:p>
      <w:pPr>
        <w:spacing w:after="0" w:line="168" w:lineRule="exact"/>
        <w:rPr>
          <w:sz w:val="20"/>
          <w:szCs w:val="20"/>
          <w:color w:val="auto"/>
        </w:rPr>
      </w:pPr>
    </w:p>
    <w:p>
      <w:pPr>
        <w:ind w:left="60" w:right="299"/>
        <w:spacing w:after="0" w:line="291" w:lineRule="auto"/>
        <w:rPr>
          <w:sz w:val="20"/>
          <w:szCs w:val="20"/>
          <w:color w:val="auto"/>
        </w:rPr>
      </w:pPr>
      <w:r>
        <w:rPr>
          <w:rFonts w:ascii="Arial" w:cs="Arial" w:eastAsia="Arial" w:hAnsi="Arial"/>
          <w:sz w:val="17"/>
          <w:szCs w:val="17"/>
          <w:color w:val="auto"/>
        </w:rPr>
        <w:t>Gross interest income that would have been recorded in the three and six months ended June 30, 2021 and 2020 if TDRs had performed in accordance with their original terms compared with their modified terms was insignificant.</w:t>
      </w:r>
    </w:p>
    <w:p>
      <w:pPr>
        <w:spacing w:after="0" w:line="133" w:lineRule="exact"/>
        <w:rPr>
          <w:sz w:val="20"/>
          <w:szCs w:val="20"/>
          <w:color w:val="auto"/>
        </w:rPr>
      </w:pPr>
    </w:p>
    <w:p>
      <w:pPr>
        <w:ind w:left="60" w:right="399"/>
        <w:spacing w:after="0" w:line="291" w:lineRule="auto"/>
        <w:rPr>
          <w:sz w:val="20"/>
          <w:szCs w:val="20"/>
          <w:color w:val="auto"/>
        </w:rPr>
      </w:pPr>
      <w:r>
        <w:rPr>
          <w:rFonts w:ascii="Arial" w:cs="Arial" w:eastAsia="Arial" w:hAnsi="Arial"/>
          <w:sz w:val="17"/>
          <w:szCs w:val="17"/>
          <w:color w:val="auto"/>
        </w:rPr>
        <w:t>Modified loans with payment deferrals that fall under the CARES Act or revised Interagency Statement that suspended requirements under GAAP related to TDR classification are not included in the Company’s TDR totals.</w:t>
      </w:r>
    </w:p>
    <w:p>
      <w:pPr>
        <w:spacing w:after="0" w:line="133" w:lineRule="exact"/>
        <w:rPr>
          <w:sz w:val="20"/>
          <w:szCs w:val="20"/>
          <w:color w:val="auto"/>
        </w:rPr>
      </w:pPr>
    </w:p>
    <w:p>
      <w:pPr>
        <w:ind w:left="60" w:right="279"/>
        <w:spacing w:after="0" w:line="241" w:lineRule="auto"/>
        <w:rPr>
          <w:sz w:val="20"/>
          <w:szCs w:val="20"/>
          <w:color w:val="auto"/>
        </w:rPr>
      </w:pPr>
      <w:r>
        <w:rPr>
          <w:rFonts w:ascii="Arial" w:cs="Arial" w:eastAsia="Arial" w:hAnsi="Arial"/>
          <w:sz w:val="18"/>
          <w:szCs w:val="18"/>
          <w:color w:val="auto"/>
        </w:rPr>
        <w:t>As of June 30, 2021, the Company had $0.2 million of residential real estate in the process of foreclosure. The Company follows FHFA guidelines on single-family foreclosures and real estate owned evictions on portfolio loans, as well as all COVID-19 related state foreclosure and eviction orders. The existing moratoriums on single-family foreclosures expired on July 31, 2021; however, moratoriums on single-family real estate owned evictions have been extended until September 30, 2021.</w:t>
      </w:r>
    </w:p>
    <w:p>
      <w:pPr>
        <w:spacing w:after="0" w:line="17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 xml:space="preserve">The following tables provide details of loans evaluated individually, segregated by category. The Company evaluates loans with disparate risk characteristics on an individual basis. The unpaid contractual principal balance represents the customer outstanding balance excluding any partial charge-offs. Amortized cost represents customer balances net of any partial charge-offs recognized on the loan. Average amortized cost is calculated using the most recent four quarters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2"/>
              </w:rPr>
              <w:t>As of June 30, 2021</w:t>
            </w: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33"/>
        </w:trPr>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6"/>
              </w:rPr>
              <w:t>Unpaid</w:t>
            </w:r>
          </w:p>
        </w:tc>
        <w:tc>
          <w:tcPr>
            <w:tcW w:w="84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2"/>
        </w:trPr>
        <w:tc>
          <w:tcPr>
            <w:tcW w:w="35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Related</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Amortized</w:t>
            </w:r>
          </w:p>
        </w:tc>
      </w:tr>
      <w:tr>
        <w:trPr>
          <w:trHeight w:val="185"/>
        </w:trPr>
        <w:tc>
          <w:tcPr>
            <w:tcW w:w="3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Balance</w:t>
            </w: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with Allowance</w:t>
            </w:r>
          </w:p>
        </w:tc>
        <w:tc>
          <w:tcPr>
            <w:tcW w:w="140" w:type="dxa"/>
            <w:vAlign w:val="bottom"/>
          </w:tcPr>
          <w:p>
            <w:pPr>
              <w:spacing w:after="0"/>
              <w:rPr>
                <w:sz w:val="16"/>
                <w:szCs w:val="16"/>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Allowance</w:t>
            </w:r>
          </w:p>
        </w:tc>
        <w:tc>
          <w:tcPr>
            <w:tcW w:w="120" w:type="dxa"/>
            <w:vAlign w:val="bottom"/>
          </w:tcPr>
          <w:p>
            <w:pPr>
              <w:spacing w:after="0"/>
              <w:rPr>
                <w:sz w:val="16"/>
                <w:szCs w:val="16"/>
                <w:color w:val="auto"/>
              </w:rPr>
            </w:pPr>
          </w:p>
        </w:tc>
        <w:tc>
          <w:tcPr>
            <w:tcW w:w="6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Cost</w:t>
            </w:r>
          </w:p>
        </w:tc>
      </w:tr>
      <w:tr>
        <w:trPr>
          <w:trHeight w:val="196"/>
        </w:trPr>
        <w:tc>
          <w:tcPr>
            <w:tcW w:w="35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Loans evaluated on an individual basis</w:t>
            </w: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14,624</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2,237</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8,348</w:t>
            </w:r>
          </w:p>
        </w:tc>
        <w:tc>
          <w:tcPr>
            <w:tcW w:w="1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8"/>
              </w:rPr>
              <w:t>10,585</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4,470</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8,156</w:t>
            </w:r>
          </w:p>
        </w:tc>
      </w:tr>
      <w:tr>
        <w:trPr>
          <w:trHeight w:val="203"/>
        </w:trPr>
        <w:tc>
          <w:tcPr>
            <w:tcW w:w="3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8,360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7,683</w:t>
            </w: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283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r>
      <w:tr>
        <w:trPr>
          <w:trHeight w:val="203"/>
        </w:trPr>
        <w:tc>
          <w:tcPr>
            <w:tcW w:w="3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4,933</w:t>
            </w: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Retail other</w:t>
            </w:r>
          </w:p>
        </w:tc>
        <w:tc>
          <w:tcPr>
            <w:tcW w:w="8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35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loans evaluated individually</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$ 14,791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8,373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23,164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4,495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21,167</w:t>
            </w:r>
          </w:p>
        </w:tc>
      </w:tr>
      <w:tr>
        <w:trPr>
          <w:trHeight w:val="20"/>
        </w:trPr>
        <w:tc>
          <w:tcPr>
            <w:tcW w:w="3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2"/>
              </w:rPr>
              <w:t>As of December 31, 2020</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33"/>
        </w:trPr>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6"/>
              </w:rPr>
              <w:t>Unpaid</w:t>
            </w:r>
          </w:p>
        </w:tc>
        <w:tc>
          <w:tcPr>
            <w:tcW w:w="84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2"/>
        </w:trPr>
        <w:tc>
          <w:tcPr>
            <w:tcW w:w="35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Related</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Amortized</w:t>
            </w:r>
          </w:p>
        </w:tc>
      </w:tr>
      <w:tr>
        <w:trPr>
          <w:trHeight w:val="185"/>
        </w:trPr>
        <w:tc>
          <w:tcPr>
            <w:tcW w:w="3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Balance</w:t>
            </w: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with Allowance</w:t>
            </w:r>
          </w:p>
        </w:tc>
        <w:tc>
          <w:tcPr>
            <w:tcW w:w="140" w:type="dxa"/>
            <w:vAlign w:val="bottom"/>
          </w:tcPr>
          <w:p>
            <w:pPr>
              <w:spacing w:after="0"/>
              <w:rPr>
                <w:sz w:val="16"/>
                <w:szCs w:val="16"/>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Allowance</w:t>
            </w:r>
          </w:p>
        </w:tc>
        <w:tc>
          <w:tcPr>
            <w:tcW w:w="120" w:type="dxa"/>
            <w:vAlign w:val="bottom"/>
          </w:tcPr>
          <w:p>
            <w:pPr>
              <w:spacing w:after="0"/>
              <w:rPr>
                <w:sz w:val="16"/>
                <w:szCs w:val="16"/>
                <w:color w:val="auto"/>
              </w:rPr>
            </w:pPr>
          </w:p>
        </w:tc>
        <w:tc>
          <w:tcPr>
            <w:tcW w:w="6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Cost</w:t>
            </w:r>
          </w:p>
        </w:tc>
      </w:tr>
      <w:tr>
        <w:trPr>
          <w:trHeight w:val="196"/>
        </w:trPr>
        <w:tc>
          <w:tcPr>
            <w:tcW w:w="35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Loans evaluated on an individual basis</w:t>
            </w: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16,771</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4,001</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4,371</w:t>
            </w:r>
          </w:p>
        </w:tc>
        <w:tc>
          <w:tcPr>
            <w:tcW w:w="1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8,372</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7,920</w:t>
            </w:r>
          </w:p>
        </w:tc>
      </w:tr>
      <w:tr>
        <w:trPr>
          <w:trHeight w:val="203"/>
        </w:trPr>
        <w:tc>
          <w:tcPr>
            <w:tcW w:w="3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9,349</w:t>
            </w: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581</w:t>
            </w:r>
          </w:p>
        </w:tc>
      </w:tr>
      <w:tr>
        <w:trPr>
          <w:trHeight w:val="203"/>
        </w:trPr>
        <w:tc>
          <w:tcPr>
            <w:tcW w:w="3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5,490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7,439</w:t>
            </w:r>
          </w:p>
        </w:tc>
      </w:tr>
      <w:tr>
        <w:trPr>
          <w:trHeight w:val="203"/>
        </w:trPr>
        <w:tc>
          <w:tcPr>
            <w:tcW w:w="3540" w:type="dxa"/>
            <w:vAlign w:val="bottom"/>
          </w:tcPr>
          <w:p>
            <w:pPr>
              <w:ind w:left="220"/>
              <w:spacing w:after="0" w:line="202" w:lineRule="exact"/>
              <w:rPr>
                <w:sz w:val="20"/>
                <w:szCs w:val="20"/>
                <w:color w:val="auto"/>
              </w:rPr>
            </w:pPr>
            <w:r>
              <w:rPr>
                <w:rFonts w:ascii="Arial" w:cs="Arial" w:eastAsia="Arial" w:hAnsi="Arial"/>
                <w:sz w:val="18"/>
                <w:szCs w:val="18"/>
                <w:color w:val="auto"/>
              </w:rPr>
              <w:t>Retail other</w:t>
            </w:r>
          </w:p>
        </w:tc>
        <w:tc>
          <w:tcPr>
            <w:tcW w:w="8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196"/>
        </w:trPr>
        <w:tc>
          <w:tcPr>
            <w:tcW w:w="35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loans evaluated individually</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30,342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$ 15,850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4,396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20,246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25,299</w:t>
            </w:r>
          </w:p>
        </w:tc>
      </w:tr>
      <w:tr>
        <w:trPr>
          <w:trHeight w:val="20"/>
        </w:trPr>
        <w:tc>
          <w:tcPr>
            <w:tcW w:w="3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79"/>
        <w:spacing w:after="0" w:line="276" w:lineRule="auto"/>
        <w:rPr>
          <w:sz w:val="20"/>
          <w:szCs w:val="20"/>
          <w:color w:val="auto"/>
        </w:rPr>
      </w:pPr>
      <w:r>
        <w:rPr>
          <w:rFonts w:ascii="Arial" w:cs="Arial" w:eastAsia="Arial" w:hAnsi="Arial"/>
          <w:sz w:val="16"/>
          <w:szCs w:val="16"/>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Loans are written down to the lower of cost or fair value of underlying collateral, less estimated costs to sell. As of June 30, 2021, there were $17.2 million of collateral dependent loans secured by real estate or business assets.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the Company’s historical loss experience beginning in 2010. As of June 30, 2021, the Company expects the markets in which it operates to experience continued economic uncertainty around the levels of delinquencies over the next 12 months. Management adjusted the historical loss experience for these expectations with an immediate reversion to historical loss rate beyond this forecast period. PPP loans were excluded from the ACL calculation as they are 100% government guaranteed.</w:t>
      </w:r>
    </w:p>
    <w:p>
      <w:pPr>
        <w:spacing w:after="0" w:line="167" w:lineRule="exact"/>
        <w:rPr>
          <w:sz w:val="20"/>
          <w:szCs w:val="20"/>
          <w:color w:val="auto"/>
        </w:rPr>
      </w:pPr>
    </w:p>
    <w:p>
      <w:pPr>
        <w:ind w:left="60" w:right="259"/>
        <w:spacing w:after="0" w:line="261" w:lineRule="auto"/>
        <w:rPr>
          <w:sz w:val="20"/>
          <w:szCs w:val="20"/>
          <w:color w:val="auto"/>
        </w:rPr>
      </w:pPr>
      <w:r>
        <w:rPr>
          <w:rFonts w:ascii="Arial" w:cs="Arial" w:eastAsia="Arial" w:hAnsi="Arial"/>
          <w:sz w:val="18"/>
          <w:szCs w:val="18"/>
          <w:color w:val="auto"/>
        </w:rPr>
        <w:t xml:space="preserve">The following tables detail activity in the ACL. Allocation of a portion of the ACL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4"/>
                <w:szCs w:val="14"/>
                <w:b w:val="1"/>
                <w:bCs w:val="1"/>
                <w:color w:val="auto"/>
                <w:w w:val="92"/>
              </w:rPr>
              <w:t>As of and for the Three Months Ended June 30, 2021</w:t>
            </w:r>
          </w:p>
        </w:tc>
        <w:tc>
          <w:tcPr>
            <w:tcW w:w="720" w:type="dxa"/>
            <w:vAlign w:val="bottom"/>
            <w:tcBorders>
              <w:bottom w:val="single" w:sz="8" w:color="auto"/>
            </w:tcBorders>
          </w:tcPr>
          <w:p>
            <w:pPr>
              <w:spacing w:after="0"/>
              <w:rPr>
                <w:sz w:val="16"/>
                <w:szCs w:val="16"/>
                <w:color w:val="auto"/>
              </w:rPr>
            </w:pPr>
          </w:p>
        </w:tc>
      </w:tr>
      <w:tr>
        <w:trPr>
          <w:trHeight w:val="184"/>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Real Estate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Retail Real</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1"/>
        </w:trPr>
        <w:tc>
          <w:tcPr>
            <w:tcW w:w="362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Estate</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Retail Other</w:t>
            </w: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w:t>
            </w:r>
          </w:p>
        </w:tc>
      </w:tr>
      <w:tr>
        <w:trPr>
          <w:trHeight w:val="196"/>
        </w:trPr>
        <w:tc>
          <w:tcPr>
            <w:tcW w:w="36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ACL beginning balance</w:t>
            </w: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23,025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43,306</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6,879</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$ 19,978</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755</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$ 93,943</w:t>
            </w:r>
          </w:p>
        </w:tc>
      </w:tr>
      <w:tr>
        <w:trPr>
          <w:trHeight w:val="203"/>
        </w:trPr>
        <w:tc>
          <w:tcPr>
            <w:tcW w:w="3620" w:type="dxa"/>
            <w:vAlign w:val="bottom"/>
          </w:tcPr>
          <w:p>
            <w:pPr>
              <w:ind w:left="220"/>
              <w:spacing w:after="0" w:line="202" w:lineRule="exact"/>
              <w:rPr>
                <w:sz w:val="20"/>
                <w:szCs w:val="20"/>
                <w:color w:val="auto"/>
              </w:rPr>
            </w:pPr>
            <w:r>
              <w:rPr>
                <w:rFonts w:ascii="Arial" w:cs="Arial" w:eastAsia="Arial" w:hAnsi="Arial"/>
                <w:sz w:val="18"/>
                <w:szCs w:val="18"/>
                <w:color w:val="auto"/>
              </w:rPr>
              <w:t>Day 1 PCD</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3,546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4,178</w:t>
            </w:r>
          </w:p>
        </w:tc>
      </w:tr>
      <w:tr>
        <w:trPr>
          <w:trHeight w:val="203"/>
        </w:trPr>
        <w:tc>
          <w:tcPr>
            <w:tcW w:w="3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Provision for credit losses</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(3,390)</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2,035</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(1,700)</w:t>
            </w:r>
          </w:p>
        </w:tc>
      </w:tr>
      <w:tr>
        <w:trPr>
          <w:trHeight w:val="203"/>
        </w:trPr>
        <w:tc>
          <w:tcPr>
            <w:tcW w:w="3620" w:type="dxa"/>
            <w:vAlign w:val="bottom"/>
          </w:tcPr>
          <w:p>
            <w:pPr>
              <w:ind w:left="220"/>
              <w:spacing w:after="0" w:line="202" w:lineRule="exact"/>
              <w:rPr>
                <w:sz w:val="20"/>
                <w:szCs w:val="20"/>
                <w:color w:val="auto"/>
              </w:rPr>
            </w:pPr>
            <w:r>
              <w:rPr>
                <w:rFonts w:ascii="Arial" w:cs="Arial" w:eastAsia="Arial" w:hAnsi="Arial"/>
                <w:sz w:val="18"/>
                <w:szCs w:val="18"/>
                <w:color w:val="auto"/>
              </w:rPr>
              <w:t>Charged-off</w:t>
            </w:r>
          </w:p>
        </w:tc>
        <w:tc>
          <w:tcPr>
            <w:tcW w:w="16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(1,000)</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(317)</w:t>
            </w:r>
          </w:p>
        </w:tc>
        <w:tc>
          <w:tcPr>
            <w:tcW w:w="220" w:type="dxa"/>
            <w:vAlign w:val="bottom"/>
          </w:tcPr>
          <w:p>
            <w:pPr>
              <w:spacing w:after="0"/>
              <w:rPr>
                <w:sz w:val="17"/>
                <w:szCs w:val="17"/>
                <w:color w:val="auto"/>
              </w:rPr>
            </w:pP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(157)</w:t>
            </w:r>
          </w:p>
        </w:tc>
        <w:tc>
          <w:tcPr>
            <w:tcW w:w="20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(64)</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(1,538)</w:t>
            </w:r>
          </w:p>
        </w:tc>
      </w:tr>
      <w:tr>
        <w:trPr>
          <w:trHeight w:val="203"/>
        </w:trPr>
        <w:tc>
          <w:tcPr>
            <w:tcW w:w="3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Recoveries</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r>
      <w:tr>
        <w:trPr>
          <w:trHeight w:val="196"/>
        </w:trPr>
        <w:tc>
          <w:tcPr>
            <w:tcW w:w="3620" w:type="dxa"/>
            <w:vAlign w:val="bottom"/>
          </w:tcPr>
          <w:p>
            <w:pPr>
              <w:ind w:left="20"/>
              <w:spacing w:after="0" w:line="196" w:lineRule="exact"/>
              <w:rPr>
                <w:sz w:val="20"/>
                <w:szCs w:val="20"/>
                <w:color w:val="auto"/>
              </w:rPr>
            </w:pPr>
            <w:r>
              <w:rPr>
                <w:rFonts w:ascii="Arial" w:cs="Arial" w:eastAsia="Arial" w:hAnsi="Arial"/>
                <w:sz w:val="18"/>
                <w:szCs w:val="18"/>
                <w:color w:val="auto"/>
              </w:rPr>
              <w:t>ACL ending balance</w:t>
            </w: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24,356</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39,974</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7,599</w:t>
            </w:r>
          </w:p>
        </w:tc>
        <w:tc>
          <w:tcPr>
            <w:tcW w:w="14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$ 20,505</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2,976</w:t>
            </w:r>
          </w:p>
        </w:tc>
        <w:tc>
          <w:tcPr>
            <w:tcW w:w="140" w:type="dxa"/>
            <w:vAlign w:val="bottom"/>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$ 95,410</w:t>
            </w:r>
          </w:p>
        </w:tc>
      </w:tr>
      <w:tr>
        <w:trPr>
          <w:trHeight w:val="20"/>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17"/>
          </w:tcPr>
          <w:p>
            <w:pPr>
              <w:jc w:val="right"/>
              <w:ind w:right="340"/>
              <w:spacing w:after="0"/>
              <w:rPr>
                <w:sz w:val="20"/>
                <w:szCs w:val="20"/>
                <w:color w:val="auto"/>
              </w:rPr>
            </w:pPr>
            <w:r>
              <w:rPr>
                <w:rFonts w:ascii="Arial" w:cs="Arial" w:eastAsia="Arial" w:hAnsi="Arial"/>
                <w:sz w:val="14"/>
                <w:szCs w:val="14"/>
                <w:b w:val="1"/>
                <w:bCs w:val="1"/>
                <w:color w:val="auto"/>
                <w:w w:val="93"/>
              </w:rPr>
              <w:t>As of and for the Six Months Ended June 30, 2021</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Commercial</w:t>
            </w:r>
          </w:p>
        </w:tc>
        <w:tc>
          <w:tcPr>
            <w:tcW w:w="960" w:type="dxa"/>
            <w:vAlign w:val="bottom"/>
            <w:gridSpan w:val="5"/>
          </w:tcPr>
          <w:p>
            <w:pPr>
              <w:ind w:left="60"/>
              <w:spacing w:after="0"/>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6"/>
                <w:szCs w:val="16"/>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3520" w:type="dxa"/>
            <w:vAlign w:val="bottom"/>
          </w:tcPr>
          <w:p>
            <w:pPr>
              <w:spacing w:after="0"/>
              <w:rPr>
                <w:sz w:val="17"/>
                <w:szCs w:val="17"/>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Commercial</w:t>
            </w:r>
          </w:p>
        </w:tc>
        <w:tc>
          <w:tcPr>
            <w:tcW w:w="920" w:type="dxa"/>
            <w:vAlign w:val="bottom"/>
            <w:gridSpan w:val="5"/>
          </w:tcPr>
          <w:p>
            <w:pPr>
              <w:ind w:left="40"/>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Construction</w:t>
            </w:r>
          </w:p>
        </w:tc>
        <w:tc>
          <w:tcPr>
            <w:tcW w:w="8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Real Estate</w:t>
            </w:r>
          </w:p>
        </w:tc>
        <w:tc>
          <w:tcPr>
            <w:tcW w:w="940" w:type="dxa"/>
            <w:vAlign w:val="bottom"/>
            <w:gridSpan w:val="5"/>
          </w:tcPr>
          <w:p>
            <w:pPr>
              <w:ind w:left="20"/>
              <w:spacing w:after="0"/>
              <w:rPr>
                <w:sz w:val="20"/>
                <w:szCs w:val="20"/>
                <w:color w:val="auto"/>
              </w:rPr>
            </w:pPr>
            <w:r>
              <w:rPr>
                <w:rFonts w:ascii="Arial" w:cs="Arial" w:eastAsia="Arial" w:hAnsi="Arial"/>
                <w:sz w:val="14"/>
                <w:szCs w:val="14"/>
                <w:b w:val="1"/>
                <w:bCs w:val="1"/>
                <w:color w:val="auto"/>
              </w:rPr>
              <w:t>Retail 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r>
      <w:tr>
        <w:trPr>
          <w:trHeight w:val="196"/>
        </w:trPr>
        <w:tc>
          <w:tcPr>
            <w:tcW w:w="35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ACL beginning balance</w:t>
            </w: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23,866</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46,230</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8,193</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$ 21,992</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767</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$ 101,048</w:t>
            </w:r>
          </w:p>
        </w:tc>
        <w:tc>
          <w:tcPr>
            <w:tcW w:w="20" w:type="dxa"/>
            <w:vAlign w:val="bottom"/>
          </w:tcPr>
          <w:p>
            <w:pPr>
              <w:spacing w:after="0"/>
              <w:rPr>
                <w:sz w:val="17"/>
                <w:szCs w:val="17"/>
                <w:color w:val="auto"/>
              </w:rPr>
            </w:pPr>
          </w:p>
        </w:tc>
      </w:tr>
      <w:tr>
        <w:trPr>
          <w:trHeight w:val="203"/>
        </w:trPr>
        <w:tc>
          <w:tcPr>
            <w:tcW w:w="3520" w:type="dxa"/>
            <w:vAlign w:val="bottom"/>
          </w:tcPr>
          <w:p>
            <w:pPr>
              <w:ind w:left="220"/>
              <w:spacing w:after="0" w:line="202" w:lineRule="exact"/>
              <w:rPr>
                <w:sz w:val="20"/>
                <w:szCs w:val="20"/>
                <w:color w:val="auto"/>
              </w:rPr>
            </w:pPr>
            <w:r>
              <w:rPr>
                <w:rFonts w:ascii="Arial" w:cs="Arial" w:eastAsia="Arial" w:hAnsi="Arial"/>
                <w:sz w:val="18"/>
                <w:szCs w:val="18"/>
                <w:color w:val="auto"/>
              </w:rPr>
              <w:t>Day 1 PCD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3,546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4,178</w:t>
            </w:r>
          </w:p>
        </w:tc>
        <w:tc>
          <w:tcPr>
            <w:tcW w:w="20" w:type="dxa"/>
            <w:vAlign w:val="bottom"/>
          </w:tcPr>
          <w:p>
            <w:pPr>
              <w:spacing w:after="0"/>
              <w:rPr>
                <w:sz w:val="17"/>
                <w:szCs w:val="17"/>
                <w:color w:val="auto"/>
              </w:rPr>
            </w:pPr>
          </w:p>
        </w:tc>
      </w:tr>
      <w:tr>
        <w:trPr>
          <w:trHeight w:val="203"/>
        </w:trPr>
        <w:tc>
          <w:tcPr>
            <w:tcW w:w="3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Provision for credit losses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(2,084)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4"/>
              </w:rPr>
              <w:t>(6,085)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(579)</w:t>
            </w:r>
          </w:p>
        </w:tc>
        <w:tc>
          <w:tcPr>
            <w:tcW w:w="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(1,873)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(8,496)</w:t>
            </w:r>
          </w:p>
        </w:tc>
        <w:tc>
          <w:tcPr>
            <w:tcW w:w="20" w:type="dxa"/>
            <w:vAlign w:val="bottom"/>
          </w:tcPr>
          <w:p>
            <w:pPr>
              <w:spacing w:after="0"/>
              <w:rPr>
                <w:sz w:val="17"/>
                <w:szCs w:val="17"/>
                <w:color w:val="auto"/>
              </w:rPr>
            </w:pPr>
          </w:p>
        </w:tc>
      </w:tr>
      <w:tr>
        <w:trPr>
          <w:trHeight w:val="203"/>
        </w:trPr>
        <w:tc>
          <w:tcPr>
            <w:tcW w:w="3520" w:type="dxa"/>
            <w:vAlign w:val="bottom"/>
          </w:tcPr>
          <w:p>
            <w:pPr>
              <w:ind w:left="220"/>
              <w:spacing w:after="0" w:line="202" w:lineRule="exact"/>
              <w:rPr>
                <w:sz w:val="20"/>
                <w:szCs w:val="20"/>
                <w:color w:val="auto"/>
              </w:rPr>
            </w:pPr>
            <w:r>
              <w:rPr>
                <w:rFonts w:ascii="Arial" w:cs="Arial" w:eastAsia="Arial" w:hAnsi="Arial"/>
                <w:sz w:val="18"/>
                <w:szCs w:val="18"/>
                <w:color w:val="auto"/>
              </w:rPr>
              <w:t>Charged-off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(1,262)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(209)</w:t>
            </w:r>
          </w:p>
        </w:tc>
        <w:tc>
          <w:tcPr>
            <w:tcW w:w="40" w:type="dxa"/>
            <w:vAlign w:val="bottom"/>
          </w:tcPr>
          <w:p>
            <w:pPr>
              <w:spacing w:after="0"/>
              <w:rPr>
                <w:sz w:val="17"/>
                <w:szCs w:val="17"/>
                <w:color w:val="auto"/>
              </w:rPr>
            </w:pPr>
          </w:p>
        </w:tc>
        <w:tc>
          <w:tcPr>
            <w:tcW w:w="7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(160)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(2,502)</w:t>
            </w:r>
          </w:p>
        </w:tc>
        <w:tc>
          <w:tcPr>
            <w:tcW w:w="20" w:type="dxa"/>
            <w:vAlign w:val="bottom"/>
          </w:tcPr>
          <w:p>
            <w:pPr>
              <w:spacing w:after="0"/>
              <w:rPr>
                <w:sz w:val="17"/>
                <w:szCs w:val="17"/>
                <w:color w:val="auto"/>
              </w:rPr>
            </w:pPr>
          </w:p>
        </w:tc>
      </w:tr>
      <w:tr>
        <w:trPr>
          <w:trHeight w:val="202"/>
        </w:trPr>
        <w:tc>
          <w:tcPr>
            <w:tcW w:w="3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Recoveries</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1,182</w:t>
            </w:r>
          </w:p>
        </w:tc>
        <w:tc>
          <w:tcPr>
            <w:tcW w:w="20" w:type="dxa"/>
            <w:vAlign w:val="bottom"/>
          </w:tcPr>
          <w:p>
            <w:pPr>
              <w:spacing w:after="0"/>
              <w:rPr>
                <w:sz w:val="17"/>
                <w:szCs w:val="17"/>
                <w:color w:val="auto"/>
              </w:rPr>
            </w:pPr>
          </w:p>
        </w:tc>
      </w:tr>
      <w:tr>
        <w:trPr>
          <w:trHeight w:val="196"/>
        </w:trPr>
        <w:tc>
          <w:tcPr>
            <w:tcW w:w="3520" w:type="dxa"/>
            <w:vAlign w:val="bottom"/>
          </w:tcPr>
          <w:p>
            <w:pPr>
              <w:ind w:left="20"/>
              <w:spacing w:after="0" w:line="196" w:lineRule="exact"/>
              <w:rPr>
                <w:sz w:val="20"/>
                <w:szCs w:val="20"/>
                <w:color w:val="auto"/>
              </w:rPr>
            </w:pPr>
            <w:r>
              <w:rPr>
                <w:rFonts w:ascii="Arial" w:cs="Arial" w:eastAsia="Arial" w:hAnsi="Arial"/>
                <w:sz w:val="18"/>
                <w:szCs w:val="18"/>
                <w:color w:val="auto"/>
              </w:rPr>
              <w:t>ACL ending balance</w:t>
            </w: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24,356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39,974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7,599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8"/>
              </w:rPr>
              <w:t>$ 20,505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95,410</w:t>
            </w:r>
          </w:p>
        </w:tc>
        <w:tc>
          <w:tcPr>
            <w:tcW w:w="20" w:type="dxa"/>
            <w:vAlign w:val="bottom"/>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7"/>
          </w:tcPr>
          <w:p>
            <w:pPr>
              <w:jc w:val="right"/>
              <w:ind w:right="200"/>
              <w:spacing w:after="0"/>
              <w:rPr>
                <w:sz w:val="20"/>
                <w:szCs w:val="20"/>
                <w:color w:val="auto"/>
              </w:rPr>
            </w:pPr>
            <w:r>
              <w:rPr>
                <w:rFonts w:ascii="Arial" w:cs="Arial" w:eastAsia="Arial" w:hAnsi="Arial"/>
                <w:sz w:val="14"/>
                <w:szCs w:val="14"/>
                <w:b w:val="1"/>
                <w:bCs w:val="1"/>
                <w:color w:val="auto"/>
                <w:w w:val="92"/>
              </w:rPr>
              <w:t>As of and for the Three Months Ended June 30, 2020</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Commercial</w:t>
            </w:r>
          </w:p>
        </w:tc>
        <w:tc>
          <w:tcPr>
            <w:tcW w:w="100" w:type="dxa"/>
            <w:vAlign w:val="bottom"/>
          </w:tcPr>
          <w:p>
            <w:pPr>
              <w:spacing w:after="0"/>
              <w:rPr>
                <w:sz w:val="16"/>
                <w:szCs w:val="16"/>
                <w:color w:val="auto"/>
              </w:rPr>
            </w:pPr>
          </w:p>
        </w:tc>
        <w:tc>
          <w:tcPr>
            <w:tcW w:w="860" w:type="dxa"/>
            <w:vAlign w:val="bottom"/>
            <w:gridSpan w:val="4"/>
          </w:tcPr>
          <w:p>
            <w:pPr>
              <w:ind w:left="60"/>
              <w:spacing w:after="0"/>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6"/>
                <w:szCs w:val="16"/>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Retail Real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Commercial</w:t>
            </w:r>
          </w:p>
        </w:tc>
        <w:tc>
          <w:tcPr>
            <w:tcW w:w="100" w:type="dxa"/>
            <w:vAlign w:val="bottom"/>
          </w:tcPr>
          <w:p>
            <w:pPr>
              <w:spacing w:after="0"/>
              <w:rPr>
                <w:sz w:val="17"/>
                <w:szCs w:val="17"/>
                <w:color w:val="auto"/>
              </w:rPr>
            </w:pPr>
          </w:p>
        </w:tc>
        <w:tc>
          <w:tcPr>
            <w:tcW w:w="820" w:type="dxa"/>
            <w:vAlign w:val="bottom"/>
            <w:gridSpan w:val="4"/>
          </w:tcPr>
          <w:p>
            <w:pPr>
              <w:ind w:left="40"/>
              <w:spacing w:after="0"/>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7"/>
                <w:szCs w:val="17"/>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6"/>
              </w:rPr>
              <w:t>Construction</w:t>
            </w:r>
          </w:p>
        </w:tc>
        <w:tc>
          <w:tcPr>
            <w:tcW w:w="100" w:type="dxa"/>
            <w:vAlign w:val="bottom"/>
          </w:tcPr>
          <w:p>
            <w:pPr>
              <w:spacing w:after="0"/>
              <w:rPr>
                <w:sz w:val="17"/>
                <w:szCs w:val="17"/>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Estate</w:t>
            </w:r>
          </w:p>
        </w:tc>
        <w:tc>
          <w:tcPr>
            <w:tcW w:w="10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Retail 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196"/>
        </w:trPr>
        <w:tc>
          <w:tcPr>
            <w:tcW w:w="35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ACL beginning balance</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22,725</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35,967</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7,193</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88"/>
              </w:rPr>
              <w:t>$ 17,454</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1,045</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84,384</w:t>
            </w:r>
          </w:p>
        </w:tc>
        <w:tc>
          <w:tcPr>
            <w:tcW w:w="20" w:type="dxa"/>
            <w:vAlign w:val="bottom"/>
          </w:tcPr>
          <w:p>
            <w:pPr>
              <w:spacing w:after="0"/>
              <w:rPr>
                <w:sz w:val="17"/>
                <w:szCs w:val="17"/>
                <w:color w:val="auto"/>
              </w:rPr>
            </w:pPr>
          </w:p>
        </w:tc>
      </w:tr>
      <w:tr>
        <w:trPr>
          <w:trHeight w:val="203"/>
        </w:trPr>
        <w:tc>
          <w:tcPr>
            <w:tcW w:w="3520" w:type="dxa"/>
            <w:vAlign w:val="bottom"/>
          </w:tcPr>
          <w:p>
            <w:pPr>
              <w:ind w:left="220"/>
              <w:spacing w:after="0" w:line="202" w:lineRule="exact"/>
              <w:rPr>
                <w:sz w:val="20"/>
                <w:szCs w:val="20"/>
                <w:color w:val="auto"/>
              </w:rPr>
            </w:pPr>
            <w:r>
              <w:rPr>
                <w:rFonts w:ascii="Arial" w:cs="Arial" w:eastAsia="Arial" w:hAnsi="Arial"/>
                <w:sz w:val="18"/>
                <w:szCs w:val="18"/>
                <w:color w:val="auto"/>
              </w:rPr>
              <w:t>Provision for credit losses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2,473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6,861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574</w:t>
            </w:r>
          </w:p>
        </w:tc>
        <w:tc>
          <w:tcPr>
            <w:tcW w:w="40" w:type="dxa"/>
            <w:vAlign w:val="bottom"/>
          </w:tcPr>
          <w:p>
            <w:pPr>
              <w:spacing w:after="0"/>
              <w:rPr>
                <w:sz w:val="17"/>
                <w:szCs w:val="17"/>
                <w:color w:val="auto"/>
              </w:rPr>
            </w:pPr>
          </w:p>
        </w:tc>
        <w:tc>
          <w:tcPr>
            <w:tcW w:w="7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2,981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4"/>
              </w:rPr>
              <w:t>12,891</w:t>
            </w:r>
          </w:p>
        </w:tc>
        <w:tc>
          <w:tcPr>
            <w:tcW w:w="20" w:type="dxa"/>
            <w:vAlign w:val="bottom"/>
          </w:tcPr>
          <w:p>
            <w:pPr>
              <w:spacing w:after="0"/>
              <w:rPr>
                <w:sz w:val="17"/>
                <w:szCs w:val="17"/>
                <w:color w:val="auto"/>
              </w:rPr>
            </w:pPr>
          </w:p>
        </w:tc>
      </w:tr>
      <w:tr>
        <w:trPr>
          <w:trHeight w:val="203"/>
        </w:trPr>
        <w:tc>
          <w:tcPr>
            <w:tcW w:w="3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Charged-off</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(1,702)</w:t>
            </w:r>
          </w:p>
        </w:tc>
        <w:tc>
          <w:tcPr>
            <w:tcW w:w="20" w:type="dxa"/>
            <w:vAlign w:val="bottom"/>
          </w:tcPr>
          <w:p>
            <w:pPr>
              <w:spacing w:after="0"/>
              <w:rPr>
                <w:sz w:val="17"/>
                <w:szCs w:val="17"/>
                <w:color w:val="auto"/>
              </w:rPr>
            </w:pPr>
          </w:p>
        </w:tc>
      </w:tr>
      <w:tr>
        <w:trPr>
          <w:trHeight w:val="203"/>
        </w:trPr>
        <w:tc>
          <w:tcPr>
            <w:tcW w:w="3520" w:type="dxa"/>
            <w:vAlign w:val="bottom"/>
          </w:tcPr>
          <w:p>
            <w:pPr>
              <w:ind w:left="220"/>
              <w:spacing w:after="0" w:line="202" w:lineRule="exact"/>
              <w:rPr>
                <w:sz w:val="20"/>
                <w:szCs w:val="20"/>
                <w:color w:val="auto"/>
              </w:rPr>
            </w:pPr>
            <w:r>
              <w:rPr>
                <w:rFonts w:ascii="Arial" w:cs="Arial" w:eastAsia="Arial" w:hAnsi="Arial"/>
                <w:sz w:val="18"/>
                <w:szCs w:val="18"/>
                <w:color w:val="auto"/>
              </w:rPr>
              <w:t>Recoveries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40" w:type="dxa"/>
            <w:vAlign w:val="bottom"/>
          </w:tcPr>
          <w:p>
            <w:pPr>
              <w:spacing w:after="0"/>
              <w:rPr>
                <w:sz w:val="17"/>
                <w:szCs w:val="17"/>
                <w:color w:val="auto"/>
              </w:rPr>
            </w:pPr>
          </w:p>
        </w:tc>
        <w:tc>
          <w:tcPr>
            <w:tcW w:w="7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262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473</w:t>
            </w:r>
          </w:p>
        </w:tc>
        <w:tc>
          <w:tcPr>
            <w:tcW w:w="20" w:type="dxa"/>
            <w:vAlign w:val="bottom"/>
          </w:tcPr>
          <w:p>
            <w:pPr>
              <w:spacing w:after="0"/>
              <w:rPr>
                <w:sz w:val="17"/>
                <w:szCs w:val="17"/>
                <w:color w:val="auto"/>
              </w:rPr>
            </w:pPr>
          </w:p>
        </w:tc>
      </w:tr>
      <w:tr>
        <w:trPr>
          <w:trHeight w:val="196"/>
        </w:trPr>
        <w:tc>
          <w:tcPr>
            <w:tcW w:w="35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ACL ending balance</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24,146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42,680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7,792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88"/>
              </w:rPr>
              <w:t>$ 20,405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1,023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96,046</w:t>
            </w:r>
          </w:p>
        </w:tc>
        <w:tc>
          <w:tcPr>
            <w:tcW w:w="20" w:type="dxa"/>
            <w:vAlign w:val="bottom"/>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7"/>
          </w:tcPr>
          <w:p>
            <w:pPr>
              <w:jc w:val="right"/>
              <w:ind w:right="300"/>
              <w:spacing w:after="0"/>
              <w:rPr>
                <w:sz w:val="20"/>
                <w:szCs w:val="20"/>
                <w:color w:val="auto"/>
              </w:rPr>
            </w:pPr>
            <w:r>
              <w:rPr>
                <w:rFonts w:ascii="Arial" w:cs="Arial" w:eastAsia="Arial" w:hAnsi="Arial"/>
                <w:sz w:val="14"/>
                <w:szCs w:val="14"/>
                <w:b w:val="1"/>
                <w:bCs w:val="1"/>
                <w:color w:val="auto"/>
                <w:w w:val="94"/>
              </w:rPr>
              <w:t>As of and for the Six Months Ended June 30, 2020</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Commercial</w:t>
            </w:r>
          </w:p>
        </w:tc>
        <w:tc>
          <w:tcPr>
            <w:tcW w:w="100" w:type="dxa"/>
            <w:vAlign w:val="bottom"/>
          </w:tcPr>
          <w:p>
            <w:pPr>
              <w:spacing w:after="0"/>
              <w:rPr>
                <w:sz w:val="16"/>
                <w:szCs w:val="16"/>
                <w:color w:val="auto"/>
              </w:rPr>
            </w:pPr>
          </w:p>
        </w:tc>
        <w:tc>
          <w:tcPr>
            <w:tcW w:w="860" w:type="dxa"/>
            <w:vAlign w:val="bottom"/>
            <w:gridSpan w:val="4"/>
          </w:tcPr>
          <w:p>
            <w:pPr>
              <w:ind w:left="60"/>
              <w:spacing w:after="0"/>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6"/>
                <w:szCs w:val="16"/>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Retail Real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Commercial</w:t>
            </w:r>
          </w:p>
        </w:tc>
        <w:tc>
          <w:tcPr>
            <w:tcW w:w="100" w:type="dxa"/>
            <w:vAlign w:val="bottom"/>
          </w:tcPr>
          <w:p>
            <w:pPr>
              <w:spacing w:after="0"/>
              <w:rPr>
                <w:sz w:val="17"/>
                <w:szCs w:val="17"/>
                <w:color w:val="auto"/>
              </w:rPr>
            </w:pPr>
          </w:p>
        </w:tc>
        <w:tc>
          <w:tcPr>
            <w:tcW w:w="820" w:type="dxa"/>
            <w:vAlign w:val="bottom"/>
            <w:gridSpan w:val="4"/>
          </w:tcPr>
          <w:p>
            <w:pPr>
              <w:ind w:left="40"/>
              <w:spacing w:after="0"/>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7"/>
                <w:szCs w:val="17"/>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6"/>
              </w:rPr>
              <w:t>Construction</w:t>
            </w:r>
          </w:p>
        </w:tc>
        <w:tc>
          <w:tcPr>
            <w:tcW w:w="100" w:type="dxa"/>
            <w:vAlign w:val="bottom"/>
          </w:tcPr>
          <w:p>
            <w:pPr>
              <w:spacing w:after="0"/>
              <w:rPr>
                <w:sz w:val="17"/>
                <w:szCs w:val="17"/>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Estate</w:t>
            </w:r>
          </w:p>
        </w:tc>
        <w:tc>
          <w:tcPr>
            <w:tcW w:w="10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Retail 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168"/>
        </w:trPr>
        <w:tc>
          <w:tcPr>
            <w:tcW w:w="352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Beginning balance, prior to adoption of</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 326-30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18,291</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21,190</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3,204</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$ 10,495</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53,748</w:t>
            </w:r>
          </w:p>
        </w:tc>
        <w:tc>
          <w:tcPr>
            <w:tcW w:w="20" w:type="dxa"/>
            <w:vAlign w:val="bottom"/>
          </w:tcPr>
          <w:p>
            <w:pPr>
              <w:spacing w:after="0"/>
              <w:rPr>
                <w:sz w:val="18"/>
                <w:szCs w:val="18"/>
                <w:color w:val="auto"/>
              </w:rPr>
            </w:pPr>
          </w:p>
        </w:tc>
      </w:tr>
      <w:tr>
        <w:trPr>
          <w:trHeight w:val="203"/>
        </w:trPr>
        <w:tc>
          <w:tcPr>
            <w:tcW w:w="3520" w:type="dxa"/>
            <w:vAlign w:val="bottom"/>
          </w:tcPr>
          <w:p>
            <w:pPr>
              <w:ind w:left="220"/>
              <w:spacing w:after="0" w:line="202" w:lineRule="exact"/>
              <w:rPr>
                <w:sz w:val="20"/>
                <w:szCs w:val="20"/>
                <w:color w:val="auto"/>
              </w:rPr>
            </w:pPr>
            <w:r>
              <w:rPr>
                <w:rFonts w:ascii="Arial" w:cs="Arial" w:eastAsia="Arial" w:hAnsi="Arial"/>
                <w:sz w:val="18"/>
                <w:szCs w:val="18"/>
                <w:color w:val="auto"/>
              </w:rPr>
              <w:t>Adoption of ASC 326-30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9,306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2,954</w:t>
            </w:r>
          </w:p>
        </w:tc>
        <w:tc>
          <w:tcPr>
            <w:tcW w:w="40" w:type="dxa"/>
            <w:vAlign w:val="bottom"/>
          </w:tcPr>
          <w:p>
            <w:pPr>
              <w:spacing w:after="0"/>
              <w:rPr>
                <w:sz w:val="17"/>
                <w:szCs w:val="17"/>
                <w:color w:val="auto"/>
              </w:rPr>
            </w:pPr>
          </w:p>
        </w:tc>
        <w:tc>
          <w:tcPr>
            <w:tcW w:w="7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3,292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4"/>
              </w:rPr>
              <w:t>16,833</w:t>
            </w:r>
          </w:p>
        </w:tc>
        <w:tc>
          <w:tcPr>
            <w:tcW w:w="20" w:type="dxa"/>
            <w:vAlign w:val="bottom"/>
          </w:tcPr>
          <w:p>
            <w:pPr>
              <w:spacing w:after="0"/>
              <w:rPr>
                <w:sz w:val="17"/>
                <w:szCs w:val="17"/>
                <w:color w:val="auto"/>
              </w:rPr>
            </w:pPr>
          </w:p>
        </w:tc>
      </w:tr>
      <w:tr>
        <w:trPr>
          <w:trHeight w:val="203"/>
        </w:trPr>
        <w:tc>
          <w:tcPr>
            <w:tcW w:w="3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Provision for credit losses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8,146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13,387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1,463</w:t>
            </w:r>
          </w:p>
        </w:tc>
        <w:tc>
          <w:tcPr>
            <w:tcW w:w="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7,018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30,107</w:t>
            </w:r>
          </w:p>
        </w:tc>
        <w:tc>
          <w:tcPr>
            <w:tcW w:w="20" w:type="dxa"/>
            <w:vAlign w:val="bottom"/>
          </w:tcPr>
          <w:p>
            <w:pPr>
              <w:spacing w:after="0"/>
              <w:rPr>
                <w:sz w:val="17"/>
                <w:szCs w:val="17"/>
                <w:color w:val="auto"/>
              </w:rPr>
            </w:pPr>
          </w:p>
        </w:tc>
      </w:tr>
      <w:tr>
        <w:trPr>
          <w:trHeight w:val="203"/>
        </w:trPr>
        <w:tc>
          <w:tcPr>
            <w:tcW w:w="3520" w:type="dxa"/>
            <w:vAlign w:val="bottom"/>
          </w:tcPr>
          <w:p>
            <w:pPr>
              <w:ind w:left="220"/>
              <w:spacing w:after="0" w:line="202" w:lineRule="exact"/>
              <w:rPr>
                <w:sz w:val="20"/>
                <w:szCs w:val="20"/>
                <w:color w:val="auto"/>
              </w:rPr>
            </w:pPr>
            <w:r>
              <w:rPr>
                <w:rFonts w:ascii="Arial" w:cs="Arial" w:eastAsia="Arial" w:hAnsi="Arial"/>
                <w:sz w:val="18"/>
                <w:szCs w:val="18"/>
                <w:color w:val="auto"/>
              </w:rPr>
              <w:t>Charged-off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(3,182)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(1,264)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(5,850)</w:t>
            </w:r>
          </w:p>
        </w:tc>
        <w:tc>
          <w:tcPr>
            <w:tcW w:w="20" w:type="dxa"/>
            <w:vAlign w:val="bottom"/>
          </w:tcPr>
          <w:p>
            <w:pPr>
              <w:spacing w:after="0"/>
              <w:rPr>
                <w:sz w:val="17"/>
                <w:szCs w:val="17"/>
                <w:color w:val="auto"/>
              </w:rPr>
            </w:pPr>
          </w:p>
        </w:tc>
      </w:tr>
      <w:tr>
        <w:trPr>
          <w:trHeight w:val="203"/>
        </w:trPr>
        <w:tc>
          <w:tcPr>
            <w:tcW w:w="3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171</w:t>
            </w:r>
          </w:p>
        </w:tc>
        <w:tc>
          <w:tcPr>
            <w:tcW w:w="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1,208</w:t>
            </w:r>
          </w:p>
        </w:tc>
        <w:tc>
          <w:tcPr>
            <w:tcW w:w="20" w:type="dxa"/>
            <w:vAlign w:val="bottom"/>
          </w:tcPr>
          <w:p>
            <w:pPr>
              <w:spacing w:after="0"/>
              <w:rPr>
                <w:sz w:val="17"/>
                <w:szCs w:val="17"/>
                <w:color w:val="auto"/>
              </w:rPr>
            </w:pPr>
          </w:p>
        </w:tc>
      </w:tr>
      <w:tr>
        <w:trPr>
          <w:trHeight w:val="196"/>
        </w:trPr>
        <w:tc>
          <w:tcPr>
            <w:tcW w:w="3520" w:type="dxa"/>
            <w:vAlign w:val="bottom"/>
          </w:tcPr>
          <w:p>
            <w:pPr>
              <w:ind w:left="20"/>
              <w:spacing w:after="0" w:line="196" w:lineRule="exact"/>
              <w:rPr>
                <w:sz w:val="20"/>
                <w:szCs w:val="20"/>
                <w:color w:val="auto"/>
              </w:rPr>
            </w:pPr>
            <w:r>
              <w:rPr>
                <w:rFonts w:ascii="Arial" w:cs="Arial" w:eastAsia="Arial" w:hAnsi="Arial"/>
                <w:sz w:val="18"/>
                <w:szCs w:val="18"/>
                <w:color w:val="auto"/>
              </w:rPr>
              <w:t>ACL ending balance</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24,146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42,680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7,792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w w:val="88"/>
              </w:rPr>
              <w:t>$ 20,405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1,023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96,046</w:t>
            </w:r>
          </w:p>
        </w:tc>
        <w:tc>
          <w:tcPr>
            <w:tcW w:w="20" w:type="dxa"/>
            <w:vAlign w:val="bottom"/>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1"/>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presents the ACL and amortized cost of portfolio loans by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w w:val="90"/>
              </w:rPr>
              <w:t>As of June 30, 2021</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Real Estate</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Retail Real</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7"/>
                <w:szCs w:val="17"/>
                <w:color w:val="auto"/>
              </w:rPr>
            </w:pPr>
          </w:p>
        </w:tc>
        <w:tc>
          <w:tcPr>
            <w:tcW w:w="840" w:type="dxa"/>
            <w:vAlign w:val="bottom"/>
            <w:gridSpan w:val="4"/>
          </w:tcPr>
          <w:p>
            <w:pPr>
              <w:ind w:left="40"/>
              <w:spacing w:after="0"/>
              <w:rPr>
                <w:sz w:val="20"/>
                <w:szCs w:val="20"/>
                <w:color w:val="auto"/>
              </w:rPr>
            </w:pPr>
            <w:r>
              <w:rPr>
                <w:rFonts w:ascii="Arial" w:cs="Arial" w:eastAsia="Arial" w:hAnsi="Arial"/>
                <w:sz w:val="14"/>
                <w:szCs w:val="14"/>
                <w:b w:val="1"/>
                <w:bCs w:val="1"/>
                <w:color w:val="auto"/>
                <w:w w:val="89"/>
              </w:rPr>
              <w:t>Construction</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Estate</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8"/>
              </w:rPr>
              <w:t>Retail Other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ACL</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Ending balance attributed to:</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7"/>
              </w:rPr>
              <w:t>Loans individually evaluated for</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ind w:left="200"/>
              <w:spacing w:after="0" w:line="189" w:lineRule="exact"/>
              <w:rPr>
                <w:sz w:val="20"/>
                <w:szCs w:val="20"/>
                <w:color w:val="auto"/>
              </w:rPr>
            </w:pPr>
            <w:r>
              <w:rPr>
                <w:rFonts w:ascii="Arial" w:cs="Arial" w:eastAsia="Arial" w:hAnsi="Arial"/>
                <w:sz w:val="18"/>
                <w:szCs w:val="18"/>
                <w:color w:val="auto"/>
                <w:w w:val="97"/>
              </w:rPr>
              <w:t>Loans collectively evaluated for</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impairment</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19,886</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7,599</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90,915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ACL ending balance</w:t>
            </w: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24,356</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39,974</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7,599</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20,505</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2,976</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95,410</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Loans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ind w:left="200"/>
              <w:spacing w:after="0" w:line="189" w:lineRule="exact"/>
              <w:rPr>
                <w:sz w:val="20"/>
                <w:szCs w:val="20"/>
                <w:color w:val="auto"/>
              </w:rPr>
            </w:pPr>
            <w:r>
              <w:rPr>
                <w:rFonts w:ascii="Arial" w:cs="Arial" w:eastAsia="Arial" w:hAnsi="Arial"/>
                <w:sz w:val="18"/>
                <w:szCs w:val="18"/>
                <w:color w:val="auto"/>
                <w:w w:val="97"/>
              </w:rPr>
              <w:t>Loans individually evaluated for</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10,585</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8,360</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283</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3,936</w:t>
            </w:r>
          </w:p>
        </w:tc>
        <w:tc>
          <w:tcPr>
            <w:tcW w:w="40" w:type="dxa"/>
            <w:vAlign w:val="bottom"/>
          </w:tcPr>
          <w:p>
            <w:pPr>
              <w:spacing w:after="0"/>
              <w:rPr>
                <w:sz w:val="18"/>
                <w:szCs w:val="18"/>
                <w:color w:val="auto"/>
              </w:rPr>
            </w:pP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7"/>
              </w:rPr>
              <w:t>Loans collectively evaluated for</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2,043,965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2,911,952</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500,316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1,521,874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184,379</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7,162,486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gridSpan w:val="2"/>
          </w:tcPr>
          <w:p>
            <w:pPr>
              <w:spacing w:after="0" w:line="196" w:lineRule="exact"/>
              <w:rPr>
                <w:sz w:val="20"/>
                <w:szCs w:val="20"/>
                <w:color w:val="auto"/>
              </w:rPr>
            </w:pPr>
            <w:r>
              <w:rPr>
                <w:rFonts w:ascii="Arial" w:cs="Arial" w:eastAsia="Arial" w:hAnsi="Arial"/>
                <w:sz w:val="18"/>
                <w:szCs w:val="18"/>
                <w:color w:val="auto"/>
              </w:rPr>
              <w:t>Loans ending balance</w:t>
            </w:r>
          </w:p>
        </w:tc>
        <w:tc>
          <w:tcPr>
            <w:tcW w:w="2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w w:val="92"/>
              </w:rPr>
              <w:t>2,054,550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6"/>
              </w:rPr>
              <w:t>$ 2,920,312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$ 500,599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4"/>
              </w:rPr>
              <w:t>1,525,810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$ 184,379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2"/>
              </w:rPr>
              <w:t>7,185,650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92"/>
              </w:rPr>
              <w:t>As of December 31, 2020</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Commercial</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Real Estate</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Retail Real</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Real Estate</w:t>
            </w:r>
          </w:p>
        </w:tc>
        <w:tc>
          <w:tcPr>
            <w:tcW w:w="1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Estate</w:t>
            </w:r>
          </w:p>
        </w:tc>
        <w:tc>
          <w:tcPr>
            <w:tcW w:w="100" w:type="dxa"/>
            <w:vAlign w:val="bottom"/>
          </w:tcPr>
          <w:p>
            <w:pPr>
              <w:spacing w:after="0"/>
              <w:rPr>
                <w:sz w:val="17"/>
                <w:szCs w:val="17"/>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Retail Other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ACL</w:t>
            </w: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gridSpan w:val="2"/>
          </w:tcPr>
          <w:p>
            <w:pPr>
              <w:spacing w:after="0" w:line="202" w:lineRule="exact"/>
              <w:rPr>
                <w:sz w:val="20"/>
                <w:szCs w:val="20"/>
                <w:color w:val="auto"/>
              </w:rPr>
            </w:pPr>
            <w:r>
              <w:rPr>
                <w:rFonts w:ascii="Arial" w:cs="Arial" w:eastAsia="Arial" w:hAnsi="Arial"/>
                <w:sz w:val="18"/>
                <w:szCs w:val="18"/>
                <w:color w:val="auto"/>
              </w:rPr>
              <w:t>Ending balance attributed to:</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7"/>
              </w:rPr>
              <w:t>Loans individually evaluated for</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ind w:left="180"/>
              <w:spacing w:after="0" w:line="189" w:lineRule="exact"/>
              <w:rPr>
                <w:sz w:val="20"/>
                <w:szCs w:val="20"/>
                <w:color w:val="auto"/>
              </w:rPr>
            </w:pPr>
            <w:r>
              <w:rPr>
                <w:rFonts w:ascii="Arial" w:cs="Arial" w:eastAsia="Arial" w:hAnsi="Arial"/>
                <w:sz w:val="18"/>
                <w:szCs w:val="18"/>
                <w:color w:val="auto"/>
                <w:w w:val="98"/>
              </w:rPr>
              <w:t>Loans collectively evaluated for</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22,266</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ACL ending balance</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23,866</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46,230</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8,193</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21,992</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767</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101,048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Loans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ind w:left="180"/>
              <w:spacing w:after="0" w:line="189" w:lineRule="exact"/>
              <w:rPr>
                <w:sz w:val="20"/>
                <w:szCs w:val="20"/>
                <w:color w:val="auto"/>
              </w:rPr>
            </w:pPr>
            <w:r>
              <w:rPr>
                <w:rFonts w:ascii="Arial" w:cs="Arial" w:eastAsia="Arial" w:hAnsi="Arial"/>
                <w:sz w:val="18"/>
                <w:szCs w:val="18"/>
                <w:color w:val="auto"/>
                <w:w w:val="97"/>
              </w:rPr>
              <w:t>Loans individually evaluated for</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8,372</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6,067</w:t>
            </w:r>
          </w:p>
        </w:tc>
        <w:tc>
          <w:tcPr>
            <w:tcW w:w="40" w:type="dxa"/>
            <w:vAlign w:val="bottom"/>
          </w:tcPr>
          <w:p>
            <w:pPr>
              <w:spacing w:after="0"/>
              <w:rPr>
                <w:sz w:val="18"/>
                <w:szCs w:val="18"/>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292</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5,515</w:t>
            </w:r>
          </w:p>
        </w:tc>
        <w:tc>
          <w:tcPr>
            <w:tcW w:w="40" w:type="dxa"/>
            <w:vAlign w:val="bottom"/>
          </w:tcPr>
          <w:p>
            <w:pPr>
              <w:spacing w:after="0"/>
              <w:rPr>
                <w:sz w:val="18"/>
                <w:szCs w:val="18"/>
                <w:color w:val="auto"/>
              </w:rPr>
            </w:pPr>
          </w:p>
        </w:tc>
        <w:tc>
          <w:tcPr>
            <w:tcW w:w="2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8"/>
              </w:rPr>
              <w:t>Loans collectively evaluated for</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2,006,204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2,886,468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461,494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1,402,337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6,793,931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00" w:type="dxa"/>
            <w:vAlign w:val="bottom"/>
            <w:gridSpan w:val="3"/>
          </w:tcPr>
          <w:p>
            <w:pPr>
              <w:spacing w:after="0" w:line="196" w:lineRule="exact"/>
              <w:rPr>
                <w:sz w:val="20"/>
                <w:szCs w:val="20"/>
                <w:color w:val="auto"/>
              </w:rPr>
            </w:pPr>
            <w:r>
              <w:rPr>
                <w:rFonts w:ascii="Arial" w:cs="Arial" w:eastAsia="Arial" w:hAnsi="Arial"/>
                <w:sz w:val="18"/>
                <w:szCs w:val="18"/>
                <w:color w:val="auto"/>
              </w:rPr>
              <w:t>Loans ending balance</w:t>
            </w:r>
          </w:p>
        </w:tc>
        <w:tc>
          <w:tcPr>
            <w:tcW w:w="2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2"/>
              </w:rPr>
              <w:t>2,014,576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88"/>
              </w:rPr>
              <w:t>$ 2,892,535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2"/>
              </w:rPr>
              <w:t>$ 461,786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89"/>
              </w:rPr>
              <w:t>1,407,852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37,428</w:t>
            </w:r>
          </w:p>
        </w:tc>
        <w:tc>
          <w:tcPr>
            <w:tcW w:w="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2"/>
              </w:rPr>
              <w:t>6,814,177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Deposits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9"/>
              </w:rPr>
              <w:t>As of</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55"/>
              <w:spacing w:after="0" w:line="133"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5"/>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Deposits</w:t>
            </w:r>
          </w:p>
        </w:tc>
        <w:tc>
          <w:tcPr>
            <w:tcW w:w="2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ind w:left="220"/>
              <w:spacing w:after="0" w:line="202" w:lineRule="exact"/>
              <w:rPr>
                <w:sz w:val="20"/>
                <w:szCs w:val="20"/>
                <w:color w:val="auto"/>
              </w:rPr>
            </w:pPr>
            <w:r>
              <w:rPr>
                <w:rFonts w:ascii="Arial" w:cs="Arial" w:eastAsia="Arial" w:hAnsi="Arial"/>
                <w:sz w:val="18"/>
                <w:szCs w:val="18"/>
                <w:color w:val="auto"/>
              </w:rPr>
              <w:t>Demand deposits, noninterest-bearing</w:t>
            </w:r>
          </w:p>
        </w:tc>
        <w:tc>
          <w:tcPr>
            <w:tcW w:w="2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3,186,650</w:t>
            </w:r>
          </w:p>
        </w:tc>
        <w:tc>
          <w:tcPr>
            <w:tcW w:w="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2,552,039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Interest-bearing transaction deposits</w:t>
            </w:r>
          </w:p>
        </w:tc>
        <w:tc>
          <w:tcPr>
            <w:tcW w:w="2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2,722,053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2,263,093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ind w:left="220"/>
              <w:spacing w:after="0" w:line="202" w:lineRule="exact"/>
              <w:rPr>
                <w:sz w:val="20"/>
                <w:szCs w:val="20"/>
                <w:color w:val="auto"/>
              </w:rPr>
            </w:pPr>
            <w:r>
              <w:rPr>
                <w:rFonts w:ascii="Arial" w:cs="Arial" w:eastAsia="Arial" w:hAnsi="Arial"/>
                <w:sz w:val="18"/>
                <w:szCs w:val="18"/>
                <w:color w:val="auto"/>
              </w:rPr>
              <w:t>Saving deposits and money market deposits</w:t>
            </w:r>
          </w:p>
        </w:tc>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3,312,818</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2,743,369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Time deposits</w:t>
            </w:r>
          </w:p>
        </w:tc>
        <w:tc>
          <w:tcPr>
            <w:tcW w:w="2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1,115,596</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1,119,348</w:t>
            </w:r>
          </w:p>
        </w:tc>
        <w:tc>
          <w:tcPr>
            <w:tcW w:w="0" w:type="dxa"/>
            <w:vAlign w:val="bottom"/>
          </w:tcPr>
          <w:p>
            <w:pPr>
              <w:spacing w:after="0"/>
              <w:rPr>
                <w:sz w:val="1"/>
                <w:szCs w:val="1"/>
                <w:color w:val="auto"/>
              </w:rPr>
            </w:pPr>
          </w:p>
        </w:tc>
      </w:tr>
      <w:tr>
        <w:trPr>
          <w:trHeight w:val="196"/>
        </w:trPr>
        <w:tc>
          <w:tcPr>
            <w:tcW w:w="38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deposits</w:t>
            </w:r>
          </w:p>
        </w:tc>
        <w:tc>
          <w:tcPr>
            <w:tcW w:w="27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10,337,117</w:t>
            </w: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8,677,849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20" w:type="dxa"/>
            <w:vAlign w:val="bottom"/>
            <w:vMerge w:val="restart"/>
          </w:tcPr>
          <w:p>
            <w:pPr>
              <w:jc w:val="right"/>
              <w:ind w:right="195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Additional information about our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w w:val="85"/>
              </w:rPr>
              <w:t>As of</w:t>
            </w:r>
          </w:p>
        </w:tc>
        <w:tc>
          <w:tcPr>
            <w:tcW w:w="860" w:type="dxa"/>
            <w:vAlign w:val="bottom"/>
            <w:tcBorders>
              <w:bottom w:val="single" w:sz="8" w:color="auto"/>
            </w:tcBorders>
          </w:tcPr>
          <w:p>
            <w:pPr>
              <w:spacing w:after="0"/>
              <w:rPr>
                <w:sz w:val="16"/>
                <w:szCs w:val="16"/>
                <w:color w:val="auto"/>
              </w:rPr>
            </w:pPr>
          </w:p>
        </w:tc>
      </w:tr>
      <w:tr>
        <w:trPr>
          <w:trHeight w:val="133"/>
        </w:trPr>
        <w:tc>
          <w:tcPr>
            <w:tcW w:w="6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156"/>
              <w:spacing w:after="0" w:line="133" w:lineRule="exact"/>
              <w:rPr>
                <w:sz w:val="20"/>
                <w:szCs w:val="20"/>
                <w:color w:val="auto"/>
              </w:rPr>
            </w:pPr>
            <w:r>
              <w:rPr>
                <w:rFonts w:ascii="Arial" w:cs="Arial" w:eastAsia="Arial" w:hAnsi="Arial"/>
                <w:sz w:val="14"/>
                <w:szCs w:val="14"/>
                <w:b w:val="1"/>
                <w:bCs w:val="1"/>
                <w:color w:val="auto"/>
                <w:w w:val="99"/>
              </w:rPr>
              <w:t>June 30,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right"/>
              <w:ind w:right="55"/>
              <w:spacing w:after="0" w:line="133" w:lineRule="exact"/>
              <w:rPr>
                <w:sz w:val="20"/>
                <w:szCs w:val="20"/>
                <w:color w:val="auto"/>
              </w:rPr>
            </w:pPr>
            <w:r>
              <w:rPr>
                <w:rFonts w:ascii="Arial" w:cs="Arial" w:eastAsia="Arial" w:hAnsi="Arial"/>
                <w:sz w:val="14"/>
                <w:szCs w:val="14"/>
                <w:b w:val="1"/>
                <w:bCs w:val="1"/>
                <w:color w:val="auto"/>
                <w:w w:val="96"/>
              </w:rPr>
              <w:t>December 31,</w:t>
            </w:r>
          </w:p>
        </w:tc>
      </w:tr>
      <w:tr>
        <w:trPr>
          <w:trHeight w:val="185"/>
        </w:trPr>
        <w:tc>
          <w:tcPr>
            <w:tcW w:w="6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2020</w:t>
            </w: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Brokered savings deposits and money market deposits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2,251</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Brokered time deposits</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5,257</w:t>
            </w:r>
          </w:p>
        </w:tc>
      </w:tr>
      <w:tr>
        <w:trPr>
          <w:trHeight w:val="203"/>
        </w:trPr>
        <w:tc>
          <w:tcPr>
            <w:tcW w:w="6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Aggregate amount of time deposits with a minimum denomination of $100,000</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377,832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568,735</w:t>
            </w:r>
          </w:p>
        </w:tc>
      </w:tr>
      <w:tr>
        <w:trPr>
          <w:trHeight w:val="188"/>
        </w:trPr>
        <w:tc>
          <w:tcPr>
            <w:tcW w:w="6580" w:type="dxa"/>
            <w:vAlign w:val="bottom"/>
          </w:tcPr>
          <w:p>
            <w:pPr>
              <w:ind w:left="20"/>
              <w:spacing w:after="0" w:line="189" w:lineRule="exact"/>
              <w:rPr>
                <w:sz w:val="20"/>
                <w:szCs w:val="20"/>
                <w:color w:val="auto"/>
              </w:rPr>
            </w:pPr>
            <w:r>
              <w:rPr>
                <w:rFonts w:ascii="Arial" w:cs="Arial" w:eastAsia="Arial" w:hAnsi="Arial"/>
                <w:sz w:val="18"/>
                <w:szCs w:val="18"/>
                <w:color w:val="auto"/>
              </w:rPr>
              <w:t>Aggregate amount of time deposits with a minimum denomination that meets or</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exceeds the FDIC insurance limit of $250,000</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171,460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192,563</w:t>
            </w:r>
          </w:p>
        </w:tc>
      </w:tr>
      <w:tr>
        <w:trPr>
          <w:trHeight w:val="405"/>
        </w:trPr>
        <w:tc>
          <w:tcPr>
            <w:tcW w:w="7580" w:type="dxa"/>
            <w:vAlign w:val="bottom"/>
            <w:gridSpan w:val="3"/>
          </w:tcPr>
          <w:p>
            <w:pPr>
              <w:ind w:left="20"/>
              <w:spacing w:after="0"/>
              <w:rPr>
                <w:sz w:val="20"/>
                <w:szCs w:val="20"/>
                <w:color w:val="auto"/>
              </w:rPr>
            </w:pPr>
            <w:r>
              <w:rPr>
                <w:rFonts w:ascii="Arial" w:cs="Arial" w:eastAsia="Arial" w:hAnsi="Arial"/>
                <w:sz w:val="18"/>
                <w:szCs w:val="18"/>
                <w:color w:val="auto"/>
                <w:w w:val="95"/>
              </w:rPr>
              <w:t xml:space="preserve">As of June 30, 2021, the scheduled maturities of time deposits are as follows </w:t>
            </w:r>
            <w:r>
              <w:rPr>
                <w:rFonts w:ascii="Arial" w:cs="Arial" w:eastAsia="Arial" w:hAnsi="Arial"/>
                <w:sz w:val="18"/>
                <w:szCs w:val="18"/>
                <w:i w:val="1"/>
                <w:iCs w:val="1"/>
                <w:color w:val="auto"/>
                <w:w w:val="95"/>
              </w:rPr>
              <w:t>(dollars in thousands)</w:t>
            </w:r>
            <w:r>
              <w:rPr>
                <w:rFonts w:ascii="Arial" w:cs="Arial" w:eastAsia="Arial" w:hAnsi="Arial"/>
                <w:sz w:val="18"/>
                <w:szCs w:val="18"/>
                <w:color w:val="auto"/>
                <w:w w:val="95"/>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4"/>
        </w:trPr>
        <w:tc>
          <w:tcPr>
            <w:tcW w:w="6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As of</w:t>
            </w:r>
          </w:p>
        </w:tc>
      </w:tr>
      <w:tr>
        <w:trPr>
          <w:trHeight w:val="133"/>
        </w:trPr>
        <w:tc>
          <w:tcPr>
            <w:tcW w:w="6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115"/>
              <w:spacing w:after="0" w:line="133" w:lineRule="exact"/>
              <w:rPr>
                <w:sz w:val="20"/>
                <w:szCs w:val="20"/>
                <w:color w:val="auto"/>
              </w:rPr>
            </w:pPr>
            <w:r>
              <w:rPr>
                <w:rFonts w:ascii="Arial" w:cs="Arial" w:eastAsia="Arial" w:hAnsi="Arial"/>
                <w:sz w:val="14"/>
                <w:szCs w:val="14"/>
                <w:b w:val="1"/>
                <w:bCs w:val="1"/>
                <w:color w:val="auto"/>
                <w:w w:val="89"/>
              </w:rPr>
              <w:t>June 30,</w:t>
            </w:r>
          </w:p>
        </w:tc>
      </w:tr>
      <w:tr>
        <w:trPr>
          <w:trHeight w:val="185"/>
        </w:trPr>
        <w:tc>
          <w:tcPr>
            <w:tcW w:w="65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2021</w:t>
            </w: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Time deposits by schedule of maturities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line="202" w:lineRule="exact"/>
              <w:rPr>
                <w:sz w:val="20"/>
                <w:szCs w:val="20"/>
                <w:color w:val="auto"/>
              </w:rPr>
            </w:pPr>
            <w:r>
              <w:rPr>
                <w:rFonts w:ascii="Arial" w:cs="Arial" w:eastAsia="Arial" w:hAnsi="Arial"/>
                <w:sz w:val="18"/>
                <w:szCs w:val="18"/>
                <w:color w:val="auto"/>
              </w:rPr>
              <w:t>July 1, 2021 – June 30, 2022</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773,787</w:t>
            </w:r>
          </w:p>
        </w:tc>
      </w:tr>
      <w:tr>
        <w:trPr>
          <w:trHeight w:val="203"/>
        </w:trPr>
        <w:tc>
          <w:tcPr>
            <w:tcW w:w="6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July 1, 2022 – June 30, 2023</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193,316</w:t>
            </w:r>
          </w:p>
        </w:tc>
      </w:tr>
      <w:tr>
        <w:trPr>
          <w:trHeight w:val="203"/>
        </w:trPr>
        <w:tc>
          <w:tcPr>
            <w:tcW w:w="6580" w:type="dxa"/>
            <w:vAlign w:val="bottom"/>
          </w:tcPr>
          <w:p>
            <w:pPr>
              <w:ind w:left="220"/>
              <w:spacing w:after="0" w:line="202" w:lineRule="exact"/>
              <w:rPr>
                <w:sz w:val="20"/>
                <w:szCs w:val="20"/>
                <w:color w:val="auto"/>
              </w:rPr>
            </w:pPr>
            <w:r>
              <w:rPr>
                <w:rFonts w:ascii="Arial" w:cs="Arial" w:eastAsia="Arial" w:hAnsi="Arial"/>
                <w:sz w:val="18"/>
                <w:szCs w:val="18"/>
                <w:color w:val="auto"/>
              </w:rPr>
              <w:t>July 1, 2023 – June 30, 2024</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100,287</w:t>
            </w:r>
          </w:p>
        </w:tc>
      </w:tr>
      <w:tr>
        <w:trPr>
          <w:trHeight w:val="203"/>
        </w:trPr>
        <w:tc>
          <w:tcPr>
            <w:tcW w:w="6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July 1, 2024 – June 30, 2025</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23,990</w:t>
            </w:r>
          </w:p>
        </w:tc>
      </w:tr>
      <w:tr>
        <w:trPr>
          <w:trHeight w:val="203"/>
        </w:trPr>
        <w:tc>
          <w:tcPr>
            <w:tcW w:w="6580" w:type="dxa"/>
            <w:vAlign w:val="bottom"/>
          </w:tcPr>
          <w:p>
            <w:pPr>
              <w:ind w:left="220"/>
              <w:spacing w:after="0" w:line="202" w:lineRule="exact"/>
              <w:rPr>
                <w:sz w:val="20"/>
                <w:szCs w:val="20"/>
                <w:color w:val="auto"/>
              </w:rPr>
            </w:pPr>
            <w:r>
              <w:rPr>
                <w:rFonts w:ascii="Arial" w:cs="Arial" w:eastAsia="Arial" w:hAnsi="Arial"/>
                <w:sz w:val="18"/>
                <w:szCs w:val="18"/>
                <w:color w:val="auto"/>
              </w:rPr>
              <w:t>July 1, 2025 – June 30, 2026</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13,786</w:t>
            </w:r>
          </w:p>
        </w:tc>
      </w:tr>
      <w:tr>
        <w:trPr>
          <w:trHeight w:val="203"/>
        </w:trPr>
        <w:tc>
          <w:tcPr>
            <w:tcW w:w="6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10,430</w:t>
            </w: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Total time deposits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gridSpan w:val="3"/>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1,115,596</w:t>
            </w:r>
          </w:p>
        </w:tc>
      </w:tr>
      <w:tr>
        <w:trPr>
          <w:trHeight w:val="20"/>
        </w:trPr>
        <w:tc>
          <w:tcPr>
            <w:tcW w:w="6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Borrowings</w:t>
      </w:r>
    </w:p>
    <w:p>
      <w:pPr>
        <w:spacing w:after="0" w:line="202" w:lineRule="exact"/>
        <w:rPr>
          <w:sz w:val="20"/>
          <w:szCs w:val="20"/>
          <w:color w:val="auto"/>
        </w:rPr>
      </w:pPr>
    </w:p>
    <w:p>
      <w:pPr>
        <w:ind w:left="60" w:right="339"/>
        <w:spacing w:after="0" w:line="259" w:lineRule="auto"/>
        <w:rPr>
          <w:sz w:val="20"/>
          <w:szCs w:val="20"/>
          <w:color w:val="auto"/>
        </w:rPr>
      </w:pPr>
      <w:r>
        <w:rPr>
          <w:rFonts w:ascii="Arial" w:cs="Arial" w:eastAsia="Arial" w:hAnsi="Arial"/>
          <w:sz w:val="17"/>
          <w:szCs w:val="17"/>
          <w:color w:val="auto"/>
        </w:rPr>
        <w:t xml:space="preserve">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 Securities sold under agreements to repurchase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33"/>
        </w:trPr>
        <w:tc>
          <w:tcPr>
            <w:tcW w:w="6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w w:val="99"/>
              </w:rPr>
              <w:t>June 30,</w:t>
            </w:r>
          </w:p>
        </w:tc>
        <w:tc>
          <w:tcPr>
            <w:tcW w:w="1040" w:type="dxa"/>
            <w:vAlign w:val="bottom"/>
            <w:gridSpan w:val="2"/>
          </w:tcPr>
          <w:p>
            <w:pPr>
              <w:jc w:val="right"/>
              <w:ind w:right="36"/>
              <w:spacing w:after="0" w:line="133" w:lineRule="exact"/>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1"/>
                <w:szCs w:val="11"/>
                <w:color w:val="auto"/>
              </w:rPr>
            </w:pPr>
          </w:p>
        </w:tc>
      </w:tr>
      <w:tr>
        <w:trPr>
          <w:trHeight w:val="185"/>
        </w:trPr>
        <w:tc>
          <w:tcPr>
            <w:tcW w:w="6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r>
      <w:tr>
        <w:trPr>
          <w:trHeight w:val="196"/>
        </w:trPr>
        <w:tc>
          <w:tcPr>
            <w:tcW w:w="6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Securities sold under agreements to repurchase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207,266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175,614</w:t>
            </w:r>
          </w:p>
        </w:tc>
        <w:tc>
          <w:tcPr>
            <w:tcW w:w="180" w:type="dxa"/>
            <w:vAlign w:val="bottom"/>
            <w:shd w:val="clear" w:color="auto" w:fill="CCEEFF"/>
          </w:tcPr>
          <w:p>
            <w:pPr>
              <w:spacing w:after="0"/>
              <w:rPr>
                <w:sz w:val="17"/>
                <w:szCs w:val="17"/>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Weighted average rate for securities sold under agreements to repurchase</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0.12 %</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0.13 %</w:t>
            </w:r>
          </w:p>
        </w:tc>
      </w:tr>
    </w:tbl>
    <w:p>
      <w:pPr>
        <w:spacing w:after="0" w:line="16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May 28, 2021, the Company entered into a Second Amended and Restated Credit Agreement, pursuant to which the Company has access to (i) a $40.0 million revolving line of credit with a termination date of April 30, 2022, and (ii) a $60.0 million term loan with a maturity date of May 31, 2026. The loans have an annual interest rate of 1.75% plus the one-month LIBOR rate. Proceeds of the term loan were used to fund a part of the cash portion of the merger consideration related to the acquisition of CAC and for general corporate purposes. The revolving credit facility incurs a non-usage fee based on any undrawn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Short-term borrowings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980" w:type="dxa"/>
            <w:vAlign w:val="bottom"/>
            <w:tcBorders>
              <w:bottom w:val="single" w:sz="8" w:color="auto"/>
            </w:tcBorders>
          </w:tcPr>
          <w:p>
            <w:pPr>
              <w:spacing w:after="0"/>
              <w:rPr>
                <w:sz w:val="16"/>
                <w:szCs w:val="16"/>
                <w:color w:val="auto"/>
              </w:rPr>
            </w:pPr>
          </w:p>
        </w:tc>
      </w:tr>
      <w:tr>
        <w:trPr>
          <w:trHeight w:val="133"/>
        </w:trPr>
        <w:tc>
          <w:tcPr>
            <w:tcW w:w="6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156"/>
              <w:spacing w:after="0" w:line="133" w:lineRule="exact"/>
              <w:rPr>
                <w:sz w:val="20"/>
                <w:szCs w:val="20"/>
                <w:color w:val="auto"/>
              </w:rPr>
            </w:pPr>
            <w:r>
              <w:rPr>
                <w:rFonts w:ascii="Arial" w:cs="Arial" w:eastAsia="Arial" w:hAnsi="Arial"/>
                <w:sz w:val="14"/>
                <w:szCs w:val="14"/>
                <w:b w:val="1"/>
                <w:bCs w:val="1"/>
                <w:color w:val="auto"/>
                <w:w w:val="99"/>
              </w:rPr>
              <w:t>June 30,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56"/>
              <w:spacing w:after="0" w:line="133" w:lineRule="exact"/>
              <w:rPr>
                <w:sz w:val="20"/>
                <w:szCs w:val="20"/>
                <w:color w:val="auto"/>
              </w:rPr>
            </w:pPr>
            <w:r>
              <w:rPr>
                <w:rFonts w:ascii="Arial" w:cs="Arial" w:eastAsia="Arial" w:hAnsi="Arial"/>
                <w:sz w:val="14"/>
                <w:szCs w:val="14"/>
                <w:b w:val="1"/>
                <w:bCs w:val="1"/>
                <w:color w:val="auto"/>
                <w:w w:val="90"/>
              </w:rPr>
              <w:t>December 31,</w:t>
            </w:r>
          </w:p>
        </w:tc>
      </w:tr>
      <w:tr>
        <w:trPr>
          <w:trHeight w:val="185"/>
        </w:trPr>
        <w:tc>
          <w:tcPr>
            <w:tcW w:w="6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Short-term borrowings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8"/>
        </w:trPr>
        <w:tc>
          <w:tcPr>
            <w:tcW w:w="6580" w:type="dxa"/>
            <w:vAlign w:val="bottom"/>
          </w:tcPr>
          <w:p>
            <w:pPr>
              <w:ind w:left="220"/>
              <w:spacing w:after="0" w:line="189" w:lineRule="exact"/>
              <w:rPr>
                <w:sz w:val="20"/>
                <w:szCs w:val="20"/>
                <w:color w:val="auto"/>
              </w:rPr>
            </w:pPr>
            <w:r>
              <w:rPr>
                <w:rFonts w:ascii="Arial" w:cs="Arial" w:eastAsia="Arial" w:hAnsi="Arial"/>
                <w:sz w:val="18"/>
                <w:szCs w:val="18"/>
                <w:color w:val="auto"/>
              </w:rPr>
              <w:t>FHLB advances maturing in less than one year from date of origination, and the</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7"/>
        </w:trPr>
        <w:tc>
          <w:tcPr>
            <w:tcW w:w="6580" w:type="dxa"/>
            <w:vAlign w:val="bottom"/>
          </w:tcPr>
          <w:p>
            <w:pPr>
              <w:ind w:left="220"/>
              <w:spacing w:after="0"/>
              <w:rPr>
                <w:sz w:val="20"/>
                <w:szCs w:val="20"/>
                <w:color w:val="auto"/>
              </w:rPr>
            </w:pPr>
            <w:r>
              <w:rPr>
                <w:rFonts w:ascii="Arial" w:cs="Arial" w:eastAsia="Arial" w:hAnsi="Arial"/>
                <w:sz w:val="18"/>
                <w:szCs w:val="18"/>
                <w:color w:val="auto"/>
              </w:rPr>
              <w:t>current portion of long-term FHLB advances due within 12 months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5,668</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4,658</w:t>
            </w:r>
          </w:p>
        </w:tc>
      </w:tr>
      <w:tr>
        <w:trPr>
          <w:trHeight w:val="203"/>
        </w:trPr>
        <w:tc>
          <w:tcPr>
            <w:tcW w:w="6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Revolving line of credit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12,500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Term Loan, current portion due within 12 months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12,000</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5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short-term debt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30,168</w:t>
            </w: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4,658</w:t>
            </w: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Federal funds purchased are short-term borrowings that generally mature between one and 90 days. The Company had no federal funds purchased as of June 30, 2021, or December 31, 2020.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79"/>
              </w:rPr>
              <w:t>As of</w:t>
            </w:r>
          </w:p>
        </w:tc>
        <w:tc>
          <w:tcPr>
            <w:tcW w:w="1000" w:type="dxa"/>
            <w:vAlign w:val="bottom"/>
            <w:tcBorders>
              <w:bottom w:val="single" w:sz="8" w:color="auto"/>
            </w:tcBorders>
          </w:tcPr>
          <w:p>
            <w:pPr>
              <w:spacing w:after="0"/>
              <w:rPr>
                <w:sz w:val="16"/>
                <w:szCs w:val="16"/>
                <w:color w:val="auto"/>
              </w:rPr>
            </w:pPr>
          </w:p>
        </w:tc>
      </w:tr>
      <w:tr>
        <w:trPr>
          <w:trHeight w:val="133"/>
        </w:trPr>
        <w:tc>
          <w:tcPr>
            <w:tcW w:w="6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57"/>
              <w:spacing w:after="0" w:line="133"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right"/>
              <w:ind w:right="57"/>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4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r>
      <w:tr>
        <w:trPr>
          <w:trHeight w:val="196"/>
        </w:trPr>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debt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8"/>
        </w:trPr>
        <w:tc>
          <w:tcPr>
            <w:tcW w:w="6440" w:type="dxa"/>
            <w:vAlign w:val="bottom"/>
          </w:tcPr>
          <w:p>
            <w:pPr>
              <w:ind w:left="220"/>
              <w:spacing w:after="0" w:line="189" w:lineRule="exact"/>
              <w:rPr>
                <w:sz w:val="20"/>
                <w:szCs w:val="20"/>
                <w:color w:val="auto"/>
              </w:rPr>
            </w:pPr>
            <w:r>
              <w:rPr>
                <w:rFonts w:ascii="Arial" w:cs="Arial" w:eastAsia="Arial" w:hAnsi="Arial"/>
                <w:sz w:val="18"/>
                <w:szCs w:val="18"/>
                <w:color w:val="auto"/>
                <w:w w:val="94"/>
              </w:rPr>
              <w:t>Notes payable, FHLB, original maturity of 5 years, collateralized by FHLB deposits,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6440" w:type="dxa"/>
            <w:vAlign w:val="bottom"/>
          </w:tcPr>
          <w:p>
            <w:pPr>
              <w:ind w:left="220"/>
              <w:spacing w:after="0"/>
              <w:rPr>
                <w:sz w:val="20"/>
                <w:szCs w:val="20"/>
                <w:color w:val="auto"/>
              </w:rPr>
            </w:pPr>
            <w:r>
              <w:rPr>
                <w:rFonts w:ascii="Arial" w:cs="Arial" w:eastAsia="Arial" w:hAnsi="Arial"/>
                <w:sz w:val="18"/>
                <w:szCs w:val="18"/>
                <w:color w:val="auto"/>
              </w:rPr>
              <w:t>residential and commercial real estate loans and FHLB stock</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4,409</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4,757</w:t>
            </w:r>
          </w:p>
        </w:tc>
      </w:tr>
      <w:tr>
        <w:trPr>
          <w:trHeight w:val="203"/>
        </w:trPr>
        <w:tc>
          <w:tcPr>
            <w:tcW w:w="6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Term Loan</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48,000</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440" w:type="dxa"/>
            <w:vAlign w:val="bottom"/>
          </w:tcPr>
          <w:p>
            <w:pPr>
              <w:spacing w:after="0" w:line="196" w:lineRule="exact"/>
              <w:rPr>
                <w:sz w:val="20"/>
                <w:szCs w:val="20"/>
                <w:color w:val="auto"/>
              </w:rPr>
            </w:pPr>
            <w:r>
              <w:rPr>
                <w:rFonts w:ascii="Arial" w:cs="Arial" w:eastAsia="Arial" w:hAnsi="Arial"/>
                <w:sz w:val="18"/>
                <w:szCs w:val="18"/>
                <w:color w:val="auto"/>
              </w:rPr>
              <w:t>Total long-term debt</w:t>
            </w:r>
          </w:p>
        </w:tc>
        <w:tc>
          <w:tcPr>
            <w:tcW w:w="14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52,409</w:t>
            </w:r>
          </w:p>
        </w:tc>
        <w:tc>
          <w:tcPr>
            <w:tcW w:w="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4,757</w:t>
            </w:r>
          </w:p>
        </w:tc>
      </w:tr>
      <w:tr>
        <w:trPr>
          <w:trHeight w:val="20"/>
        </w:trPr>
        <w:tc>
          <w:tcPr>
            <w:tcW w:w="6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59"/>
        <w:spacing w:after="0" w:line="261" w:lineRule="auto"/>
        <w:rPr>
          <w:sz w:val="20"/>
          <w:szCs w:val="20"/>
          <w:color w:val="auto"/>
        </w:rPr>
      </w:pPr>
      <w:r>
        <w:rPr>
          <w:rFonts w:ascii="Arial" w:cs="Arial" w:eastAsia="Arial" w:hAnsi="Arial"/>
          <w:sz w:val="18"/>
          <w:szCs w:val="18"/>
          <w:color w:val="auto"/>
        </w:rPr>
        <w:t>As of June 30, 2021, and December 31, 2020, funds borrowed from the FHLB, listed above, consisted of one variable-rate note maturing May 2023, with an interest rate of 3.04%.</w:t>
      </w:r>
    </w:p>
    <w:p>
      <w:pPr>
        <w:spacing w:after="0" w:line="157" w:lineRule="exact"/>
        <w:rPr>
          <w:sz w:val="20"/>
          <w:szCs w:val="20"/>
          <w:color w:val="auto"/>
        </w:rPr>
      </w:pPr>
    </w:p>
    <w:p>
      <w:pPr>
        <w:ind w:left="60" w:right="59"/>
        <w:spacing w:after="0" w:line="252" w:lineRule="auto"/>
        <w:rPr>
          <w:sz w:val="20"/>
          <w:szCs w:val="20"/>
          <w:color w:val="auto"/>
        </w:rPr>
      </w:pPr>
      <w:r>
        <w:rPr>
          <w:rFonts w:ascii="Arial" w:cs="Arial" w:eastAsia="Arial" w:hAnsi="Arial"/>
          <w:sz w:val="17"/>
          <w:szCs w:val="17"/>
          <w:color w:val="auto"/>
        </w:rPr>
        <w:t>On May 25, 2017, the Company issued $40.0 million of 3.75% senior notes that mature on May 25, 2022. The senior notes are payable semi-annually on each May 25 and November 25, commencing on November 25, 2017. The senior notes are not subject to optional redemption by the Company. Additionally, on May 25, 2017, the Company issued $60.0 million of fixed-to-floating rate subordinated notes that mature on May 25, 2027. The subordinated notes, which qualify as Tier 2 capital for First Busey, bear interest at an annual rate of 4.75% for the first five years after issuance and thereafter bear interest at a floating rate equal to three-month LIBOR plus a spread of 2.919%, as calculated on each applicable determination date. The subordinated notes are payable semi-annually on each May 25 and November 25, commencing on November 25, 2017, during the five-year fixed-term, and thereafter on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w:t>
      </w:r>
    </w:p>
    <w:p>
      <w:pPr>
        <w:spacing w:after="0" w:line="17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On June 1, 2020, the Company issued $125.0 million of fixed-to-floating rate subordinated notes that mature on June 1, 2030. The subordinated notes, which qualify as Tier 2 capital for First Busey, bear interest at an annual rate of 5.25% for the first five years after issuance and thereafter bear interest at a floating rate equal to a three-month benchmark rate plus a spread of 5.11%, as calculated on each applicable determination date. The subordinated notes are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color w:val="auto"/>
        </w:rPr>
        <w:t xml:space="preserve">Unamortized debt issuance costs related to senior notes and subordinated notes are presented in the following table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980" w:type="dxa"/>
            <w:vAlign w:val="bottom"/>
            <w:tcBorders>
              <w:bottom w:val="single" w:sz="8" w:color="auto"/>
            </w:tcBorders>
          </w:tcPr>
          <w:p>
            <w:pPr>
              <w:spacing w:after="0"/>
              <w:rPr>
                <w:sz w:val="16"/>
                <w:szCs w:val="16"/>
                <w:color w:val="auto"/>
              </w:rPr>
            </w:pPr>
          </w:p>
        </w:tc>
      </w:tr>
      <w:tr>
        <w:trPr>
          <w:trHeight w:val="133"/>
        </w:trPr>
        <w:tc>
          <w:tcPr>
            <w:tcW w:w="6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156"/>
              <w:spacing w:after="0" w:line="133" w:lineRule="exact"/>
              <w:rPr>
                <w:sz w:val="20"/>
                <w:szCs w:val="20"/>
                <w:color w:val="auto"/>
              </w:rPr>
            </w:pPr>
            <w:r>
              <w:rPr>
                <w:rFonts w:ascii="Arial" w:cs="Arial" w:eastAsia="Arial" w:hAnsi="Arial"/>
                <w:sz w:val="14"/>
                <w:szCs w:val="14"/>
                <w:b w:val="1"/>
                <w:bCs w:val="1"/>
                <w:color w:val="auto"/>
                <w:w w:val="99"/>
              </w:rPr>
              <w:t>June 30,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56"/>
              <w:spacing w:after="0" w:line="133" w:lineRule="exact"/>
              <w:rPr>
                <w:sz w:val="20"/>
                <w:szCs w:val="20"/>
                <w:color w:val="auto"/>
              </w:rPr>
            </w:pPr>
            <w:r>
              <w:rPr>
                <w:rFonts w:ascii="Arial" w:cs="Arial" w:eastAsia="Arial" w:hAnsi="Arial"/>
                <w:sz w:val="14"/>
                <w:szCs w:val="14"/>
                <w:b w:val="1"/>
                <w:bCs w:val="1"/>
                <w:color w:val="auto"/>
                <w:w w:val="90"/>
              </w:rPr>
              <w:t>December 31,</w:t>
            </w:r>
          </w:p>
        </w:tc>
      </w:tr>
      <w:tr>
        <w:trPr>
          <w:trHeight w:val="185"/>
        </w:trPr>
        <w:tc>
          <w:tcPr>
            <w:tcW w:w="6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Unamortized debt issuance costs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line="202" w:lineRule="exact"/>
              <w:rPr>
                <w:sz w:val="20"/>
                <w:szCs w:val="20"/>
                <w:color w:val="auto"/>
              </w:rPr>
            </w:pPr>
            <w:r>
              <w:rPr>
                <w:rFonts w:ascii="Arial" w:cs="Arial" w:eastAsia="Arial" w:hAnsi="Arial"/>
                <w:sz w:val="18"/>
                <w:szCs w:val="18"/>
                <w:color w:val="auto"/>
              </w:rPr>
              <w:t>Senior notes issued in 2017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3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r>
      <w:tr>
        <w:trPr>
          <w:trHeight w:val="203"/>
        </w:trPr>
        <w:tc>
          <w:tcPr>
            <w:tcW w:w="6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Subordinated notes issued in 2017</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w:t>
            </w:r>
          </w:p>
        </w:tc>
      </w:tr>
      <w:tr>
        <w:trPr>
          <w:trHeight w:val="203"/>
        </w:trPr>
        <w:tc>
          <w:tcPr>
            <w:tcW w:w="65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Subordinated notes issued in 2020</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1,897</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2,123</w:t>
            </w:r>
          </w:p>
        </w:tc>
      </w:tr>
      <w:tr>
        <w:trPr>
          <w:trHeight w:val="196"/>
        </w:trPr>
        <w:tc>
          <w:tcPr>
            <w:tcW w:w="65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unamortized debt issuance costs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2,621</w:t>
            </w: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2,965</w:t>
            </w: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Regulatory Capital</w:t>
      </w:r>
    </w:p>
    <w:p>
      <w:pPr>
        <w:spacing w:after="0" w:line="202"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The Company and its subsidiary banks are subject to various regulatory capital requirements administered by federal banking agencies. Failure to meet minimum capital requirements can initiate certain mandatory – and possibly additional discretionary – actions by regulators that, if undertaken, could have a direct material effect on the Company's consolidated financial statements. Capital amounts and classification also are subject to qualitative judgments by regulators about components, risk weightings, and other factors.</w:t>
      </w:r>
    </w:p>
    <w:p>
      <w:pPr>
        <w:spacing w:after="0" w:line="176" w:lineRule="exact"/>
        <w:rPr>
          <w:sz w:val="20"/>
          <w:szCs w:val="20"/>
          <w:color w:val="auto"/>
        </w:rPr>
      </w:pPr>
    </w:p>
    <w:p>
      <w:pPr>
        <w:ind w:left="60" w:right="259"/>
        <w:spacing w:after="0" w:line="241" w:lineRule="auto"/>
        <w:rPr>
          <w:sz w:val="20"/>
          <w:szCs w:val="20"/>
          <w:color w:val="auto"/>
        </w:rPr>
      </w:pPr>
      <w:r>
        <w:rPr>
          <w:rFonts w:ascii="Arial" w:cs="Arial" w:eastAsia="Arial" w:hAnsi="Arial"/>
          <w:sz w:val="18"/>
          <w:szCs w:val="18"/>
          <w:color w:val="auto"/>
        </w:rPr>
        <w:t>Banking regulations identify five capital categories for insured depository institutions: well capitalized, adequately capitalized, undercapitalized, significantly undercapitalized, and critically undercapitalized. As of June 30, 2021, and December 31, 2020, all capital ratios of the Company and its subsidiary banks exceeded the well capitalized levels under the applicable regulatory capital adequacy guidelines. Management believes that no events or changes have occurred subsequent to June 30, 2021, that would change this designation.</w:t>
      </w:r>
    </w:p>
    <w:p>
      <w:pPr>
        <w:spacing w:after="0" w:line="176"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On March 27, 2020, the FDIC and other federal banking agencies published an interim final rule that provides those banking organizations adopting CECL during 2020 with the option to delay for two years the estimated impact of CECL on regulatory capital and to phase in the aggregate impact of the deferral on regulatory capital over a subsequent three-year period. On August 26, 2020, the CECL final rule was finalized and was substantially similar to the interim final rule. Under this final rule, because the Company has elected to use the deferral option, the regulatory capital impact of our transition adjustments recorded on January 1, 2020, from the adoption of CECL will be deferred for two years, until January 1, 2022. In addition, 25 percent of the ongoing impact of CECL on our ACL, retained earnings, and average total consolidated assets from January 1, 2020, through the end of the two-year deferral period, each as reported for regulatory capital purposes, will be added to the deferred transition amounts (“adjusted transition amounts”) and deferred for the two-year period. At the conclusion of the two-year period the adjusted transition amounts will be phased-in for regulatory capital purposes at a rate of 25 percent per year, with the phased-in amounts included in regulatory capital at the beginning of each year. GSB adopted CECL as of the acquisition date, and based on the timing of the acquisition, GSB is not eligible for this deferral option.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359"/>
        <w:spacing w:after="0" w:line="261" w:lineRule="auto"/>
        <w:rPr>
          <w:sz w:val="20"/>
          <w:szCs w:val="20"/>
          <w:color w:val="auto"/>
        </w:rPr>
      </w:pPr>
      <w:r>
        <w:rPr>
          <w:rFonts w:ascii="Arial" w:cs="Arial" w:eastAsia="Arial" w:hAnsi="Arial"/>
          <w:sz w:val="18"/>
          <w:szCs w:val="18"/>
          <w:color w:val="auto"/>
        </w:rPr>
        <w:t xml:space="preserve">The following tables summarize regulatory capital requirements applicable to the holding company its subsidiary banks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w w:val="90"/>
              </w:rPr>
              <w:t>As of June 30, 2021</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33"/>
        </w:trPr>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ind w:left="215"/>
              <w:spacing w:after="0" w:line="133" w:lineRule="exact"/>
              <w:rPr>
                <w:sz w:val="20"/>
                <w:szCs w:val="20"/>
                <w:color w:val="auto"/>
              </w:rPr>
            </w:pPr>
            <w:r>
              <w:rPr>
                <w:rFonts w:ascii="Arial" w:cs="Arial" w:eastAsia="Arial" w:hAnsi="Arial"/>
                <w:sz w:val="14"/>
                <w:szCs w:val="14"/>
                <w:b w:val="1"/>
                <w:bCs w:val="1"/>
                <w:color w:val="auto"/>
                <w:w w:val="97"/>
              </w:rPr>
              <w:t>Minimum</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2"/>
        </w:trPr>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5"/>
          </w:tcPr>
          <w:p>
            <w:pPr>
              <w:jc w:val="center"/>
              <w:ind w:left="194"/>
              <w:spacing w:after="0"/>
              <w:rPr>
                <w:sz w:val="20"/>
                <w:szCs w:val="20"/>
                <w:color w:val="auto"/>
              </w:rPr>
            </w:pPr>
            <w:r>
              <w:rPr>
                <w:rFonts w:ascii="Arial" w:cs="Arial" w:eastAsia="Arial" w:hAnsi="Arial"/>
                <w:sz w:val="14"/>
                <w:szCs w:val="14"/>
                <w:b w:val="1"/>
                <w:bCs w:val="1"/>
                <w:color w:val="auto"/>
              </w:rPr>
              <w:t>Minimum</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To Be Well</w:t>
            </w:r>
          </w:p>
        </w:tc>
      </w:tr>
      <w:tr>
        <w:trPr>
          <w:trHeight w:val="185"/>
        </w:trPr>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ind w:left="460"/>
              <w:spacing w:after="0"/>
              <w:rPr>
                <w:sz w:val="20"/>
                <w:szCs w:val="20"/>
                <w:color w:val="auto"/>
              </w:rPr>
            </w:pPr>
            <w:r>
              <w:rPr>
                <w:rFonts w:ascii="Arial" w:cs="Arial" w:eastAsia="Arial" w:hAnsi="Arial"/>
                <w:sz w:val="14"/>
                <w:szCs w:val="14"/>
                <w:b w:val="1"/>
                <w:bCs w:val="1"/>
                <w:color w:val="auto"/>
              </w:rPr>
              <w:t>Actual</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5"/>
              </w:rPr>
              <w:t>Capital Requirement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Capitalized</w:t>
            </w:r>
          </w:p>
        </w:tc>
      </w:tr>
      <w:tr>
        <w:trPr>
          <w:trHeight w:val="155"/>
        </w:trPr>
        <w:tc>
          <w:tcPr>
            <w:tcW w:w="35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Ratio</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5"/>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Ratio</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3"/>
                <w:szCs w:val="13"/>
                <w:color w:val="auto"/>
              </w:rPr>
            </w:pPr>
          </w:p>
        </w:tc>
      </w:tr>
      <w:tr>
        <w:trPr>
          <w:trHeight w:val="196"/>
        </w:trPr>
        <w:tc>
          <w:tcPr>
            <w:tcW w:w="35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Capital (to Risk Weighted Assets)</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89"/>
              </w:rPr>
              <w:t>1,322,889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w w:val="96"/>
              </w:rPr>
              <w:t>16.41 %</w:t>
            </w:r>
          </w:p>
        </w:tc>
        <w:tc>
          <w:tcPr>
            <w:tcW w:w="20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644,804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w w:val="99"/>
              </w:rPr>
              <w:t>8.00 %</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806,004</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0"/>
              </w:rPr>
              <w:t>10.00 %</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1,200,761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6"/>
              </w:rPr>
              <w:t>16.22 %</w:t>
            </w:r>
          </w:p>
        </w:tc>
        <w:tc>
          <w:tcPr>
            <w:tcW w:w="200" w:type="dxa"/>
            <w:vAlign w:val="bottom"/>
            <w:gridSpan w:val="3"/>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592,339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8.00 %</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740,424</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10.00 %</w:t>
            </w: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GSB</w:t>
            </w: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113,250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w w:val="96"/>
              </w:rPr>
              <w:t>18.20 %</w:t>
            </w:r>
          </w:p>
        </w:tc>
        <w:tc>
          <w:tcPr>
            <w:tcW w:w="20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49,779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w w:val="99"/>
              </w:rPr>
              <w:t>8.00 %</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62,223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0"/>
              </w:rPr>
              <w:t>10.00 %</w:t>
            </w:r>
          </w:p>
        </w:tc>
      </w:tr>
      <w:tr>
        <w:trPr>
          <w:trHeight w:val="203"/>
        </w:trPr>
        <w:tc>
          <w:tcPr>
            <w:tcW w:w="3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5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Tier 1 Capital (to Risk Weighted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1,062,182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6"/>
              </w:rPr>
              <w:t>13.18 %</w:t>
            </w:r>
          </w:p>
        </w:tc>
        <w:tc>
          <w:tcPr>
            <w:tcW w:w="200" w:type="dxa"/>
            <w:vAlign w:val="bottom"/>
            <w:gridSpan w:val="3"/>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483,603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6.00 %</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644,804</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8.00 %</w:t>
            </w: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89"/>
              </w:rPr>
              <w:t>1,133,213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w w:val="96"/>
              </w:rPr>
              <w:t>15.30 %</w:t>
            </w:r>
          </w:p>
        </w:tc>
        <w:tc>
          <w:tcPr>
            <w:tcW w:w="20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444,254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w w:val="99"/>
              </w:rPr>
              <w:t>6.00 %</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592,339</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8.00 %</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GSB</w:t>
            </w: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105,472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6"/>
              </w:rPr>
              <w:t>16.95 %</w:t>
            </w:r>
          </w:p>
        </w:tc>
        <w:tc>
          <w:tcPr>
            <w:tcW w:w="200" w:type="dxa"/>
            <w:vAlign w:val="bottom"/>
            <w:gridSpan w:val="3"/>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37,334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6.00 %</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49,779</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8.00 %</w:t>
            </w:r>
          </w:p>
        </w:tc>
      </w:tr>
      <w:tr>
        <w:trPr>
          <w:trHeight w:val="203"/>
        </w:trPr>
        <w:tc>
          <w:tcPr>
            <w:tcW w:w="35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580" w:type="dxa"/>
            <w:vAlign w:val="bottom"/>
            <w:gridSpan w:val="6"/>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3"/>
              </w:rPr>
              <w:t>Common Equity Tier 1 Capital (to Risk Weighted Assets)</w:t>
            </w: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988,182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w w:val="96"/>
              </w:rPr>
              <w:t>12.26 %</w:t>
            </w:r>
          </w:p>
        </w:tc>
        <w:tc>
          <w:tcPr>
            <w:tcW w:w="20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362,702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w w:val="99"/>
              </w:rPr>
              <w:t>4.50 %</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523,903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6.50 %</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1,133,213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6"/>
              </w:rPr>
              <w:t>15.30 %</w:t>
            </w:r>
          </w:p>
        </w:tc>
        <w:tc>
          <w:tcPr>
            <w:tcW w:w="200" w:type="dxa"/>
            <w:vAlign w:val="bottom"/>
            <w:gridSpan w:val="3"/>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333,191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4.50 %</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481,275</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6.50 %</w:t>
            </w: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GSB</w:t>
            </w: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105,472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w w:val="96"/>
              </w:rPr>
              <w:t>16.95 %</w:t>
            </w:r>
          </w:p>
        </w:tc>
        <w:tc>
          <w:tcPr>
            <w:tcW w:w="20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28,000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w w:val="99"/>
              </w:rPr>
              <w:t>4.50 %</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40,445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6.50 %</w:t>
            </w:r>
          </w:p>
        </w:tc>
      </w:tr>
      <w:tr>
        <w:trPr>
          <w:trHeight w:val="203"/>
        </w:trPr>
        <w:tc>
          <w:tcPr>
            <w:tcW w:w="3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5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Tier 1 Capital (to Average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1,062,182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9.62 %</w:t>
            </w:r>
          </w:p>
        </w:tc>
        <w:tc>
          <w:tcPr>
            <w:tcW w:w="200" w:type="dxa"/>
            <w:vAlign w:val="bottom"/>
            <w:gridSpan w:val="3"/>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441,602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4.00 %</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ind w:left="380"/>
              <w:spacing w:after="0" w:line="202" w:lineRule="exact"/>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89"/>
              </w:rPr>
              <w:t>1,133,213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w w:val="96"/>
              </w:rPr>
              <w:t>10.78 %</w:t>
            </w:r>
          </w:p>
        </w:tc>
        <w:tc>
          <w:tcPr>
            <w:tcW w:w="20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420,434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w w:val="99"/>
              </w:rPr>
              <w:t>4.00 %</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525,542</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5.00 %</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GSB</w:t>
            </w: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105,472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7.35 %</w:t>
            </w:r>
          </w:p>
        </w:tc>
        <w:tc>
          <w:tcPr>
            <w:tcW w:w="200" w:type="dxa"/>
            <w:vAlign w:val="bottom"/>
            <w:gridSpan w:val="3"/>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57,425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4.00 %</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71,782</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5.00 %</w:t>
            </w:r>
          </w:p>
        </w:tc>
      </w:tr>
      <w:tr>
        <w:trPr>
          <w:trHeight w:val="378"/>
        </w:trPr>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11"/>
          </w:tcPr>
          <w:p>
            <w:pPr>
              <w:ind w:left="60"/>
              <w:spacing w:after="0"/>
              <w:rPr>
                <w:sz w:val="20"/>
                <w:szCs w:val="20"/>
                <w:color w:val="auto"/>
              </w:rPr>
            </w:pPr>
            <w:r>
              <w:rPr>
                <w:rFonts w:ascii="Arial" w:cs="Arial" w:eastAsia="Arial" w:hAnsi="Arial"/>
                <w:sz w:val="14"/>
                <w:szCs w:val="14"/>
                <w:b w:val="1"/>
                <w:bCs w:val="1"/>
                <w:color w:val="auto"/>
              </w:rPr>
              <w:t>As of December 31, 2020</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33"/>
        </w:trPr>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ind w:left="235"/>
              <w:spacing w:after="0" w:line="133" w:lineRule="exact"/>
              <w:rPr>
                <w:sz w:val="20"/>
                <w:szCs w:val="20"/>
                <w:color w:val="auto"/>
              </w:rPr>
            </w:pPr>
            <w:r>
              <w:rPr>
                <w:rFonts w:ascii="Arial" w:cs="Arial" w:eastAsia="Arial" w:hAnsi="Arial"/>
                <w:sz w:val="14"/>
                <w:szCs w:val="14"/>
                <w:b w:val="1"/>
                <w:bCs w:val="1"/>
                <w:color w:val="auto"/>
              </w:rPr>
              <w:t>Minimum</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2"/>
        </w:trPr>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5"/>
          </w:tcPr>
          <w:p>
            <w:pPr>
              <w:ind w:left="340"/>
              <w:spacing w:after="0"/>
              <w:rPr>
                <w:sz w:val="20"/>
                <w:szCs w:val="20"/>
                <w:color w:val="auto"/>
              </w:rPr>
            </w:pPr>
            <w:r>
              <w:rPr>
                <w:rFonts w:ascii="Arial" w:cs="Arial" w:eastAsia="Arial" w:hAnsi="Arial"/>
                <w:sz w:val="14"/>
                <w:szCs w:val="14"/>
                <w:b w:val="1"/>
                <w:bCs w:val="1"/>
                <w:color w:val="auto"/>
                <w:w w:val="94"/>
              </w:rPr>
              <w:t>Minimum</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To Be Well</w:t>
            </w:r>
          </w:p>
        </w:tc>
      </w:tr>
      <w:tr>
        <w:trPr>
          <w:trHeight w:val="185"/>
        </w:trPr>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ind w:left="480"/>
              <w:spacing w:after="0"/>
              <w:rPr>
                <w:sz w:val="20"/>
                <w:szCs w:val="20"/>
                <w:color w:val="auto"/>
              </w:rPr>
            </w:pPr>
            <w:r>
              <w:rPr>
                <w:rFonts w:ascii="Arial" w:cs="Arial" w:eastAsia="Arial" w:hAnsi="Arial"/>
                <w:sz w:val="14"/>
                <w:szCs w:val="14"/>
                <w:b w:val="1"/>
                <w:bCs w:val="1"/>
                <w:color w:val="auto"/>
              </w:rPr>
              <w:t>Actual</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9"/>
              </w:rPr>
              <w:t>Capital Requirement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Capitalized</w:t>
            </w:r>
          </w:p>
        </w:tc>
      </w:tr>
      <w:tr>
        <w:trPr>
          <w:trHeight w:val="155"/>
        </w:trPr>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5"/>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w w:val="97"/>
              </w:rPr>
              <w:t>Ratio</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3"/>
                <w:szCs w:val="13"/>
                <w:color w:val="auto"/>
              </w:rPr>
            </w:pPr>
          </w:p>
        </w:tc>
      </w:tr>
      <w:tr>
        <w:trPr>
          <w:trHeight w:val="196"/>
        </w:trPr>
        <w:tc>
          <w:tcPr>
            <w:tcW w:w="35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Capital (to Risk Weighted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89"/>
              </w:rPr>
              <w:t>1,245,997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17.04 %</w:t>
            </w:r>
          </w:p>
        </w:tc>
        <w:tc>
          <w:tcPr>
            <w:tcW w:w="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585,015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w w:val="99"/>
              </w:rPr>
              <w:t>8.00 %</w:t>
            </w: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731,269</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0"/>
              </w:rPr>
              <w:t>10.00 %</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1,131,875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15.50 %</w:t>
            </w:r>
          </w:p>
        </w:tc>
        <w:tc>
          <w:tcPr>
            <w:tcW w:w="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584,082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8.00 %</w:t>
            </w:r>
          </w:p>
        </w:tc>
        <w:tc>
          <w:tcPr>
            <w:tcW w:w="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730,103</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10.00 %</w:t>
            </w:r>
          </w:p>
        </w:tc>
      </w:tr>
      <w:tr>
        <w:trPr>
          <w:trHeight w:val="203"/>
        </w:trPr>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Tier 1 Capital (to Risk Weighted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983,033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13.44 %</w:t>
            </w:r>
          </w:p>
        </w:tc>
        <w:tc>
          <w:tcPr>
            <w:tcW w:w="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438,761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w w:val="99"/>
              </w:rPr>
              <w:t>6.00 %</w:t>
            </w: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585,015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8.00 %</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1,053,910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14.44 %</w:t>
            </w:r>
          </w:p>
        </w:tc>
        <w:tc>
          <w:tcPr>
            <w:tcW w:w="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438,062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6.00 %</w:t>
            </w:r>
          </w:p>
        </w:tc>
        <w:tc>
          <w:tcPr>
            <w:tcW w:w="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584,082</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8.00 %</w:t>
            </w:r>
          </w:p>
        </w:tc>
      </w:tr>
      <w:tr>
        <w:trPr>
          <w:trHeight w:val="203"/>
        </w:trPr>
        <w:tc>
          <w:tcPr>
            <w:tcW w:w="3520" w:type="dxa"/>
            <w:vAlign w:val="bottom"/>
            <w:gridSpan w:val="2"/>
          </w:tcPr>
          <w:p>
            <w:pPr>
              <w:spacing w:after="0"/>
              <w:rPr>
                <w:sz w:val="17"/>
                <w:szCs w:val="17"/>
                <w:color w:val="auto"/>
              </w:rPr>
            </w:pPr>
          </w:p>
        </w:tc>
        <w:tc>
          <w:tcPr>
            <w:tcW w:w="92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580" w:type="dxa"/>
            <w:vAlign w:val="bottom"/>
            <w:gridSpan w:val="6"/>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3"/>
              </w:rPr>
              <w:t>Common Equity Tier 1 Capital (to Risk Weighted Assets)</w:t>
            </w: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909,033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12.43 %</w:t>
            </w:r>
          </w:p>
        </w:tc>
        <w:tc>
          <w:tcPr>
            <w:tcW w:w="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329,071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w w:val="99"/>
              </w:rPr>
              <w:t>4.50 %</w:t>
            </w: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475,325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6.50 %</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1,053,910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14.44 %</w:t>
            </w:r>
          </w:p>
        </w:tc>
        <w:tc>
          <w:tcPr>
            <w:tcW w:w="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328,546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4.50 %</w:t>
            </w:r>
          </w:p>
        </w:tc>
        <w:tc>
          <w:tcPr>
            <w:tcW w:w="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474,567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6.50 %</w:t>
            </w:r>
          </w:p>
        </w:tc>
      </w:tr>
      <w:tr>
        <w:trPr>
          <w:trHeight w:val="203"/>
        </w:trPr>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Tier 1 Capital (to Average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983,033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9.79 %</w:t>
            </w:r>
          </w:p>
        </w:tc>
        <w:tc>
          <w:tcPr>
            <w:tcW w:w="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401,717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w w:val="99"/>
              </w:rPr>
              <w:t>4.00 %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N/A</w:t>
            </w:r>
          </w:p>
        </w:tc>
        <w:tc>
          <w:tcPr>
            <w:tcW w:w="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1,053,910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10.52 %</w:t>
            </w:r>
          </w:p>
        </w:tc>
        <w:tc>
          <w:tcPr>
            <w:tcW w:w="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400,581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4.00 %</w:t>
            </w:r>
          </w:p>
        </w:tc>
        <w:tc>
          <w:tcPr>
            <w:tcW w:w="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500,727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5.00 %</w:t>
            </w:r>
          </w:p>
        </w:tc>
      </w:tr>
    </w:tbl>
    <w:p>
      <w:pPr>
        <w:spacing w:after="0" w:line="188" w:lineRule="exact"/>
        <w:rPr>
          <w:sz w:val="20"/>
          <w:szCs w:val="20"/>
          <w:color w:val="auto"/>
        </w:rPr>
      </w:pPr>
    </w:p>
    <w:p>
      <w:pPr>
        <w:ind w:left="60" w:right="99"/>
        <w:spacing w:after="0" w:line="274" w:lineRule="auto"/>
        <w:rPr>
          <w:sz w:val="20"/>
          <w:szCs w:val="20"/>
          <w:color w:val="auto"/>
        </w:rPr>
      </w:pPr>
      <w:r>
        <w:rPr>
          <w:rFonts w:ascii="Arial" w:cs="Arial" w:eastAsia="Arial" w:hAnsi="Arial"/>
          <w:sz w:val="16"/>
          <w:szCs w:val="16"/>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total capital to risk-weighted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359"/>
        <w:spacing w:after="0" w:line="261" w:lineRule="auto"/>
        <w:rPr>
          <w:sz w:val="20"/>
          <w:szCs w:val="20"/>
          <w:color w:val="auto"/>
        </w:rPr>
      </w:pPr>
      <w:r>
        <w:rPr>
          <w:rFonts w:ascii="Arial" w:cs="Arial" w:eastAsia="Arial" w:hAnsi="Arial"/>
          <w:sz w:val="18"/>
          <w:szCs w:val="18"/>
          <w:color w:val="auto"/>
        </w:rPr>
        <w:t>assets of at least 10.50%, (ii) Tier 1 Capital to risk-weighted assets of at least 8.50%, and (iii) Common Equity Tier 1 to risk-weighted assets of at least 7.00%.</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Stock-Based Compensation</w:t>
      </w:r>
    </w:p>
    <w:p>
      <w:pPr>
        <w:spacing w:after="0" w:line="202" w:lineRule="exact"/>
        <w:rPr>
          <w:sz w:val="20"/>
          <w:szCs w:val="20"/>
          <w:color w:val="auto"/>
        </w:rPr>
      </w:pPr>
    </w:p>
    <w:p>
      <w:pPr>
        <w:ind w:left="60" w:right="259"/>
        <w:spacing w:after="0" w:line="276" w:lineRule="auto"/>
        <w:rPr>
          <w:sz w:val="20"/>
          <w:szCs w:val="20"/>
          <w:color w:val="auto"/>
        </w:rPr>
      </w:pPr>
      <w:r>
        <w:rPr>
          <w:rFonts w:ascii="Arial" w:cs="Arial" w:eastAsia="Arial" w:hAnsi="Arial"/>
          <w:sz w:val="16"/>
          <w:szCs w:val="16"/>
          <w:color w:val="auto"/>
        </w:rPr>
        <w:t>Under the terms of the 2020 Equity Plan, the Company has granted restricted stock units, deferred stock units and performance-based restricted stock unit awards. The Company grants restricted stock units to members of management periodically throughout the year. Each restricted stock unit is equivalent to one share of the Company’s common stock. These units have requisite service periods ranging from one to five years, subject to accelerated vesting upon eligible retirement from the Company. Recipients earn quarterly dividend equivalents on their respective units which entitle the recipients to additional units. Therefore, dividends earned each quarter compound based upon the updated unit balances.</w:t>
      </w:r>
    </w:p>
    <w:p>
      <w:pPr>
        <w:spacing w:after="0" w:line="148" w:lineRule="exact"/>
        <w:rPr>
          <w:sz w:val="20"/>
          <w:szCs w:val="20"/>
          <w:color w:val="auto"/>
        </w:rPr>
      </w:pPr>
    </w:p>
    <w:p>
      <w:pPr>
        <w:ind w:left="60" w:right="279"/>
        <w:spacing w:after="0" w:line="257" w:lineRule="auto"/>
        <w:rPr>
          <w:sz w:val="20"/>
          <w:szCs w:val="20"/>
          <w:color w:val="auto"/>
        </w:rPr>
      </w:pPr>
      <w:r>
        <w:rPr>
          <w:rFonts w:ascii="Arial" w:cs="Arial" w:eastAsia="Arial" w:hAnsi="Arial"/>
          <w:sz w:val="17"/>
          <w:szCs w:val="17"/>
          <w:color w:val="auto"/>
        </w:rPr>
        <w:t>The Company grants deferred stock units, which are restricted stock units with a deferred settlement date, to its directors and advisory directors. Each deferred stock unit is equivalent to one share of the Company’s common stock. Deferred stock units vest over a one-year period following the grant date. These units generally are subject to the same terms as restricted stock units under the 2020 Equity Plan, except that, following vesting, settlement occurs within 30 days following the earlier of separation from the board or a change in control of the Company. After vesting and prior to delivery, these units will continue to earn dividend equivalents.</w:t>
      </w:r>
    </w:p>
    <w:p>
      <w:pPr>
        <w:spacing w:after="0" w:line="162" w:lineRule="exact"/>
        <w:rPr>
          <w:sz w:val="20"/>
          <w:szCs w:val="20"/>
          <w:color w:val="auto"/>
        </w:rPr>
      </w:pPr>
    </w:p>
    <w:p>
      <w:pPr>
        <w:ind w:left="60" w:right="319"/>
        <w:spacing w:after="0" w:line="284" w:lineRule="auto"/>
        <w:rPr>
          <w:sz w:val="20"/>
          <w:szCs w:val="20"/>
          <w:color w:val="auto"/>
        </w:rPr>
      </w:pPr>
      <w:r>
        <w:rPr>
          <w:rFonts w:ascii="Arial" w:cs="Arial" w:eastAsia="Arial" w:hAnsi="Arial"/>
          <w:sz w:val="16"/>
          <w:szCs w:val="16"/>
          <w:color w:val="auto"/>
        </w:rPr>
        <w:t>The Company also grants performance-based restricted stock unit awards to members of management periodically throughout the year. Each performance-based restricted stock unit is equivalent to one share of the Company’s common stock. The number of units that ultimately vest will be determined based on the achievement of the market or other performance goals, subject to accelerated service-based vesting conditions upon eligible retirement from the Company.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outstanding stock options assumed from acquisitions.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Upon vesting/delivery, shares are expected (though not required) to be issued from treasury.</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98"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A summary of the status of, and changes in, the Company's stock option awards for the six months ended June 30, 2021, follows:</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920" w:type="dxa"/>
            <w:vAlign w:val="bottom"/>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period</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39,085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23.53</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Expired</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(6,379)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23.53</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end of period</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32,706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23.53</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at end of period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32,706</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23.53</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The Company did not record any stock option compensation expense for the three or six months ended June 30, 2021. As of June 30, 2021, the Company did not have any unrecognized stock option expense.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 Performance-Based Restricted Stock Unit, and Deferred Stock Unit Awards</w:t>
      </w:r>
    </w:p>
    <w:p>
      <w:pPr>
        <w:spacing w:after="0" w:line="198" w:lineRule="exact"/>
        <w:rPr>
          <w:sz w:val="20"/>
          <w:szCs w:val="20"/>
          <w:color w:val="auto"/>
        </w:rPr>
      </w:pPr>
    </w:p>
    <w:p>
      <w:pPr>
        <w:ind w:left="60" w:right="579"/>
        <w:spacing w:after="0" w:line="261" w:lineRule="auto"/>
        <w:rPr>
          <w:sz w:val="20"/>
          <w:szCs w:val="20"/>
          <w:color w:val="auto"/>
        </w:rPr>
      </w:pPr>
      <w:r>
        <w:rPr>
          <w:rFonts w:ascii="Arial" w:cs="Arial" w:eastAsia="Arial" w:hAnsi="Arial"/>
          <w:sz w:val="18"/>
          <w:szCs w:val="18"/>
          <w:color w:val="auto"/>
        </w:rPr>
        <w:t>A summary of changes in the Company’s RSU, PSU, and DSU awards for the six months ended June 30, 2021, is as follows: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920" w:type="dxa"/>
            <w:vAlign w:val="bottom"/>
            <w:gridSpan w:val="5"/>
          </w:tcPr>
          <w:p>
            <w:pPr>
              <w:ind w:left="480"/>
              <w:spacing w:after="0"/>
              <w:rPr>
                <w:sz w:val="20"/>
                <w:szCs w:val="20"/>
                <w:color w:val="auto"/>
              </w:rPr>
            </w:pPr>
            <w:r>
              <w:rPr>
                <w:rFonts w:ascii="Arial" w:cs="Arial" w:eastAsia="Arial" w:hAnsi="Arial"/>
                <w:sz w:val="14"/>
                <w:szCs w:val="14"/>
                <w:b w:val="1"/>
                <w:bCs w:val="1"/>
                <w:color w:val="auto"/>
              </w:rPr>
              <w:t>RSU Awards</w:t>
            </w:r>
          </w:p>
        </w:tc>
        <w:tc>
          <w:tcPr>
            <w:tcW w:w="1760" w:type="dxa"/>
            <w:vAlign w:val="bottom"/>
            <w:gridSpan w:val="5"/>
          </w:tcPr>
          <w:p>
            <w:pPr>
              <w:ind w:left="400"/>
              <w:spacing w:after="0"/>
              <w:rPr>
                <w:sz w:val="20"/>
                <w:szCs w:val="20"/>
                <w:color w:val="auto"/>
              </w:rPr>
            </w:pPr>
            <w:r>
              <w:rPr>
                <w:rFonts w:ascii="Arial" w:cs="Arial" w:eastAsia="Arial" w:hAnsi="Arial"/>
                <w:sz w:val="14"/>
                <w:szCs w:val="14"/>
                <w:b w:val="1"/>
                <w:bCs w:val="1"/>
                <w:color w:val="auto"/>
              </w:rPr>
              <w:t>PSU Awards</w:t>
            </w:r>
          </w:p>
        </w:tc>
        <w:tc>
          <w:tcPr>
            <w:tcW w:w="156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DSU Awards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Average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Grant Date</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xml:space="preserve">Shares </w:t>
            </w:r>
            <w:r>
              <w:rPr>
                <w:rFonts w:ascii="Arial" w:cs="Arial" w:eastAsia="Arial" w:hAnsi="Arial"/>
                <w:sz w:val="21"/>
                <w:szCs w:val="21"/>
                <w:color w:val="auto"/>
                <w:w w:val="91"/>
                <w:vertAlign w:val="superscript"/>
              </w:rPr>
              <w:t>(1)</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Grant Date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680" w:type="dxa"/>
            <w:vAlign w:val="bottom"/>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beginning of period</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1,017,038</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23.87</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15,724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16.25</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34,263</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212,426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24.54</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99,159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23.91</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35,664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 equivalents earned</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22,573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22.82</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200"/>
              <w:spacing w:after="0" w:line="202" w:lineRule="exact"/>
              <w:rPr>
                <w:sz w:val="20"/>
                <w:szCs w:val="20"/>
                <w:color w:val="auto"/>
              </w:rPr>
            </w:pPr>
            <w:r>
              <w:rPr>
                <w:rFonts w:ascii="Arial" w:cs="Arial" w:eastAsia="Arial" w:hAnsi="Arial"/>
                <w:sz w:val="18"/>
                <w:szCs w:val="18"/>
                <w:color w:val="auto"/>
              </w:rPr>
              <w:t>Vested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Forfeited</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(19,907)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25.04</w:t>
            </w:r>
          </w:p>
        </w:tc>
        <w:tc>
          <w:tcPr>
            <w:tcW w:w="1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23.48</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660" w:type="dxa"/>
            <w:vAlign w:val="bottom"/>
            <w:gridSpan w:val="2"/>
          </w:tcPr>
          <w:p>
            <w:pPr>
              <w:spacing w:after="0" w:line="196" w:lineRule="exact"/>
              <w:rPr>
                <w:sz w:val="20"/>
                <w:szCs w:val="20"/>
                <w:color w:val="auto"/>
              </w:rPr>
            </w:pPr>
            <w:r>
              <w:rPr>
                <w:rFonts w:ascii="Arial" w:cs="Arial" w:eastAsia="Arial" w:hAnsi="Arial"/>
                <w:sz w:val="18"/>
                <w:szCs w:val="18"/>
                <w:color w:val="auto"/>
              </w:rPr>
              <w:t>Nonvested at end of period</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1,232,130</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23.95</w:t>
            </w:r>
          </w:p>
        </w:tc>
        <w:tc>
          <w:tcPr>
            <w:tcW w:w="160" w:type="dxa"/>
            <w:vAlign w:val="bottom"/>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114,424</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22.86</w:t>
            </w:r>
          </w:p>
        </w:tc>
        <w:tc>
          <w:tcPr>
            <w:tcW w:w="160" w:type="dxa"/>
            <w:vAlign w:val="bottom"/>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70,934</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6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Vested and outstanding at end of period</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72,496</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50800</wp:posOffset>
            </wp:positionV>
            <wp:extent cx="14141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49" w:lineRule="exact"/>
        <w:rPr>
          <w:sz w:val="20"/>
          <w:szCs w:val="20"/>
          <w:color w:val="auto"/>
        </w:rPr>
      </w:pPr>
    </w:p>
    <w:p>
      <w:pPr>
        <w:ind w:left="480" w:hanging="322"/>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4"/>
          <w:szCs w:val="14"/>
          <w:color w:val="auto"/>
        </w:rPr>
        <w:t>Shares for PSU awards represent target shares at grant date.</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March 24, 2021, under the terms of the 2020 Equity Plan, the Company granted 212,426 restricted stock units to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members of management, including the Vice-Chairman of the Board. The grant date fair value of the award totaled</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$5.2 million and will be recognized as compensation expense over the requisite service period ranging from one year to</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five years. The terms of these awards included an accelerated vesting provision upon eligible retirement from the</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after a one-year minimum requisite service period. Subsequent to the requisite service period, the awards will</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become 100% vested. Further, the Company granted 33,288 deferred stock units to directors and advisory directors. The</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grant date fair value of the award totaled $0.8 million and will be recognized as compensation expense over the requisite</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service period of one year. Subsequent to the requisite service period, the awards will become 100% vested.</w:t>
      </w:r>
    </w:p>
    <w:p>
      <w:pPr>
        <w:spacing w:after="0" w:line="182"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auto"/>
        </w:rPr>
        <w:t>During the first quarter of 2021, the Company also granted a target of 70,815 market-based performance stock units with a maximum award of 113,304 units. The actual number of units issued at the vesting date could range from 0% to 160% of the initial grant, depending on attaining the market-based total shareholder return performance goal. The grant date fair value of the award was $1.7 million and will be recognized in compensation expense over the performance period ending December 31, 2023.</w:t>
      </w:r>
    </w:p>
    <w:p>
      <w:pPr>
        <w:spacing w:after="0" w:line="176"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Further, during the first quarter of 2021, the Company granted a target of 28,344 performance-based stock units with a maximum award of 39,682 units. The actual number of units issued at the vest date could range from 0% to 140% of the initial grant, depending on attaining a performance goal based upon the compounded annual revenue growth rate of the Remittance Processing segment. The grant date fair value of the award is $0.7 million and will be recognized in compensation expense over the performance period ending August 31, 2023, subject to achievement of the performance goal.</w:t>
      </w:r>
    </w:p>
    <w:p>
      <w:pPr>
        <w:spacing w:after="0" w:line="176" w:lineRule="exact"/>
        <w:rPr>
          <w:sz w:val="20"/>
          <w:szCs w:val="20"/>
          <w:color w:val="auto"/>
        </w:rPr>
      </w:pPr>
    </w:p>
    <w:p>
      <w:pPr>
        <w:ind w:left="60" w:right="279"/>
        <w:spacing w:after="0" w:line="294" w:lineRule="auto"/>
        <w:rPr>
          <w:sz w:val="20"/>
          <w:szCs w:val="20"/>
          <w:color w:val="auto"/>
        </w:rPr>
      </w:pPr>
      <w:r>
        <w:rPr>
          <w:rFonts w:ascii="Arial" w:cs="Arial" w:eastAsia="Arial" w:hAnsi="Arial"/>
          <w:sz w:val="16"/>
          <w:szCs w:val="16"/>
          <w:color w:val="auto"/>
        </w:rPr>
        <w:t>On May 19, 2021, under the terms of the 2020 Equity Plan, the Company granted 2,376 deferred stock units to directors. The grant date fair value of the award totaled $0.1 million and will be recognized as compensation expense over the requisite service period of one year. Subsequent to the requisite service period, the awards will become 100% vested.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color w:val="auto"/>
        </w:rPr>
        <w:t xml:space="preserve">Stock-based compensation expense related to nonvested restricted stock units, deferred stock units, and performance-based restricted stock awards is presented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7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56"/>
        </w:trPr>
        <w:tc>
          <w:tcPr>
            <w:tcW w:w="5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5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Stock-based compensation expense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5100" w:type="dxa"/>
            <w:vAlign w:val="bottom"/>
          </w:tcPr>
          <w:p>
            <w:pPr>
              <w:ind w:left="220"/>
              <w:spacing w:after="0" w:line="202" w:lineRule="exact"/>
              <w:rPr>
                <w:sz w:val="20"/>
                <w:szCs w:val="20"/>
                <w:color w:val="auto"/>
              </w:rPr>
            </w:pPr>
            <w:r>
              <w:rPr>
                <w:rFonts w:ascii="Arial" w:cs="Arial" w:eastAsia="Arial" w:hAnsi="Arial"/>
                <w:sz w:val="18"/>
                <w:szCs w:val="18"/>
                <w:color w:val="auto"/>
              </w:rPr>
              <w:t>RSU awards</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1,816</w:t>
            </w:r>
          </w:p>
        </w:tc>
        <w:tc>
          <w:tcPr>
            <w:tcW w:w="1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924</w:t>
            </w:r>
          </w:p>
        </w:tc>
        <w:tc>
          <w:tcPr>
            <w:tcW w:w="16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3,046</w:t>
            </w:r>
          </w:p>
        </w:tc>
        <w:tc>
          <w:tcPr>
            <w:tcW w:w="1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2,069</w:t>
            </w: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PSU awards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1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DSU awards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511</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w:t>
            </w:r>
          </w:p>
        </w:tc>
      </w:tr>
      <w:tr>
        <w:trPr>
          <w:trHeight w:val="196"/>
        </w:trPr>
        <w:tc>
          <w:tcPr>
            <w:tcW w:w="51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2,437</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3,885</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2,208</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579"/>
        <w:spacing w:after="0" w:line="291" w:lineRule="auto"/>
        <w:rPr>
          <w:sz w:val="20"/>
          <w:szCs w:val="20"/>
          <w:color w:val="auto"/>
        </w:rPr>
      </w:pPr>
      <w:r>
        <w:rPr>
          <w:rFonts w:ascii="Arial" w:cs="Arial" w:eastAsia="Arial" w:hAnsi="Arial"/>
          <w:sz w:val="17"/>
          <w:szCs w:val="17"/>
          <w:color w:val="auto"/>
        </w:rPr>
        <w:t xml:space="preserve">Unamortized stock-based compensation expense related to nonvested restricted stock units, deferred stock units, and performance-based restricted stock awards is presented in the table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33"/>
        </w:trPr>
        <w:tc>
          <w:tcPr>
            <w:tcW w:w="6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June 30,</w:t>
            </w:r>
          </w:p>
        </w:tc>
        <w:tc>
          <w:tcPr>
            <w:tcW w:w="1020" w:type="dxa"/>
            <w:vAlign w:val="bottom"/>
            <w:gridSpan w:val="2"/>
          </w:tcPr>
          <w:p>
            <w:pPr>
              <w:jc w:val="right"/>
              <w:ind w:right="13"/>
              <w:spacing w:after="0" w:line="133" w:lineRule="exact"/>
              <w:rPr>
                <w:sz w:val="20"/>
                <w:szCs w:val="20"/>
                <w:color w:val="auto"/>
              </w:rPr>
            </w:pPr>
            <w:r>
              <w:rPr>
                <w:rFonts w:ascii="Arial" w:cs="Arial" w:eastAsia="Arial" w:hAnsi="Arial"/>
                <w:sz w:val="14"/>
                <w:szCs w:val="14"/>
                <w:b w:val="1"/>
                <w:bCs w:val="1"/>
                <w:color w:val="auto"/>
                <w:w w:val="98"/>
              </w:rPr>
              <w:t>December 31,</w:t>
            </w:r>
          </w:p>
        </w:tc>
        <w:tc>
          <w:tcPr>
            <w:tcW w:w="240" w:type="dxa"/>
            <w:vAlign w:val="bottom"/>
          </w:tcPr>
          <w:p>
            <w:pPr>
              <w:spacing w:after="0"/>
              <w:rPr>
                <w:sz w:val="11"/>
                <w:szCs w:val="11"/>
                <w:color w:val="auto"/>
              </w:rPr>
            </w:pPr>
          </w:p>
        </w:tc>
      </w:tr>
      <w:tr>
        <w:trPr>
          <w:trHeight w:val="185"/>
        </w:trPr>
        <w:tc>
          <w:tcPr>
            <w:tcW w:w="6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Unamortized stock-based compensation expense</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6400" w:type="dxa"/>
            <w:vAlign w:val="bottom"/>
          </w:tcPr>
          <w:p>
            <w:pPr>
              <w:ind w:left="220"/>
              <w:spacing w:after="0" w:line="202" w:lineRule="exact"/>
              <w:rPr>
                <w:sz w:val="20"/>
                <w:szCs w:val="20"/>
                <w:color w:val="auto"/>
              </w:rPr>
            </w:pPr>
            <w:r>
              <w:rPr>
                <w:rFonts w:ascii="Arial" w:cs="Arial" w:eastAsia="Arial" w:hAnsi="Arial"/>
                <w:sz w:val="18"/>
                <w:szCs w:val="18"/>
                <w:color w:val="auto"/>
              </w:rPr>
              <w:t>RSU awards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12,094</w:t>
            </w:r>
          </w:p>
        </w:tc>
        <w:tc>
          <w:tcPr>
            <w:tcW w:w="220" w:type="dxa"/>
            <w:vAlign w:val="bottom"/>
          </w:tcPr>
          <w:p>
            <w:pPr>
              <w:spacing w:after="0"/>
              <w:rPr>
                <w:sz w:val="17"/>
                <w:szCs w:val="17"/>
                <w:color w:val="auto"/>
              </w:rPr>
            </w:pPr>
          </w:p>
        </w:tc>
        <w:tc>
          <w:tcPr>
            <w:tcW w:w="240" w:type="dxa"/>
            <w:vAlign w:val="bottom"/>
          </w:tcPr>
          <w:p>
            <w:pPr>
              <w:jc w:val="right"/>
              <w:ind w:right="5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10,411</w:t>
            </w:r>
          </w:p>
        </w:tc>
        <w:tc>
          <w:tcPr>
            <w:tcW w:w="240" w:type="dxa"/>
            <w:vAlign w:val="bottom"/>
          </w:tcPr>
          <w:p>
            <w:pPr>
              <w:spacing w:after="0"/>
              <w:rPr>
                <w:sz w:val="17"/>
                <w:szCs w:val="17"/>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PSU awards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7"/>
                <w:szCs w:val="17"/>
                <w:color w:val="auto"/>
              </w:rPr>
            </w:pPr>
          </w:p>
        </w:tc>
      </w:tr>
      <w:tr>
        <w:trPr>
          <w:trHeight w:val="203"/>
        </w:trPr>
        <w:tc>
          <w:tcPr>
            <w:tcW w:w="64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DSU awards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660</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294</w:t>
            </w:r>
          </w:p>
        </w:tc>
        <w:tc>
          <w:tcPr>
            <w:tcW w:w="240" w:type="dxa"/>
            <w:vAlign w:val="bottom"/>
            <w:tcBorders>
              <w:bottom w:val="single" w:sz="8" w:color="CCEEFF"/>
            </w:tcBorders>
          </w:tcPr>
          <w:p>
            <w:pPr>
              <w:spacing w:after="0"/>
              <w:rPr>
                <w:sz w:val="17"/>
                <w:szCs w:val="17"/>
                <w:color w:val="auto"/>
              </w:rPr>
            </w:pPr>
          </w:p>
        </w:tc>
      </w:tr>
      <w:tr>
        <w:trPr>
          <w:trHeight w:val="196"/>
        </w:trPr>
        <w:tc>
          <w:tcPr>
            <w:tcW w:w="6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unamortized stock-based compensation expense</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14,444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10,884</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6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 average period over which expense is to be recognized</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w w:val="88"/>
              </w:rPr>
              <w:t>3.2 yrs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w w:val="92"/>
              </w:rPr>
              <w:t>3.0 yrs</w:t>
            </w:r>
          </w:p>
        </w:tc>
      </w:tr>
    </w:tbl>
    <w:p>
      <w:pPr>
        <w:spacing w:after="0" w:line="188"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The First Busey Corporation 2021 Employee Stock Purchase Plan was approved at the Company’s 2021 Annual Meeting of Stockholders and details can be found within its Definitive Proxy Statement filed April 8, 2021. The first offering under this plan began on July 1, 2021.</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table below presents shares remaining available for issuance pursuant to authorized plans as of June 30, 2021:</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Shares Remaining</w:t>
            </w:r>
          </w:p>
        </w:tc>
      </w:tr>
      <w:tr>
        <w:trPr>
          <w:trHeight w:val="162"/>
        </w:trPr>
        <w:tc>
          <w:tcPr>
            <w:tcW w:w="40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Available for Issuance</w:t>
            </w:r>
          </w:p>
        </w:tc>
      </w:tr>
      <w:tr>
        <w:trPr>
          <w:trHeight w:val="185"/>
        </w:trPr>
        <w:tc>
          <w:tcPr>
            <w:tcW w:w="400" w:type="dxa"/>
            <w:vAlign w:val="bottom"/>
            <w:tcBorders>
              <w:bottom w:val="single" w:sz="8" w:color="CCEEFF"/>
            </w:tcBorders>
          </w:tcPr>
          <w:p>
            <w:pPr>
              <w:spacing w:after="0"/>
              <w:rPr>
                <w:sz w:val="16"/>
                <w:szCs w:val="16"/>
                <w:color w:val="auto"/>
              </w:rPr>
            </w:pPr>
          </w:p>
        </w:tc>
        <w:tc>
          <w:tcPr>
            <w:tcW w:w="7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Pursuant to the Plans</w:t>
            </w:r>
          </w:p>
        </w:tc>
      </w:tr>
      <w:tr>
        <w:trPr>
          <w:trHeight w:val="196"/>
        </w:trPr>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2020</w:t>
            </w:r>
          </w:p>
        </w:tc>
        <w:tc>
          <w:tcPr>
            <w:tcW w:w="7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Equity Plan</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1,087,266</w:t>
            </w: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9"/>
              </w:rPr>
              <w:t>2021</w:t>
            </w:r>
          </w:p>
        </w:tc>
        <w:tc>
          <w:tcPr>
            <w:tcW w:w="71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380" w:type="dxa"/>
            <w:vAlign w:val="bottom"/>
          </w:tcPr>
          <w:p>
            <w:pPr>
              <w:jc w:val="right"/>
              <w:spacing w:after="0"/>
              <w:rPr>
                <w:sz w:val="20"/>
                <w:szCs w:val="20"/>
                <w:color w:val="auto"/>
              </w:rPr>
            </w:pPr>
            <w:r>
              <w:rPr>
                <w:rFonts w:ascii="Arial" w:cs="Arial" w:eastAsia="Arial" w:hAnsi="Arial"/>
                <w:sz w:val="18"/>
                <w:szCs w:val="18"/>
                <w:color w:val="auto"/>
              </w:rPr>
              <w:t>600,000</w:t>
            </w: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Outstanding Commitments and Contingent Liabilities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198" w:lineRule="exact"/>
        <w:rPr>
          <w:sz w:val="20"/>
          <w:szCs w:val="20"/>
          <w:color w:val="auto"/>
        </w:rPr>
      </w:pPr>
    </w:p>
    <w:p>
      <w:pPr>
        <w:ind w:left="60" w:right="219"/>
        <w:spacing w:after="0" w:line="248"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Company’s financial position or results of operations.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Commitments and Contingencies</w:t>
      </w:r>
    </w:p>
    <w:p>
      <w:pPr>
        <w:spacing w:after="0" w:line="198" w:lineRule="exact"/>
        <w:rPr>
          <w:sz w:val="20"/>
          <w:szCs w:val="20"/>
          <w:color w:val="auto"/>
        </w:rPr>
      </w:pPr>
    </w:p>
    <w:p>
      <w:pPr>
        <w:ind w:left="60" w:right="519"/>
        <w:spacing w:after="0" w:line="261" w:lineRule="auto"/>
        <w:rPr>
          <w:sz w:val="20"/>
          <w:szCs w:val="20"/>
          <w:color w:val="auto"/>
        </w:rPr>
      </w:pPr>
      <w:r>
        <w:rPr>
          <w:rFonts w:ascii="Arial" w:cs="Arial" w:eastAsia="Arial" w:hAnsi="Arial"/>
          <w:sz w:val="18"/>
          <w:szCs w:val="18"/>
          <w:color w:val="auto"/>
        </w:rPr>
        <w:t xml:space="preserve">A summary of the contractual amount of the Company’s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9"/>
              </w:rPr>
              <w:t>As of</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57"/>
              <w:spacing w:after="0" w:line="133"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7"/>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Financial instruments whose contract amounts represent credit risk</w:t>
            </w:r>
          </w:p>
        </w:tc>
        <w:tc>
          <w:tcPr>
            <w:tcW w:w="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58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Commitments to extend credit</w:t>
            </w:r>
          </w:p>
        </w:tc>
        <w:tc>
          <w:tcPr>
            <w:tcW w:w="86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1,785,205</w:t>
            </w:r>
          </w:p>
        </w:tc>
        <w:tc>
          <w:tcPr>
            <w:tcW w:w="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1,754,370</w:t>
            </w:r>
          </w:p>
        </w:tc>
        <w:tc>
          <w:tcPr>
            <w:tcW w:w="0" w:type="dxa"/>
            <w:vAlign w:val="bottom"/>
          </w:tcPr>
          <w:p>
            <w:pPr>
              <w:spacing w:after="0"/>
              <w:rPr>
                <w:sz w:val="1"/>
                <w:szCs w:val="1"/>
                <w:color w:val="auto"/>
              </w:rPr>
            </w:pPr>
          </w:p>
        </w:tc>
      </w:tr>
      <w:tr>
        <w:trPr>
          <w:trHeight w:val="203"/>
        </w:trPr>
        <w:tc>
          <w:tcPr>
            <w:tcW w:w="58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Standby letters of credit</w:t>
            </w: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38,050</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38,937</w:t>
            </w:r>
          </w:p>
        </w:tc>
        <w:tc>
          <w:tcPr>
            <w:tcW w:w="0" w:type="dxa"/>
            <w:vAlign w:val="bottom"/>
          </w:tcPr>
          <w:p>
            <w:pPr>
              <w:spacing w:after="0"/>
              <w:rPr>
                <w:sz w:val="1"/>
                <w:szCs w:val="1"/>
                <w:color w:val="auto"/>
              </w:rPr>
            </w:pPr>
          </w:p>
        </w:tc>
      </w:tr>
      <w:tr>
        <w:trPr>
          <w:trHeight w:val="196"/>
        </w:trPr>
        <w:tc>
          <w:tcPr>
            <w:tcW w:w="5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commitments</w:t>
            </w: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1,823,255</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1,793,307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202" w:lineRule="exact"/>
        <w:rPr>
          <w:sz w:val="20"/>
          <w:szCs w:val="20"/>
          <w:color w:val="auto"/>
        </w:rPr>
      </w:pPr>
    </w:p>
    <w:p>
      <w:pPr>
        <w:jc w:val="both"/>
        <w:ind w:left="60" w:right="279"/>
        <w:spacing w:after="0" w:line="279" w:lineRule="auto"/>
        <w:rPr>
          <w:sz w:val="20"/>
          <w:szCs w:val="20"/>
          <w:color w:val="auto"/>
        </w:rPr>
      </w:pPr>
      <w:r>
        <w:rPr>
          <w:rFonts w:ascii="Arial" w:cs="Arial" w:eastAsia="Arial" w:hAnsi="Arial"/>
          <w:sz w:val="16"/>
          <w:szCs w:val="16"/>
          <w:color w:val="auto"/>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 See “</w:t>
      </w:r>
      <w:r>
        <w:rPr>
          <w:rFonts w:ascii="Arial" w:cs="Arial" w:eastAsia="Arial" w:hAnsi="Arial"/>
          <w:sz w:val="16"/>
          <w:szCs w:val="16"/>
          <w:i w:val="1"/>
          <w:iCs w:val="1"/>
          <w:color w:val="auto"/>
        </w:rPr>
        <w:t>Note 11:</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further discussion of the fair value measurement of such derivatives.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Swaps Designated as Cash Flow Hedges</w:t>
      </w:r>
    </w:p>
    <w:p>
      <w:pPr>
        <w:spacing w:after="0" w:line="198"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The Company entered into derivative instruments designated as cash flow hedges. For a derivative instrument that is designated and qualifies as a cash flow hedge, the change in fair value of the derivative instrument is reported as a component of other comprehensive income (loss) and reclassified into earnings in the same period or periods during which the hedged transaction affects earnings. The change in fair value of components excluded from the assessment of effectiveness are recognized in current earnings.</w:t>
      </w:r>
    </w:p>
    <w:p>
      <w:pPr>
        <w:spacing w:after="0" w:line="176" w:lineRule="exact"/>
        <w:rPr>
          <w:sz w:val="20"/>
          <w:szCs w:val="20"/>
          <w:color w:val="auto"/>
        </w:rPr>
      </w:pPr>
    </w:p>
    <w:p>
      <w:pPr>
        <w:ind w:left="60" w:right="99"/>
        <w:spacing w:after="0" w:line="274" w:lineRule="auto"/>
        <w:rPr>
          <w:sz w:val="20"/>
          <w:szCs w:val="20"/>
          <w:color w:val="auto"/>
        </w:rPr>
      </w:pPr>
      <w:r>
        <w:rPr>
          <w:rFonts w:ascii="Arial" w:cs="Arial" w:eastAsia="Arial" w:hAnsi="Arial"/>
          <w:sz w:val="16"/>
          <w:szCs w:val="16"/>
          <w:color w:val="auto"/>
        </w:rPr>
        <w:t>Interest rate swaps with notional amounts totaling $70.0 million as of June 30, 2021, and December 31, 2020, were designated as cash flow hedges to hedge the risk of variability in cash flows (future interest payments) attributable to changes in the contractually specified 3-month LIBOR benchmark interest rate on the Company’s junior subordinated debt owed to unconsolidated trusts and were determined to be highly effective during the period. The gross aggregate fair value of the swaps of $2.0 million as of June 30, 2021, and $3.1 million as of December 31, 2020, is recorded in other liabilities in the unaudited Consolidated Balance Sheets, with changes in fair value recorded net of tax in other comprehensive income (loss). The Company expects the hedges to remain highly effective during the remaining terms of the swaps.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A summary of the interest-rate swaps designated as cash flow hedges is presented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33"/>
        </w:trPr>
        <w:tc>
          <w:tcPr>
            <w:tcW w:w="5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w w:val="99"/>
              </w:rPr>
              <w:t>June 30,</w:t>
            </w:r>
          </w:p>
        </w:tc>
        <w:tc>
          <w:tcPr>
            <w:tcW w:w="40" w:type="dxa"/>
            <w:vAlign w:val="bottom"/>
          </w:tcPr>
          <w:p>
            <w:pPr>
              <w:spacing w:after="0"/>
              <w:rPr>
                <w:sz w:val="11"/>
                <w:szCs w:val="11"/>
                <w:color w:val="auto"/>
              </w:rPr>
            </w:pPr>
          </w:p>
        </w:tc>
        <w:tc>
          <w:tcPr>
            <w:tcW w:w="1000" w:type="dxa"/>
            <w:vAlign w:val="bottom"/>
            <w:gridSpan w:val="2"/>
          </w:tcPr>
          <w:p>
            <w:pPr>
              <w:jc w:val="right"/>
              <w:ind w:right="13"/>
              <w:spacing w:after="0" w:line="133" w:lineRule="exact"/>
              <w:rPr>
                <w:sz w:val="20"/>
                <w:szCs w:val="20"/>
                <w:color w:val="auto"/>
              </w:rPr>
            </w:pPr>
            <w:r>
              <w:rPr>
                <w:rFonts w:ascii="Arial" w:cs="Arial" w:eastAsia="Arial" w:hAnsi="Arial"/>
                <w:sz w:val="14"/>
                <w:szCs w:val="14"/>
                <w:b w:val="1"/>
                <w:bCs w:val="1"/>
                <w:color w:val="auto"/>
                <w:w w:val="96"/>
              </w:rPr>
              <w:t>December 31,</w:t>
            </w:r>
          </w:p>
        </w:tc>
        <w:tc>
          <w:tcPr>
            <w:tcW w:w="240" w:type="dxa"/>
            <w:vAlign w:val="bottom"/>
          </w:tcPr>
          <w:p>
            <w:pPr>
              <w:spacing w:after="0"/>
              <w:rPr>
                <w:sz w:val="11"/>
                <w:szCs w:val="11"/>
                <w:color w:val="auto"/>
              </w:rPr>
            </w:pPr>
          </w:p>
        </w:tc>
      </w:tr>
      <w:tr>
        <w:trPr>
          <w:trHeight w:val="185"/>
        </w:trPr>
        <w:tc>
          <w:tcPr>
            <w:tcW w:w="52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Notional amount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spacing w:after="0"/>
              <w:rPr>
                <w:sz w:val="17"/>
                <w:szCs w:val="17"/>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Weighted average fixed pay rates</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1.80 %</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1.80 %</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variable 3-month LIBOR receive rates</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0.12 %</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0.22 %</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Weighted average maturity, in years</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2.36 yrs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2.85 yrs</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gains (losses), net of tax</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(1,438)</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(2,184)</w:t>
            </w:r>
          </w:p>
        </w:tc>
        <w:tc>
          <w:tcPr>
            <w:tcW w:w="24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Interest expense recorded on these swap transactions was $0.3 million and $0.6 million during the three and six months ended June 30, 2021, respectively. The Company expects $0.3 million of the unrealized loss to be reclassified from OCI to interest expense during the next three months. This reclassified amount could differ from amounts actually recognized due to changes in interest rates, hedge de-designations, and the addition of other hedges subsequent to June 30, 2021.</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479"/>
        <w:spacing w:after="0" w:line="248" w:lineRule="auto"/>
        <w:rPr>
          <w:sz w:val="20"/>
          <w:szCs w:val="20"/>
          <w:color w:val="auto"/>
        </w:rPr>
      </w:pPr>
      <w:r>
        <w:rPr>
          <w:rFonts w:ascii="Arial" w:cs="Arial" w:eastAsia="Arial" w:hAnsi="Arial"/>
          <w:sz w:val="18"/>
          <w:szCs w:val="18"/>
          <w:color w:val="auto"/>
        </w:rPr>
        <w:t xml:space="preserve">The following table reflects the net gains (losses) recorded in accumulated other comprehensive income (loss) and the unaudited Consolidated Statements of Income relating to cash flow derivative instruments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06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56"/>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Interest rate contracts</w:t>
            </w: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(loss) recognized in OCI, net of tax</w:t>
            </w:r>
          </w:p>
        </w:tc>
        <w:tc>
          <w:tcPr>
            <w:tcW w:w="36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34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w:t>
            </w:r>
          </w:p>
        </w:tc>
        <w:tc>
          <w:tcPr>
            <w:tcW w:w="32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w w:val="93"/>
              </w:rPr>
              <w:t>(Gain) loss reclassified from OCI to interest expense, net of tax</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change in unrealized gains (losses) on cash flow hedges</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The Company pledged $2.1 million in cash to secure its obligation under these contracts as of June 30, 2021, compared to $3.2 million pledged as of December 31, 2020.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Lock Commitments</w:t>
      </w:r>
    </w:p>
    <w:p>
      <w:pPr>
        <w:spacing w:after="0" w:line="198" w:lineRule="exact"/>
        <w:rPr>
          <w:sz w:val="20"/>
          <w:szCs w:val="20"/>
          <w:color w:val="auto"/>
        </w:rPr>
      </w:pPr>
    </w:p>
    <w:p>
      <w:pPr>
        <w:ind w:left="60" w:right="239"/>
        <w:spacing w:after="0" w:line="262" w:lineRule="auto"/>
        <w:rPr>
          <w:sz w:val="20"/>
          <w:szCs w:val="20"/>
          <w:color w:val="auto"/>
        </w:rPr>
      </w:pPr>
      <w:r>
        <w:rPr>
          <w:rFonts w:ascii="Arial" w:cs="Arial" w:eastAsia="Arial" w:hAnsi="Arial"/>
          <w:sz w:val="17"/>
          <w:szCs w:val="17"/>
          <w:color w:val="auto"/>
        </w:rPr>
        <w:t xml:space="preserve">Interest rate lock commitments that meet the definition of derivative financial instruments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are carried at their fair values in other assets or other liabilities in the unaudited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with changes in the fair values of the corresponding derivative financial assets or liabilities recorded as either a charge or credit to current earnings during the period in which the changes occurred.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Forward Sales Commitments</w:t>
      </w:r>
    </w:p>
    <w:p>
      <w:pPr>
        <w:spacing w:after="0" w:line="198"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auto"/>
        </w:rPr>
        <w:t xml:space="preserve">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are carried at their fair values in other assets or other liabilities in the unaudited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While such forward sales commitments generally served as an economic hedge to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70" w:lineRule="exact"/>
        <w:rPr>
          <w:sz w:val="20"/>
          <w:szCs w:val="20"/>
          <w:color w:val="auto"/>
        </w:rPr>
      </w:pPr>
    </w:p>
    <w:p>
      <w:pPr>
        <w:ind w:left="60" w:right="559"/>
        <w:spacing w:after="0" w:line="261" w:lineRule="auto"/>
        <w:rPr>
          <w:sz w:val="20"/>
          <w:szCs w:val="20"/>
          <w:color w:val="auto"/>
        </w:rPr>
      </w:pPr>
      <w:r>
        <w:rPr>
          <w:rFonts w:ascii="Arial" w:cs="Arial" w:eastAsia="Arial" w:hAnsi="Arial"/>
          <w:sz w:val="18"/>
          <w:szCs w:val="18"/>
          <w:color w:val="auto"/>
        </w:rPr>
        <w:t xml:space="preserve">Amounts and fair values of mortgage banking derivatives included in the unaudited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5"/>
          </w:tcPr>
          <w:p>
            <w:pPr>
              <w:ind w:left="60"/>
              <w:spacing w:after="0"/>
              <w:rPr>
                <w:sz w:val="20"/>
                <w:szCs w:val="20"/>
                <w:color w:val="auto"/>
              </w:rPr>
            </w:pPr>
            <w:r>
              <w:rPr>
                <w:rFonts w:ascii="Arial" w:cs="Arial" w:eastAsia="Arial" w:hAnsi="Arial"/>
                <w:sz w:val="14"/>
                <w:szCs w:val="14"/>
                <w:b w:val="1"/>
                <w:bCs w:val="1"/>
                <w:color w:val="auto"/>
              </w:rPr>
              <w:t>As of June 30, 2021</w:t>
            </w:r>
          </w:p>
        </w:tc>
        <w:tc>
          <w:tcPr>
            <w:tcW w:w="158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As of December 31, 2020</w:t>
            </w: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gridSpan w:val="3"/>
          </w:tcPr>
          <w:p>
            <w:pPr>
              <w:ind w:left="80"/>
              <w:spacing w:after="0" w:line="133" w:lineRule="exact"/>
              <w:rPr>
                <w:sz w:val="20"/>
                <w:szCs w:val="20"/>
                <w:color w:val="auto"/>
              </w:rPr>
            </w:pPr>
            <w:r>
              <w:rPr>
                <w:rFonts w:ascii="Arial" w:cs="Arial" w:eastAsia="Arial" w:hAnsi="Arial"/>
                <w:sz w:val="14"/>
                <w:szCs w:val="14"/>
                <w:b w:val="1"/>
                <w:bCs w:val="1"/>
                <w:color w:val="auto"/>
              </w:rPr>
              <w:t>Notional</w:t>
            </w: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35"/>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Notional</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5"/>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Derivatives with positive fair value</w:t>
            </w:r>
          </w:p>
        </w:tc>
        <w:tc>
          <w:tcPr>
            <w:tcW w:w="28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Location</w:t>
            </w:r>
          </w:p>
        </w:tc>
        <w:tc>
          <w:tcPr>
            <w:tcW w:w="8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rate lock commitments</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25,373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Forward sales commitments</w:t>
            </w:r>
          </w:p>
        </w:tc>
        <w:tc>
          <w:tcPr>
            <w:tcW w:w="28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7"/>
              </w:rPr>
              <w:t>Mortgage banking derivatives recorded in other assets</w:t>
            </w: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25,545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45,982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Derivatives with negative fair value</w:t>
            </w: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rate lock commitments</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Forward sales commitments</w:t>
            </w:r>
          </w:p>
        </w:tc>
        <w:tc>
          <w:tcPr>
            <w:tcW w:w="28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42,043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84,964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3"/>
              </w:rPr>
              <w:t>Mortgage banking derivatives recorded in other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42,215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85,082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0" w:type="dxa"/>
            <w:vAlign w:val="bottom"/>
            <w:gridSpan w:val="2"/>
            <w:vMerge w:val="restart"/>
          </w:tcPr>
          <w:p>
            <w:pPr>
              <w:jc w:val="right"/>
              <w:ind w:right="101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26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color w:val="auto"/>
        </w:rPr>
        <w:t xml:space="preserve">Net gains (losses) relating to these derivative instruments are summarized as follows for the periods presented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74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56"/>
        </w:trPr>
        <w:tc>
          <w:tcPr>
            <w:tcW w:w="3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gains (losses) related to</w:t>
            </w:r>
          </w:p>
        </w:tc>
        <w:tc>
          <w:tcPr>
            <w:tcW w:w="144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3700" w:type="dxa"/>
            <w:vAlign w:val="bottom"/>
            <w:vMerge w:val="continue"/>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rate lock commitments</w:t>
            </w:r>
          </w:p>
        </w:tc>
        <w:tc>
          <w:tcPr>
            <w:tcW w:w="144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0"/>
              </w:rPr>
              <w:t>Mortgage revenue</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03"/>
        </w:trPr>
        <w:tc>
          <w:tcPr>
            <w:tcW w:w="3700" w:type="dxa"/>
            <w:vAlign w:val="bottom"/>
          </w:tcPr>
          <w:p>
            <w:pPr>
              <w:ind w:left="220"/>
              <w:spacing w:after="0" w:line="202" w:lineRule="exact"/>
              <w:rPr>
                <w:sz w:val="20"/>
                <w:szCs w:val="20"/>
                <w:color w:val="auto"/>
              </w:rPr>
            </w:pPr>
            <w:r>
              <w:rPr>
                <w:rFonts w:ascii="Arial" w:cs="Arial" w:eastAsia="Arial" w:hAnsi="Arial"/>
                <w:sz w:val="18"/>
                <w:szCs w:val="18"/>
                <w:color w:val="auto"/>
              </w:rPr>
              <w:t>Forward sales commitments</w:t>
            </w:r>
          </w:p>
        </w:tc>
        <w:tc>
          <w:tcPr>
            <w:tcW w:w="144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0"/>
              </w:rPr>
              <w:t>Mortgage revenue</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(1,358)</w:t>
            </w:r>
          </w:p>
        </w:tc>
        <w:tc>
          <w:tcPr>
            <w:tcW w:w="2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(4,778)</w:t>
            </w:r>
          </w:p>
        </w:tc>
        <w:tc>
          <w:tcPr>
            <w:tcW w:w="18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(2,178)</w:t>
            </w: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5"/>
              </w:rPr>
              <w:t>(11,825)</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gains (losses)</w:t>
            </w: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19"/>
        <w:spacing w:after="0" w:line="294" w:lineRule="auto"/>
        <w:rPr>
          <w:sz w:val="20"/>
          <w:szCs w:val="20"/>
          <w:color w:val="auto"/>
        </w:rPr>
      </w:pPr>
      <w:r>
        <w:rPr>
          <w:rFonts w:ascii="Arial" w:cs="Arial" w:eastAsia="Arial" w:hAnsi="Arial"/>
          <w:sz w:val="16"/>
          <w:szCs w:val="16"/>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Swaps Not Designated as Hedges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Company may offer derivative contracts to its customers in connection with their risk management needs. The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manages the risk associated with these contracts by entering into equal and offsetting derivative agreements with</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a third-party dealer. These contracts support variable rate, commercial loan relationships totaling $408.5 million and</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$395.0 million as of June 30, 2021, and December 31, 2020, respectively. These derivatives generally worked together as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 economic interest rate hedge, but the Company did not designate them for hedge accounting treatment. Consequently,</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fair value of the corresponding derivative financial asset or liability were recorded as either a charge or credit to</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current earnings during the period in which the changes occurred.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Amounts and fair values of derivative assets and liabilities related to customer interest rate swaps recorded in the unaudited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0"/>
              </w:rPr>
              <w:t>As of June 30, 2021</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ind w:left="280"/>
              <w:spacing w:after="0" w:line="155" w:lineRule="exact"/>
              <w:rPr>
                <w:sz w:val="20"/>
                <w:szCs w:val="20"/>
                <w:color w:val="auto"/>
              </w:rPr>
            </w:pPr>
            <w:r>
              <w:rPr>
                <w:rFonts w:ascii="Arial" w:cs="Arial" w:eastAsia="Arial" w:hAnsi="Arial"/>
                <w:sz w:val="14"/>
                <w:szCs w:val="14"/>
                <w:b w:val="1"/>
                <w:bCs w:val="1"/>
                <w:color w:val="auto"/>
              </w:rPr>
              <w:t>Derivative Asset</w:t>
            </w:r>
          </w:p>
        </w:tc>
        <w:tc>
          <w:tcPr>
            <w:tcW w:w="120" w:type="dxa"/>
            <w:vAlign w:val="bottom"/>
          </w:tcPr>
          <w:p>
            <w:pPr>
              <w:spacing w:after="0"/>
              <w:rPr>
                <w:sz w:val="13"/>
                <w:szCs w:val="13"/>
                <w:color w:val="auto"/>
              </w:rPr>
            </w:pPr>
          </w:p>
        </w:tc>
        <w:tc>
          <w:tcPr>
            <w:tcW w:w="1700" w:type="dxa"/>
            <w:vAlign w:val="bottom"/>
            <w:gridSpan w:val="4"/>
          </w:tcPr>
          <w:p>
            <w:pPr>
              <w:jc w:val="right"/>
              <w:ind w:right="217"/>
              <w:spacing w:after="0" w:line="155" w:lineRule="exact"/>
              <w:rPr>
                <w:sz w:val="20"/>
                <w:szCs w:val="20"/>
                <w:color w:val="auto"/>
              </w:rPr>
            </w:pPr>
            <w:r>
              <w:rPr>
                <w:rFonts w:ascii="Arial" w:cs="Arial" w:eastAsia="Arial" w:hAnsi="Arial"/>
                <w:sz w:val="14"/>
                <w:szCs w:val="14"/>
                <w:b w:val="1"/>
                <w:bCs w:val="1"/>
                <w:color w:val="auto"/>
              </w:rPr>
              <w:t>Derivative Liability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Notional</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Notional</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18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87"/>
              </w:rPr>
              <w:t>Derivatives not designated as hedging instruments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41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jc w:val="center"/>
              <w:ind w:right="230"/>
              <w:spacing w:after="0" w:line="202" w:lineRule="exact"/>
              <w:rPr>
                <w:sz w:val="20"/>
                <w:szCs w:val="20"/>
                <w:color w:val="auto"/>
              </w:rPr>
            </w:pPr>
            <w:r>
              <w:rPr>
                <w:rFonts w:ascii="Arial" w:cs="Arial" w:eastAsia="Arial" w:hAnsi="Arial"/>
                <w:sz w:val="18"/>
                <w:szCs w:val="18"/>
                <w:color w:val="auto"/>
                <w:w w:val="91"/>
              </w:rPr>
              <w:t>Interest rate swaps – pay floating, receive fixed</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326,513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21,981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81,964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Borders>
              <w:bottom w:val="single" w:sz="8" w:color="CCEEFF"/>
            </w:tcBorders>
          </w:tcPr>
          <w:p>
            <w:pPr>
              <w:jc w:val="center"/>
              <w:ind w:right="230"/>
              <w:spacing w:after="0" w:line="202" w:lineRule="exact"/>
              <w:rPr>
                <w:sz w:val="20"/>
                <w:szCs w:val="20"/>
                <w:color w:val="auto"/>
              </w:rPr>
            </w:pPr>
            <w:r>
              <w:rPr>
                <w:rFonts w:ascii="Arial" w:cs="Arial" w:eastAsia="Arial" w:hAnsi="Arial"/>
                <w:sz w:val="18"/>
                <w:szCs w:val="18"/>
                <w:color w:val="auto"/>
                <w:w w:val="91"/>
              </w:rPr>
              <w:t>Interest rate swaps – pay fixed, receive floating</w:t>
            </w:r>
          </w:p>
        </w:tc>
        <w:tc>
          <w:tcPr>
            <w:tcW w:w="9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81,964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326,513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2"/>
              </w:rPr>
              <w:t>Total derivatives not designated as hedging instruments</w:t>
            </w: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408,477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23,354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408,477</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As of December 31, 2020</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ind w:left="280"/>
              <w:spacing w:after="0" w:line="155" w:lineRule="exact"/>
              <w:rPr>
                <w:sz w:val="20"/>
                <w:szCs w:val="20"/>
                <w:color w:val="auto"/>
              </w:rPr>
            </w:pPr>
            <w:r>
              <w:rPr>
                <w:rFonts w:ascii="Arial" w:cs="Arial" w:eastAsia="Arial" w:hAnsi="Arial"/>
                <w:sz w:val="14"/>
                <w:szCs w:val="14"/>
                <w:b w:val="1"/>
                <w:bCs w:val="1"/>
                <w:color w:val="auto"/>
              </w:rPr>
              <w:t>Derivative Asset</w:t>
            </w:r>
          </w:p>
        </w:tc>
        <w:tc>
          <w:tcPr>
            <w:tcW w:w="120" w:type="dxa"/>
            <w:vAlign w:val="bottom"/>
          </w:tcPr>
          <w:p>
            <w:pPr>
              <w:spacing w:after="0"/>
              <w:rPr>
                <w:sz w:val="13"/>
                <w:szCs w:val="13"/>
                <w:color w:val="auto"/>
              </w:rPr>
            </w:pPr>
          </w:p>
        </w:tc>
        <w:tc>
          <w:tcPr>
            <w:tcW w:w="1700" w:type="dxa"/>
            <w:vAlign w:val="bottom"/>
            <w:gridSpan w:val="4"/>
          </w:tcPr>
          <w:p>
            <w:pPr>
              <w:jc w:val="right"/>
              <w:ind w:right="217"/>
              <w:spacing w:after="0" w:line="155" w:lineRule="exact"/>
              <w:rPr>
                <w:sz w:val="20"/>
                <w:szCs w:val="20"/>
                <w:color w:val="auto"/>
              </w:rPr>
            </w:pPr>
            <w:r>
              <w:rPr>
                <w:rFonts w:ascii="Arial" w:cs="Arial" w:eastAsia="Arial" w:hAnsi="Arial"/>
                <w:sz w:val="14"/>
                <w:szCs w:val="14"/>
                <w:b w:val="1"/>
                <w:bCs w:val="1"/>
                <w:color w:val="auto"/>
              </w:rPr>
              <w:t>Derivative Liability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Notional</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Notional</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18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87"/>
              </w:rPr>
              <w:t>Derivatives not designated as hedging instruments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18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jc w:val="center"/>
              <w:ind w:right="230"/>
              <w:spacing w:after="0" w:line="202" w:lineRule="exact"/>
              <w:rPr>
                <w:sz w:val="20"/>
                <w:szCs w:val="20"/>
                <w:color w:val="auto"/>
              </w:rPr>
            </w:pPr>
            <w:r>
              <w:rPr>
                <w:rFonts w:ascii="Arial" w:cs="Arial" w:eastAsia="Arial" w:hAnsi="Arial"/>
                <w:sz w:val="18"/>
                <w:szCs w:val="18"/>
                <w:color w:val="auto"/>
                <w:w w:val="91"/>
              </w:rPr>
              <w:t>Interest rate swaps – pay floating, receive fixed</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394,954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32,685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jc w:val="center"/>
              <w:ind w:right="230"/>
              <w:spacing w:after="0" w:line="202" w:lineRule="exact"/>
              <w:rPr>
                <w:sz w:val="20"/>
                <w:szCs w:val="20"/>
                <w:color w:val="auto"/>
              </w:rPr>
            </w:pPr>
            <w:r>
              <w:rPr>
                <w:rFonts w:ascii="Arial" w:cs="Arial" w:eastAsia="Arial" w:hAnsi="Arial"/>
                <w:sz w:val="18"/>
                <w:szCs w:val="18"/>
                <w:color w:val="auto"/>
                <w:w w:val="91"/>
              </w:rPr>
              <w:t>Interest rate swaps – pay fixed, receive floating</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394,954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32,685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2"/>
              </w:rPr>
              <w:t>Total derivatives not designated as hedging instruments</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394,954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32,685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394,954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60" w:type="dxa"/>
            <w:vAlign w:val="bottom"/>
            <w:vMerge w:val="restart"/>
          </w:tcPr>
          <w:p>
            <w:pPr>
              <w:jc w:val="right"/>
              <w:ind w:right="49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1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fair value of these derivative assets and liabilities are recorded in non-interest expense in the unaudited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Consolidated Statements of Income and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6"/>
          </w:tcPr>
          <w:p>
            <w:pPr>
              <w:ind w:left="1560"/>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6"/>
                <w:szCs w:val="16"/>
                <w:color w:val="auto"/>
              </w:rPr>
            </w:pP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56"/>
        </w:trPr>
        <w:tc>
          <w:tcPr>
            <w:tcW w:w="3440" w:type="dxa"/>
            <w:vAlign w:val="bottom"/>
            <w:vMerge w:val="restart"/>
          </w:tcPr>
          <w:p>
            <w:pPr>
              <w:spacing w:after="0"/>
              <w:rPr>
                <w:sz w:val="20"/>
                <w:szCs w:val="20"/>
                <w:color w:val="auto"/>
              </w:rPr>
            </w:pPr>
            <w:r>
              <w:rPr>
                <w:rFonts w:ascii="Arial" w:cs="Arial" w:eastAsia="Arial" w:hAnsi="Arial"/>
                <w:sz w:val="18"/>
                <w:szCs w:val="18"/>
                <w:b w:val="1"/>
                <w:bCs w:val="1"/>
                <w:color w:val="auto"/>
              </w:rPr>
              <w:t>Interest rate swaps</w:t>
            </w:r>
          </w:p>
        </w:tc>
        <w:tc>
          <w:tcPr>
            <w:tcW w:w="140" w:type="dxa"/>
            <w:vAlign w:val="bottom"/>
          </w:tcPr>
          <w:p>
            <w:pPr>
              <w:spacing w:after="0"/>
              <w:rPr>
                <w:sz w:val="13"/>
                <w:szCs w:val="13"/>
                <w:color w:val="auto"/>
              </w:rPr>
            </w:pPr>
          </w:p>
        </w:tc>
        <w:tc>
          <w:tcPr>
            <w:tcW w:w="1560" w:type="dxa"/>
            <w:vAlign w:val="bottom"/>
            <w:tcBorders>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rPr>
              <w:t>Location</w:t>
            </w: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Pay floating, receive fixed</w:t>
            </w:r>
          </w:p>
        </w:tc>
        <w:tc>
          <w:tcPr>
            <w:tcW w:w="188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w w:val="92"/>
              </w:rPr>
              <w:t>Non-interest expense $</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2,861</w:t>
            </w:r>
          </w:p>
        </w:tc>
        <w:tc>
          <w:tcPr>
            <w:tcW w:w="28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(9,331)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26,339</w:t>
            </w: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line="202" w:lineRule="exact"/>
              <w:rPr>
                <w:sz w:val="20"/>
                <w:szCs w:val="20"/>
                <w:color w:val="auto"/>
              </w:rPr>
            </w:pPr>
            <w:r>
              <w:rPr>
                <w:rFonts w:ascii="Arial" w:cs="Arial" w:eastAsia="Arial" w:hAnsi="Arial"/>
                <w:sz w:val="18"/>
                <w:szCs w:val="18"/>
                <w:color w:val="auto"/>
              </w:rPr>
              <w:t>Pay fixed, receive floating</w:t>
            </w:r>
          </w:p>
        </w:tc>
        <w:tc>
          <w:tcPr>
            <w:tcW w:w="188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Non-interest expense</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(1,264)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(2,861)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9,331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(26,339)</w:t>
            </w:r>
          </w:p>
        </w:tc>
        <w:tc>
          <w:tcPr>
            <w:tcW w:w="0" w:type="dxa"/>
            <w:vAlign w:val="bottom"/>
          </w:tcPr>
          <w:p>
            <w:pPr>
              <w:spacing w:after="0"/>
              <w:rPr>
                <w:sz w:val="1"/>
                <w:szCs w:val="1"/>
                <w:color w:val="auto"/>
              </w:rPr>
            </w:pPr>
          </w:p>
        </w:tc>
      </w:tr>
      <w:tr>
        <w:trPr>
          <w:trHeight w:val="196"/>
        </w:trPr>
        <w:tc>
          <w:tcPr>
            <w:tcW w:w="34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3"/>
              </w:rPr>
              <w:t>Net change in fair value of interest rate swaps</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99"/>
        <w:spacing w:after="0" w:line="261" w:lineRule="auto"/>
        <w:rPr>
          <w:sz w:val="20"/>
          <w:szCs w:val="20"/>
          <w:color w:val="auto"/>
        </w:rPr>
      </w:pPr>
      <w:r>
        <w:rPr>
          <w:rFonts w:ascii="Arial" w:cs="Arial" w:eastAsia="Arial" w:hAnsi="Arial"/>
          <w:sz w:val="18"/>
          <w:szCs w:val="18"/>
          <w:color w:val="auto"/>
        </w:rPr>
        <w:t>The Company pledged $28.3 million in cash to secure its obligation under these contracts as of June 30, 2021, compared to $36.0 million pledged as of December 31, 2020.</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Fair Value Measurements</w:t>
      </w:r>
    </w:p>
    <w:p>
      <w:pPr>
        <w:spacing w:after="0" w:line="202"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60" w:lineRule="exact"/>
        <w:rPr>
          <w:sz w:val="20"/>
          <w:szCs w:val="20"/>
          <w:color w:val="auto"/>
        </w:rPr>
      </w:pPr>
    </w:p>
    <w:p>
      <w:pPr>
        <w:ind w:left="720" w:right="79" w:hanging="319"/>
        <w:spacing w:after="0" w:line="261"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access at the measurement date.</w:t>
      </w:r>
    </w:p>
    <w:p>
      <w:pPr>
        <w:spacing w:after="0" w:line="157" w:lineRule="exact"/>
        <w:rPr>
          <w:rFonts w:ascii="Arial" w:cs="Arial" w:eastAsia="Arial" w:hAnsi="Arial"/>
          <w:sz w:val="18"/>
          <w:szCs w:val="18"/>
          <w:color w:val="auto"/>
        </w:rPr>
      </w:pPr>
    </w:p>
    <w:p>
      <w:pPr>
        <w:ind w:left="720" w:right="259"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75" w:lineRule="exact"/>
        <w:rPr>
          <w:rFonts w:ascii="Arial" w:cs="Arial" w:eastAsia="Arial" w:hAnsi="Arial"/>
          <w:sz w:val="18"/>
          <w:szCs w:val="18"/>
          <w:color w:val="auto"/>
        </w:rPr>
      </w:pPr>
    </w:p>
    <w:p>
      <w:pPr>
        <w:ind w:left="720" w:right="359" w:hanging="319"/>
        <w:spacing w:after="0" w:line="24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own assumptions about the assumptions that market participants would use in pricing the assets or liabilities.</w:t>
      </w:r>
    </w:p>
    <w:p>
      <w:pPr>
        <w:spacing w:after="0" w:line="168" w:lineRule="exact"/>
        <w:rPr>
          <w:sz w:val="20"/>
          <w:szCs w:val="20"/>
          <w:color w:val="auto"/>
        </w:rPr>
      </w:pPr>
    </w:p>
    <w:p>
      <w:pPr>
        <w:ind w:left="60" w:right="319"/>
        <w:spacing w:after="0" w:line="248"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68"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Securities Available for Sale</w:t>
      </w:r>
    </w:p>
    <w:p>
      <w:pPr>
        <w:spacing w:after="0" w:line="198" w:lineRule="exact"/>
        <w:rPr>
          <w:sz w:val="20"/>
          <w:szCs w:val="20"/>
          <w:color w:val="auto"/>
        </w:rPr>
      </w:pPr>
    </w:p>
    <w:p>
      <w:pPr>
        <w:ind w:left="60" w:right="259"/>
        <w:spacing w:after="0" w:line="294" w:lineRule="auto"/>
        <w:rPr>
          <w:sz w:val="20"/>
          <w:szCs w:val="20"/>
          <w:color w:val="auto"/>
        </w:rPr>
      </w:pPr>
      <w:r>
        <w:rPr>
          <w:rFonts w:ascii="Arial" w:cs="Arial" w:eastAsia="Arial" w:hAnsi="Arial"/>
          <w:sz w:val="16"/>
          <w:szCs w:val="16"/>
          <w:color w:val="auto"/>
        </w:rPr>
        <w:t>Debt securities classified as available for sale are reported at fair value utilizing Level 2 measurements. The Company obtains fair value measurements from an independent pricing service. The independent pricing service utilizes evaluated pricing models that vary by asset class and incorporate available trade, bid, and other market information. Because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259"/>
        <w:spacing w:after="0" w:line="248" w:lineRule="auto"/>
        <w:rPr>
          <w:sz w:val="20"/>
          <w:szCs w:val="20"/>
          <w:color w:val="auto"/>
        </w:rPr>
      </w:pPr>
      <w:r>
        <w:rPr>
          <w:rFonts w:ascii="Arial" w:cs="Arial" w:eastAsia="Arial" w:hAnsi="Arial"/>
          <w:sz w:val="18"/>
          <w:szCs w:val="18"/>
          <w:color w:val="auto"/>
        </w:rPr>
        <w:t>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168" w:lineRule="exact"/>
        <w:rPr>
          <w:sz w:val="20"/>
          <w:szCs w:val="20"/>
          <w:color w:val="auto"/>
        </w:rPr>
      </w:pPr>
    </w:p>
    <w:p>
      <w:pPr>
        <w:jc w:val="both"/>
        <w:ind w:left="60" w:right="279"/>
        <w:spacing w:after="0" w:line="284" w:lineRule="auto"/>
        <w:rPr>
          <w:sz w:val="20"/>
          <w:szCs w:val="20"/>
          <w:color w:val="auto"/>
        </w:rPr>
      </w:pPr>
      <w:r>
        <w:rPr>
          <w:rFonts w:ascii="Arial" w:cs="Arial" w:eastAsia="Arial" w:hAnsi="Arial"/>
          <w:sz w:val="16"/>
          <w:szCs w:val="16"/>
          <w:color w:val="auto"/>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42" w:lineRule="exact"/>
        <w:rPr>
          <w:sz w:val="20"/>
          <w:szCs w:val="20"/>
          <w:color w:val="auto"/>
        </w:rPr>
      </w:pPr>
    </w:p>
    <w:p>
      <w:pPr>
        <w:ind w:left="60" w:right="79"/>
        <w:spacing w:after="0" w:line="274" w:lineRule="auto"/>
        <w:rPr>
          <w:sz w:val="20"/>
          <w:szCs w:val="20"/>
          <w:color w:val="auto"/>
        </w:rPr>
      </w:pPr>
      <w:r>
        <w:rPr>
          <w:rFonts w:ascii="Arial" w:cs="Arial" w:eastAsia="Arial" w:hAnsi="Arial"/>
          <w:sz w:val="16"/>
          <w:szCs w:val="16"/>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98"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Equity securities are reported at fair value utilizing Level 1 or Level 2 measurements. As applicable, for mutual funds, unadjusted quoted prices in active markets for identical assets are utilized to determine fair value at the measurement date and are classified as Level 1. For stock, quoted prices for identical or similar assets in markets that are not active are utilized and classified as Level 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198"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color w:val="auto"/>
        </w:rPr>
        <w:t>Loans held for sale are reported at fair value utilizing Level 2 measurements. The fair value of the mortgage loans held for sale are measured using observable quoted market or contract prices or market price equivalents and are classified as Level 2.</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Assets and Derivative Liabilities</w:t>
      </w:r>
    </w:p>
    <w:p>
      <w:pPr>
        <w:spacing w:after="0" w:line="198" w:lineRule="exact"/>
        <w:rPr>
          <w:sz w:val="20"/>
          <w:szCs w:val="20"/>
          <w:color w:val="auto"/>
        </w:rPr>
      </w:pPr>
    </w:p>
    <w:p>
      <w:pPr>
        <w:ind w:left="60" w:right="259"/>
        <w:spacing w:after="0" w:line="248" w:lineRule="auto"/>
        <w:rPr>
          <w:sz w:val="20"/>
          <w:szCs w:val="20"/>
          <w:color w:val="auto"/>
        </w:rPr>
      </w:pPr>
      <w:r>
        <w:rPr>
          <w:rFonts w:ascii="Arial" w:cs="Arial" w:eastAsia="Arial" w:hAnsi="Arial"/>
          <w:sz w:val="18"/>
          <w:szCs w:val="18"/>
          <w:color w:val="auto"/>
        </w:rPr>
        <w:t>Derivative assets and derivative liabilities are reported at fair value utilizing Level 2 measurements. Fair values of derivative assets and liabilities are determined based on prices that are obtained from a third-party which uses observable market inputs. Derivative assets and liabilities are classified as Level 2.</w:t>
      </w:r>
    </w:p>
    <w:p>
      <w:pPr>
        <w:spacing w:after="0" w:line="168" w:lineRule="exact"/>
        <w:rPr>
          <w:sz w:val="20"/>
          <w:szCs w:val="20"/>
          <w:color w:val="auto"/>
        </w:rPr>
      </w:pPr>
    </w:p>
    <w:p>
      <w:pPr>
        <w:ind w:left="60" w:right="319"/>
        <w:spacing w:after="0" w:line="248" w:lineRule="auto"/>
        <w:rPr>
          <w:sz w:val="20"/>
          <w:szCs w:val="20"/>
          <w:color w:val="auto"/>
        </w:rPr>
      </w:pPr>
      <w:r>
        <w:rPr>
          <w:rFonts w:ascii="Arial" w:cs="Arial" w:eastAsia="Arial" w:hAnsi="Arial"/>
          <w:sz w:val="18"/>
          <w:szCs w:val="18"/>
          <w:color w:val="auto"/>
        </w:rPr>
        <w:t xml:space="preserve">The following tables summarize financial assets and financial liabilities measured at fair value on a recurring basis as of June 30, 2021, and December 31, 2020,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June 30, 2021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33"/>
        </w:trPr>
        <w:tc>
          <w:tcPr>
            <w:tcW w:w="4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2"/>
              </w:rPr>
              <w:t>Level 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6"/>
              </w:rPr>
              <w:t>Level 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73"/>
              <w:spacing w:after="0" w:line="133" w:lineRule="exact"/>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5"/>
              </w:rPr>
              <w:t>Total</w:t>
            </w:r>
          </w:p>
        </w:tc>
      </w:tr>
      <w:tr>
        <w:trPr>
          <w:trHeight w:val="185"/>
        </w:trPr>
        <w:tc>
          <w:tcPr>
            <w:tcW w:w="47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securities available for sale: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211,893</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211,893</w:t>
            </w: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6"/>
              </w:rPr>
              <w:t>Obligations of U.S. government corporations and agencies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50,998</w:t>
            </w: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301,342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301,342</w:t>
            </w: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514,052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514,052</w:t>
            </w: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1,842,194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1,842,194</w:t>
            </w: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246,997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246,997</w:t>
            </w: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297,041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297,041</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13,950</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Loans held for sale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17,834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17,834</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assets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23,853</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26,730</w:t>
            </w:r>
          </w:p>
        </w:tc>
      </w:tr>
      <w:tr>
        <w:trPr>
          <w:trHeight w:val="350"/>
        </w:trPr>
        <w:tc>
          <w:tcPr>
            <w:tcW w:w="4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 2020</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33"/>
        </w:trPr>
        <w:tc>
          <w:tcPr>
            <w:tcW w:w="4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2"/>
              </w:rPr>
              <w:t>Level 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6"/>
              </w:rPr>
              <w:t>Level 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73"/>
              <w:spacing w:after="0" w:line="133" w:lineRule="exact"/>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5"/>
              </w:rPr>
              <w:t>Total</w:t>
            </w:r>
          </w:p>
        </w:tc>
      </w:tr>
      <w:tr>
        <w:trPr>
          <w:trHeight w:val="185"/>
        </w:trPr>
        <w:tc>
          <w:tcPr>
            <w:tcW w:w="47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securities available for sale: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27,837</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27,837</w:t>
            </w: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6"/>
              </w:rPr>
              <w:t>Obligations of U.S. government corporations and agencies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69,519</w:t>
            </w: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304,711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304,711</w:t>
            </w: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418,616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418,616</w:t>
            </w:r>
          </w:p>
        </w:tc>
      </w:tr>
      <w:tr>
        <w:trPr>
          <w:trHeight w:val="203"/>
        </w:trPr>
        <w:tc>
          <w:tcPr>
            <w:tcW w:w="4760" w:type="dxa"/>
            <w:vAlign w:val="bottom"/>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1,368,315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1,368,315</w:t>
            </w:r>
          </w:p>
        </w:tc>
      </w:tr>
      <w:tr>
        <w:trPr>
          <w:trHeight w:val="203"/>
        </w:trPr>
        <w:tc>
          <w:tcPr>
            <w:tcW w:w="4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72,189</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5,530</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Loans held for sale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42,813</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Derivative assets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33,918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33,918</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liabilities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38,403</w:t>
            </w:r>
          </w:p>
        </w:tc>
      </w:tr>
    </w:tbl>
    <w:p>
      <w:pPr>
        <w:spacing w:after="0" w:line="188"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Loans Evaluated Individually</w:t>
      </w:r>
    </w:p>
    <w:p>
      <w:pPr>
        <w:spacing w:after="0" w:line="198"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auto"/>
        </w:rPr>
        <w:t>The Company does not record portfolio loans at fair value on a recurring basis. However, 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OREO</w:t>
      </w:r>
    </w:p>
    <w:p>
      <w:pPr>
        <w:spacing w:after="0" w:line="198" w:lineRule="exact"/>
        <w:rPr>
          <w:sz w:val="20"/>
          <w:szCs w:val="20"/>
          <w:color w:val="auto"/>
        </w:rPr>
      </w:pPr>
    </w:p>
    <w:p>
      <w:pPr>
        <w:jc w:val="both"/>
        <w:ind w:left="60" w:right="339"/>
        <w:spacing w:after="0" w:line="294" w:lineRule="auto"/>
        <w:rPr>
          <w:sz w:val="20"/>
          <w:szCs w:val="20"/>
          <w:color w:val="auto"/>
        </w:rPr>
      </w:pPr>
      <w:r>
        <w:rPr>
          <w:rFonts w:ascii="Arial" w:cs="Arial" w:eastAsia="Arial" w:hAnsi="Arial"/>
          <w:sz w:val="16"/>
          <w:szCs w:val="16"/>
          <w:color w:val="auto"/>
        </w:rPr>
        <w:t>Non-financial assets measured at fair value include OREO (upon initial recognition or subsequent impairment). OREO properties are measured using a combination of observable inputs, including recent appraisals, and unobservable inputs. Due to the significance of unobservable inputs, all OREO fair values have been classified as Level 3.</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 Property Held for Sale</w:t>
      </w:r>
    </w:p>
    <w:p>
      <w:pPr>
        <w:spacing w:after="0" w:line="198" w:lineRule="exact"/>
        <w:rPr>
          <w:sz w:val="20"/>
          <w:szCs w:val="20"/>
          <w:color w:val="auto"/>
        </w:rPr>
      </w:pPr>
    </w:p>
    <w:p>
      <w:pPr>
        <w:ind w:left="60" w:right="99"/>
        <w:spacing w:after="0" w:line="294" w:lineRule="auto"/>
        <w:rPr>
          <w:sz w:val="20"/>
          <w:szCs w:val="20"/>
          <w:color w:val="auto"/>
        </w:rPr>
      </w:pPr>
      <w:r>
        <w:rPr>
          <w:rFonts w:ascii="Arial" w:cs="Arial" w:eastAsia="Arial" w:hAnsi="Arial"/>
          <w:sz w:val="16"/>
          <w:szCs w:val="16"/>
          <w:color w:val="auto"/>
        </w:rPr>
        <w:t>Bank property held for sale represents certain banking center office buildings which the Company has closed and consolidated with other existing banking centers. Bank property held for sale is measured at the lower of amortized cost or fair value less estimated costs to sell. Fair values were based upon discounted appraisals or real estate listing prices.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679"/>
        <w:spacing w:after="0" w:line="261" w:lineRule="auto"/>
        <w:rPr>
          <w:sz w:val="20"/>
          <w:szCs w:val="20"/>
          <w:color w:val="auto"/>
        </w:rPr>
      </w:pPr>
      <w:r>
        <w:rPr>
          <w:rFonts w:ascii="Arial" w:cs="Arial" w:eastAsia="Arial" w:hAnsi="Arial"/>
          <w:sz w:val="18"/>
          <w:szCs w:val="18"/>
          <w:color w:val="auto"/>
        </w:rPr>
        <w:t>Due to the significance of unobservable inputs, fair values of all bank property held for sale have been classified as Level 3.</w:t>
      </w:r>
    </w:p>
    <w:p>
      <w:pPr>
        <w:spacing w:after="0" w:line="157" w:lineRule="exact"/>
        <w:rPr>
          <w:sz w:val="20"/>
          <w:szCs w:val="20"/>
          <w:color w:val="auto"/>
        </w:rPr>
      </w:pPr>
    </w:p>
    <w:p>
      <w:pPr>
        <w:jc w:val="both"/>
        <w:ind w:left="60" w:right="219"/>
        <w:spacing w:after="0" w:line="248" w:lineRule="auto"/>
        <w:rPr>
          <w:sz w:val="20"/>
          <w:szCs w:val="20"/>
          <w:color w:val="auto"/>
        </w:rPr>
      </w:pPr>
      <w:r>
        <w:rPr>
          <w:rFonts w:ascii="Arial" w:cs="Arial" w:eastAsia="Arial" w:hAnsi="Arial"/>
          <w:sz w:val="18"/>
          <w:szCs w:val="18"/>
          <w:color w:val="auto"/>
        </w:rPr>
        <w:t xml:space="preserve">The following tables summarize assets and liabilities measured at fair value on a non-recurring basis as of June 30, 2021 and December 31, 2020,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As of June 30, 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33"/>
        </w:trPr>
        <w:tc>
          <w:tcPr>
            <w:tcW w:w="5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Total</w:t>
            </w:r>
          </w:p>
        </w:tc>
      </w:tr>
      <w:tr>
        <w:trPr>
          <w:trHeight w:val="185"/>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2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6"/>
                <w:szCs w:val="16"/>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5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Loans evaluated individually</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3,878</w:t>
            </w: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OREO</w:t>
            </w:r>
          </w:p>
        </w:tc>
        <w:tc>
          <w:tcPr>
            <w:tcW w:w="140" w:type="dxa"/>
            <w:vAlign w:val="bottom"/>
          </w:tcPr>
          <w:p>
            <w:pPr>
              <w:spacing w:after="0"/>
              <w:rPr>
                <w:sz w:val="17"/>
                <w:szCs w:val="17"/>
                <w:color w:val="auto"/>
              </w:rPr>
            </w:pP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Bank property held for sale</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7,379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7,379</w:t>
            </w:r>
          </w:p>
        </w:tc>
      </w:tr>
      <w:tr>
        <w:trPr>
          <w:trHeight w:val="418"/>
        </w:trPr>
        <w:tc>
          <w:tcPr>
            <w:tcW w:w="5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60"/>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84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3"/>
                <w:szCs w:val="13"/>
                <w:color w:val="auto"/>
              </w:rPr>
            </w:pPr>
          </w:p>
        </w:tc>
        <w:tc>
          <w:tcPr>
            <w:tcW w:w="84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89"/>
              </w:rPr>
              <w:t>Total</w:t>
            </w:r>
          </w:p>
        </w:tc>
      </w:tr>
      <w:tr>
        <w:trPr>
          <w:trHeight w:val="185"/>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2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6"/>
                <w:szCs w:val="16"/>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5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Loans evaluated individually</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2,771</w:t>
            </w: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OREO</w:t>
            </w:r>
          </w:p>
        </w:tc>
        <w:tc>
          <w:tcPr>
            <w:tcW w:w="140" w:type="dxa"/>
            <w:vAlign w:val="bottom"/>
          </w:tcPr>
          <w:p>
            <w:pPr>
              <w:spacing w:after="0"/>
              <w:rPr>
                <w:sz w:val="17"/>
                <w:szCs w:val="17"/>
                <w:color w:val="auto"/>
              </w:rPr>
            </w:pP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Bank property held for sale</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10,676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10,676</w:t>
            </w:r>
          </w:p>
        </w:tc>
      </w:tr>
    </w:tbl>
    <w:p>
      <w:pPr>
        <w:spacing w:after="0" w:line="188" w:lineRule="exact"/>
        <w:rPr>
          <w:sz w:val="20"/>
          <w:szCs w:val="20"/>
          <w:color w:val="auto"/>
        </w:rPr>
      </w:pPr>
    </w:p>
    <w:p>
      <w:pPr>
        <w:ind w:left="60" w:right="439"/>
        <w:spacing w:after="0" w:line="291" w:lineRule="auto"/>
        <w:rPr>
          <w:sz w:val="20"/>
          <w:szCs w:val="20"/>
          <w:color w:val="auto"/>
        </w:rPr>
      </w:pPr>
      <w:r>
        <w:rPr>
          <w:rFonts w:ascii="Arial" w:cs="Arial" w:eastAsia="Arial" w:hAnsi="Arial"/>
          <w:sz w:val="17"/>
          <w:szCs w:val="17"/>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60" w:type="dxa"/>
            <w:vAlign w:val="bottom"/>
            <w:tcBorders>
              <w:bottom w:val="single" w:sz="8" w:color="auto"/>
            </w:tcBorders>
            <w:gridSpan w:val="7"/>
          </w:tcPr>
          <w:p>
            <w:pPr>
              <w:jc w:val="right"/>
              <w:ind w:right="1236"/>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r>
      <w:tr>
        <w:trPr>
          <w:trHeight w:val="133"/>
        </w:trPr>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5"/>
              </w:rPr>
              <w:t>Fair Value</w:t>
            </w:r>
          </w:p>
        </w:tc>
        <w:tc>
          <w:tcPr>
            <w:tcW w:w="18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5"/>
              </w:rPr>
              <w:t>Valuation</w:t>
            </w: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ind w:right="836"/>
              <w:spacing w:after="0" w:line="133" w:lineRule="exact"/>
              <w:rPr>
                <w:sz w:val="20"/>
                <w:szCs w:val="20"/>
                <w:color w:val="auto"/>
              </w:rPr>
            </w:pPr>
            <w:r>
              <w:rPr>
                <w:rFonts w:ascii="Arial" w:cs="Arial" w:eastAsia="Arial" w:hAnsi="Arial"/>
                <w:sz w:val="14"/>
                <w:szCs w:val="14"/>
                <w:b w:val="1"/>
                <w:bCs w:val="1"/>
                <w:color w:val="auto"/>
              </w:rPr>
              <w:t>Range</w:t>
            </w:r>
          </w:p>
        </w:tc>
      </w:tr>
      <w:tr>
        <w:trPr>
          <w:trHeight w:val="158"/>
        </w:trPr>
        <w:tc>
          <w:tcPr>
            <w:tcW w:w="21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June 30, 2021:</w:t>
            </w:r>
          </w:p>
        </w:tc>
        <w:tc>
          <w:tcPr>
            <w:tcW w:w="80" w:type="dxa"/>
            <w:vAlign w:val="bottom"/>
          </w:tcPr>
          <w:p>
            <w:pPr>
              <w:spacing w:after="0"/>
              <w:rPr>
                <w:sz w:val="13"/>
                <w:szCs w:val="13"/>
                <w:color w:val="auto"/>
              </w:rPr>
            </w:pPr>
          </w:p>
        </w:tc>
        <w:tc>
          <w:tcPr>
            <w:tcW w:w="8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Estimate</w:t>
            </w:r>
          </w:p>
        </w:tc>
        <w:tc>
          <w:tcPr>
            <w:tcW w:w="18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Techniques</w:t>
            </w:r>
          </w:p>
        </w:tc>
        <w:tc>
          <w:tcPr>
            <w:tcW w:w="1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Input</w:t>
            </w:r>
          </w:p>
        </w:tc>
        <w:tc>
          <w:tcPr>
            <w:tcW w:w="120" w:type="dxa"/>
            <w:vAlign w:val="bottom"/>
          </w:tcPr>
          <w:p>
            <w:pPr>
              <w:spacing w:after="0"/>
              <w:rPr>
                <w:sz w:val="13"/>
                <w:szCs w:val="13"/>
                <w:color w:val="auto"/>
              </w:rPr>
            </w:pPr>
          </w:p>
        </w:tc>
        <w:tc>
          <w:tcPr>
            <w:tcW w:w="2220" w:type="dxa"/>
            <w:vAlign w:val="bottom"/>
            <w:gridSpan w:val="3"/>
          </w:tcPr>
          <w:p>
            <w:pPr>
              <w:jc w:val="right"/>
              <w:ind w:right="436"/>
              <w:spacing w:after="0" w:line="158" w:lineRule="exact"/>
              <w:rPr>
                <w:sz w:val="20"/>
                <w:szCs w:val="20"/>
                <w:color w:val="auto"/>
              </w:rPr>
            </w:pPr>
            <w:r>
              <w:rPr>
                <w:rFonts w:ascii="Arial" w:cs="Arial" w:eastAsia="Arial" w:hAnsi="Arial"/>
                <w:sz w:val="14"/>
                <w:szCs w:val="14"/>
                <w:b w:val="1"/>
                <w:bCs w:val="1"/>
                <w:color w:val="auto"/>
              </w:rPr>
              <w:t>(Weighted Average)</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3"/>
        </w:trPr>
        <w:tc>
          <w:tcPr>
            <w:tcW w:w="218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w w:val="95"/>
                <w:shd w:val="clear" w:color="auto" w:fill="CCEEFF"/>
              </w:rPr>
              <w:t>Loans evaluated individually</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shd w:val="clear" w:color="auto" w:fill="CCEEFF"/>
              </w:rPr>
              <w:t>3,878</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shd w:val="clear" w:color="auto" w:fill="CCEEFF"/>
              </w:rPr>
              <w:t>Appraisal of collateral</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0"/>
                <w:shd w:val="clear" w:color="auto" w:fill="CCEEFF"/>
              </w:rPr>
              <w:t>Appraisal adjustments</w:t>
            </w:r>
          </w:p>
        </w:tc>
        <w:tc>
          <w:tcPr>
            <w:tcW w:w="120" w:type="dxa"/>
            <w:vAlign w:val="bottom"/>
            <w:shd w:val="clear" w:color="auto" w:fill="CCEEFF"/>
          </w:tcPr>
          <w:p>
            <w:pPr>
              <w:spacing w:after="0"/>
              <w:rPr>
                <w:sz w:val="15"/>
                <w:szCs w:val="15"/>
                <w:color w:val="auto"/>
              </w:rPr>
            </w:pPr>
          </w:p>
        </w:tc>
        <w:tc>
          <w:tcPr>
            <w:tcW w:w="222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8"/>
                <w:szCs w:val="18"/>
                <w:color w:val="auto"/>
                <w:w w:val="96"/>
                <w:shd w:val="clear" w:color="auto" w:fill="CCEEFF"/>
              </w:rPr>
              <w:t>-17.0% to -100.0% (-53.7)%</w:t>
            </w:r>
          </w:p>
        </w:tc>
      </w:tr>
      <w:tr>
        <w:trPr>
          <w:trHeight w:val="203"/>
        </w:trPr>
        <w:tc>
          <w:tcPr>
            <w:tcW w:w="2180" w:type="dxa"/>
            <w:vAlign w:val="bottom"/>
            <w:gridSpan w:val="3"/>
          </w:tcPr>
          <w:p>
            <w:pPr>
              <w:spacing w:after="0" w:line="202" w:lineRule="exact"/>
              <w:rPr>
                <w:sz w:val="20"/>
                <w:szCs w:val="20"/>
                <w:color w:val="auto"/>
              </w:rPr>
            </w:pPr>
            <w:r>
              <w:rPr>
                <w:rFonts w:ascii="Arial" w:cs="Arial" w:eastAsia="Arial" w:hAnsi="Arial"/>
                <w:sz w:val="18"/>
                <w:szCs w:val="18"/>
                <w:color w:val="auto"/>
              </w:rPr>
              <w:t>OREO</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18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2"/>
              </w:rPr>
              <w:t>Appraisal of collateral</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0"/>
              </w:rPr>
              <w:t>Appraisal adjustments</w:t>
            </w:r>
          </w:p>
        </w:tc>
        <w:tc>
          <w:tcPr>
            <w:tcW w:w="23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-33.0% to -100.0% (-67.9)%</w:t>
            </w:r>
          </w:p>
        </w:tc>
      </w:tr>
      <w:tr>
        <w:trPr>
          <w:trHeight w:val="188"/>
        </w:trPr>
        <w:tc>
          <w:tcPr>
            <w:tcW w:w="21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Bank property held for sale</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7,379</w:t>
            </w:r>
          </w:p>
        </w:tc>
        <w:tc>
          <w:tcPr>
            <w:tcW w:w="10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2"/>
              </w:rPr>
              <w:t>Appraisal of collateral</w:t>
            </w:r>
          </w:p>
        </w:tc>
        <w:tc>
          <w:tcPr>
            <w:tcW w:w="16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Appraisal adjustments</w:t>
            </w: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to</w:t>
            </w: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-64.9% (-38.5)%</w:t>
            </w:r>
          </w:p>
        </w:tc>
      </w:tr>
      <w:tr>
        <w:trPr>
          <w:trHeight w:val="203"/>
        </w:trPr>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89"/>
              </w:rPr>
              <w:t>or real estate listing</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7"/>
        </w:trPr>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price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97"/>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2020:</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0"/>
        </w:trPr>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Loans evaluated individually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2,771</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shd w:val="clear" w:color="auto" w:fill="CCEEFF"/>
              </w:rPr>
              <w:t>Appraisal of collateral</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shd w:val="clear" w:color="auto" w:fill="CCEEFF"/>
              </w:rPr>
              <w:t>Appraisal adjustments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to -100.0% (-37.0)%</w:t>
            </w:r>
          </w:p>
        </w:tc>
      </w:tr>
      <w:tr>
        <w:trPr>
          <w:trHeight w:val="203"/>
        </w:trPr>
        <w:tc>
          <w:tcPr>
            <w:tcW w:w="2180" w:type="dxa"/>
            <w:vAlign w:val="bottom"/>
            <w:gridSpan w:val="3"/>
          </w:tcPr>
          <w:p>
            <w:pPr>
              <w:spacing w:after="0" w:line="202" w:lineRule="exact"/>
              <w:rPr>
                <w:sz w:val="20"/>
                <w:szCs w:val="20"/>
                <w:color w:val="auto"/>
              </w:rPr>
            </w:pPr>
            <w:r>
              <w:rPr>
                <w:rFonts w:ascii="Arial" w:cs="Arial" w:eastAsia="Arial" w:hAnsi="Arial"/>
                <w:sz w:val="18"/>
                <w:szCs w:val="18"/>
                <w:color w:val="auto"/>
              </w:rPr>
              <w:t>OREO</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18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2"/>
              </w:rPr>
              <w:t>Appraisal of collateral</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0"/>
              </w:rPr>
              <w:t>Appraisal adjustments</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to -100.0% (-54.5)%</w:t>
            </w:r>
          </w:p>
        </w:tc>
      </w:tr>
      <w:tr>
        <w:trPr>
          <w:trHeight w:val="188"/>
        </w:trPr>
        <w:tc>
          <w:tcPr>
            <w:tcW w:w="21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Bank property held for sale</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10,676</w:t>
            </w:r>
          </w:p>
        </w:tc>
        <w:tc>
          <w:tcPr>
            <w:tcW w:w="10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2"/>
              </w:rPr>
              <w:t>Appraisal of collateral</w:t>
            </w:r>
          </w:p>
        </w:tc>
        <w:tc>
          <w:tcPr>
            <w:tcW w:w="16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Appraisal adjustments</w:t>
            </w: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to</w:t>
            </w: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-64.9% (-42.8)%</w:t>
            </w:r>
          </w:p>
        </w:tc>
      </w:tr>
      <w:tr>
        <w:trPr>
          <w:trHeight w:val="203"/>
        </w:trPr>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89"/>
              </w:rPr>
              <w:t>or real estate listing</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7"/>
        </w:trPr>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price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ind w:left="60" w:right="139"/>
        <w:spacing w:after="0" w:line="248" w:lineRule="auto"/>
        <w:rPr>
          <w:sz w:val="20"/>
          <w:szCs w:val="20"/>
          <w:color w:val="auto"/>
        </w:rPr>
      </w:pPr>
      <w:r>
        <w:rPr>
          <w:rFonts w:ascii="Arial" w:cs="Arial" w:eastAsia="Arial" w:hAnsi="Arial"/>
          <w:sz w:val="18"/>
          <w:szCs w:val="18"/>
          <w:color w:val="auto"/>
        </w:rPr>
        <w:t xml:space="preserve">Estimated fair values of financial instruments that are reported at amortized cost in the Company’s unaudited Consolidated Balance Sheets, segregated by the level of the valuation inputs within the fair value hierarchy utilized to measure fair value,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As of June 30, 2021</w:t>
            </w:r>
          </w:p>
        </w:tc>
        <w:tc>
          <w:tcPr>
            <w:tcW w:w="120" w:type="dxa"/>
            <w:vAlign w:val="bottom"/>
          </w:tcPr>
          <w:p>
            <w:pPr>
              <w:spacing w:after="0"/>
              <w:rPr>
                <w:sz w:val="16"/>
                <w:szCs w:val="16"/>
                <w:color w:val="auto"/>
              </w:rPr>
            </w:pPr>
          </w:p>
        </w:tc>
        <w:tc>
          <w:tcPr>
            <w:tcW w:w="186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6"/>
              </w:rPr>
              <w:t>As of December 31, 2020</w:t>
            </w:r>
          </w:p>
        </w:tc>
        <w:tc>
          <w:tcPr>
            <w:tcW w:w="0" w:type="dxa"/>
            <w:vAlign w:val="bottom"/>
          </w:tcPr>
          <w:p>
            <w:pPr>
              <w:spacing w:after="0"/>
              <w:rPr>
                <w:sz w:val="1"/>
                <w:szCs w:val="1"/>
                <w:color w:val="auto"/>
              </w:rPr>
            </w:pPr>
          </w:p>
        </w:tc>
      </w:tr>
      <w:tr>
        <w:trPr>
          <w:trHeight w:val="133"/>
        </w:trPr>
        <w:tc>
          <w:tcPr>
            <w:tcW w:w="4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2"/>
              <w:spacing w:after="0" w:line="13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32"/>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Level 1 inputs: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44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920,810</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920,810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688,537</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688,537</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Level 2 inputs: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440"/>
              <w:spacing w:after="0" w:line="202" w:lineRule="exact"/>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32,689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32,689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33,240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33,240</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Level 3 inputs: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440"/>
              <w:spacing w:after="0" w:line="202" w:lineRule="exact"/>
              <w:rPr>
                <w:sz w:val="20"/>
                <w:szCs w:val="20"/>
                <w:color w:val="auto"/>
              </w:rPr>
            </w:pPr>
            <w:r>
              <w:rPr>
                <w:rFonts w:ascii="Arial" w:cs="Arial" w:eastAsia="Arial" w:hAnsi="Arial"/>
                <w:sz w:val="18"/>
                <w:szCs w:val="18"/>
                <w:color w:val="auto"/>
              </w:rPr>
              <w:t>Portfolio loans, net</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7,090,240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2"/>
              </w:rPr>
              <w:t>7,161,247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6,713,129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6,755,425</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Mortgage servicing rights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12,187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10,912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11,107</w:t>
            </w:r>
          </w:p>
        </w:tc>
        <w:tc>
          <w:tcPr>
            <w:tcW w:w="0" w:type="dxa"/>
            <w:vAlign w:val="bottom"/>
          </w:tcPr>
          <w:p>
            <w:pPr>
              <w:spacing w:after="0"/>
              <w:rPr>
                <w:sz w:val="1"/>
                <w:szCs w:val="1"/>
                <w:color w:val="auto"/>
              </w:rPr>
            </w:pPr>
          </w:p>
        </w:tc>
      </w:tr>
      <w:tr>
        <w:trPr>
          <w:trHeight w:val="203"/>
        </w:trPr>
        <w:tc>
          <w:tcPr>
            <w:tcW w:w="4800" w:type="dxa"/>
            <w:vAlign w:val="bottom"/>
          </w:tcPr>
          <w:p>
            <w:pPr>
              <w:ind w:left="440"/>
              <w:spacing w:after="0" w:line="202" w:lineRule="exact"/>
              <w:rPr>
                <w:sz w:val="20"/>
                <w:szCs w:val="20"/>
                <w:color w:val="auto"/>
              </w:rPr>
            </w:pPr>
            <w:r>
              <w:rPr>
                <w:rFonts w:ascii="Arial" w:cs="Arial" w:eastAsia="Arial" w:hAnsi="Arial"/>
                <w:sz w:val="18"/>
                <w:szCs w:val="18"/>
                <w:color w:val="auto"/>
              </w:rPr>
              <w:t>Other servicing rights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1,573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1,434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b w:val="1"/>
                <w:bCs w:val="1"/>
                <w:color w:val="auto"/>
              </w:rPr>
              <w:t>Financial liabilities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Level 2 inputs: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440"/>
              <w:spacing w:after="0" w:line="202" w:lineRule="exact"/>
              <w:rPr>
                <w:sz w:val="20"/>
                <w:szCs w:val="20"/>
                <w:color w:val="auto"/>
              </w:rPr>
            </w:pPr>
            <w:r>
              <w:rPr>
                <w:rFonts w:ascii="Arial" w:cs="Arial" w:eastAsia="Arial" w:hAnsi="Arial"/>
                <w:sz w:val="18"/>
                <w:szCs w:val="18"/>
                <w:color w:val="auto"/>
              </w:rPr>
              <w:t>Time deposits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1,115,596</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2"/>
              </w:rPr>
              <w:t>1,121,554</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1,119,348</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1,132,107</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Securities sold under agreements to repurchase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207,266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207,266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175,614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175,614</w:t>
            </w:r>
          </w:p>
        </w:tc>
        <w:tc>
          <w:tcPr>
            <w:tcW w:w="0" w:type="dxa"/>
            <w:vAlign w:val="bottom"/>
          </w:tcPr>
          <w:p>
            <w:pPr>
              <w:spacing w:after="0"/>
              <w:rPr>
                <w:sz w:val="1"/>
                <w:szCs w:val="1"/>
                <w:color w:val="auto"/>
              </w:rPr>
            </w:pPr>
          </w:p>
        </w:tc>
      </w:tr>
      <w:tr>
        <w:trPr>
          <w:trHeight w:val="202"/>
        </w:trPr>
        <w:tc>
          <w:tcPr>
            <w:tcW w:w="4800" w:type="dxa"/>
            <w:vAlign w:val="bottom"/>
          </w:tcPr>
          <w:p>
            <w:pPr>
              <w:ind w:left="440"/>
              <w:spacing w:after="0" w:line="202" w:lineRule="exact"/>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30,168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30,169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4,658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52,409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52,532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5,014</w:t>
            </w:r>
          </w:p>
        </w:tc>
        <w:tc>
          <w:tcPr>
            <w:tcW w:w="0" w:type="dxa"/>
            <w:vAlign w:val="bottom"/>
          </w:tcPr>
          <w:p>
            <w:pPr>
              <w:spacing w:after="0"/>
              <w:rPr>
                <w:sz w:val="1"/>
                <w:szCs w:val="1"/>
                <w:color w:val="auto"/>
              </w:rPr>
            </w:pPr>
          </w:p>
        </w:tc>
      </w:tr>
      <w:tr>
        <w:trPr>
          <w:trHeight w:val="188"/>
        </w:trPr>
        <w:tc>
          <w:tcPr>
            <w:tcW w:w="4800" w:type="dxa"/>
            <w:vAlign w:val="bottom"/>
          </w:tcPr>
          <w:p>
            <w:pPr>
              <w:ind w:left="440"/>
              <w:spacing w:after="0" w:line="189" w:lineRule="exact"/>
              <w:rPr>
                <w:sz w:val="20"/>
                <w:szCs w:val="20"/>
                <w:color w:val="auto"/>
              </w:rPr>
            </w:pPr>
            <w:r>
              <w:rPr>
                <w:rFonts w:ascii="Arial" w:cs="Arial" w:eastAsia="Arial" w:hAnsi="Arial"/>
                <w:sz w:val="18"/>
                <w:szCs w:val="18"/>
                <w:color w:val="auto"/>
              </w:rPr>
              <w:t>Junior subordinated debt owed to unconsolidated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00" w:type="dxa"/>
            <w:vAlign w:val="bottom"/>
          </w:tcPr>
          <w:p>
            <w:pPr>
              <w:ind w:left="440"/>
              <w:spacing w:after="0"/>
              <w:rPr>
                <w:sz w:val="20"/>
                <w:szCs w:val="20"/>
                <w:color w:val="auto"/>
              </w:rPr>
            </w:pPr>
            <w:r>
              <w:rPr>
                <w:rFonts w:ascii="Arial" w:cs="Arial" w:eastAsia="Arial" w:hAnsi="Arial"/>
                <w:sz w:val="18"/>
                <w:szCs w:val="18"/>
                <w:color w:val="auto"/>
              </w:rPr>
              <w:t>trusts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71,551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62,141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71,468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59,943</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Level 3 inputs: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Senior notes, net of unamortized issuance costs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39,876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39,809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40,104</w:t>
            </w:r>
          </w:p>
        </w:tc>
        <w:tc>
          <w:tcPr>
            <w:tcW w:w="0" w:type="dxa"/>
            <w:vAlign w:val="bottom"/>
          </w:tcPr>
          <w:p>
            <w:pPr>
              <w:spacing w:after="0"/>
              <w:rPr>
                <w:sz w:val="1"/>
                <w:szCs w:val="1"/>
                <w:color w:val="auto"/>
              </w:rPr>
            </w:pPr>
          </w:p>
        </w:tc>
      </w:tr>
      <w:tr>
        <w:trPr>
          <w:trHeight w:val="230"/>
        </w:trPr>
        <w:tc>
          <w:tcPr>
            <w:tcW w:w="4800" w:type="dxa"/>
            <w:vAlign w:val="bottom"/>
          </w:tcPr>
          <w:p>
            <w:pPr>
              <w:ind w:left="440"/>
              <w:spacing w:after="0"/>
              <w:rPr>
                <w:sz w:val="20"/>
                <w:szCs w:val="20"/>
                <w:color w:val="auto"/>
              </w:rPr>
            </w:pPr>
            <w:r>
              <w:rPr>
                <w:rFonts w:ascii="Arial" w:cs="Arial" w:eastAsia="Arial" w:hAnsi="Arial"/>
                <w:sz w:val="18"/>
                <w:szCs w:val="18"/>
                <w:color w:val="auto"/>
                <w:w w:val="99"/>
              </w:rPr>
              <w:t>Subordinated notes, net of unamortized issuance costs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182,503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184,725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182,226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187,697</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Earnings Per Common Share</w:t>
      </w:r>
    </w:p>
    <w:p>
      <w:pPr>
        <w:spacing w:after="0" w:line="202" w:lineRule="exact"/>
        <w:rPr>
          <w:sz w:val="20"/>
          <w:szCs w:val="20"/>
          <w:color w:val="auto"/>
        </w:rPr>
      </w:pPr>
    </w:p>
    <w:p>
      <w:pPr>
        <w:ind w:left="60" w:right="299"/>
        <w:spacing w:after="0" w:line="262" w:lineRule="auto"/>
        <w:rPr>
          <w:sz w:val="20"/>
          <w:szCs w:val="20"/>
          <w:color w:val="auto"/>
        </w:rPr>
      </w:pPr>
      <w:r>
        <w:rPr>
          <w:rFonts w:ascii="Arial" w:cs="Arial" w:eastAsia="Arial" w:hAnsi="Arial"/>
          <w:sz w:val="17"/>
          <w:szCs w:val="17"/>
          <w:color w:val="auto"/>
        </w:rPr>
        <w:t>Basic earnings per share is computed by dividing net income for the period by the weighted average number of common shares outstanding, which include deferred stock units that are vested but not delivered. Diluted earnings per common share is computed using the treasury stock method and reflects the potential dilution that could occur if the Company’s outstanding stock options and warrants were exercised and restricted stock units were vested.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(dollars in thousands, except per share amounts)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04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55"/>
        </w:trPr>
        <w:tc>
          <w:tcPr>
            <w:tcW w:w="44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29,766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25,806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67,582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41,170</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rPr>
                <w:sz w:val="20"/>
                <w:szCs w:val="20"/>
                <w:color w:val="auto"/>
              </w:rPr>
            </w:pPr>
            <w:r>
              <w:rPr>
                <w:rFonts w:ascii="Arial" w:cs="Arial" w:eastAsia="Arial" w:hAnsi="Arial"/>
                <w:sz w:val="18"/>
                <w:szCs w:val="18"/>
                <w:color w:val="auto"/>
              </w:rPr>
              <w:t>Shares:</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55,050,071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54,489,403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54,762,563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54,575,595</w:t>
            </w:r>
          </w:p>
        </w:tc>
        <w:tc>
          <w:tcPr>
            <w:tcW w:w="0" w:type="dxa"/>
            <w:vAlign w:val="bottom"/>
          </w:tcPr>
          <w:p>
            <w:pPr>
              <w:spacing w:after="0"/>
              <w:rPr>
                <w:sz w:val="1"/>
                <w:szCs w:val="1"/>
                <w:color w:val="auto"/>
              </w:rPr>
            </w:pPr>
          </w:p>
        </w:tc>
      </w:tr>
      <w:tr>
        <w:trPr>
          <w:trHeight w:val="188"/>
        </w:trPr>
        <w:tc>
          <w:tcPr>
            <w:tcW w:w="4400" w:type="dxa"/>
            <w:vAlign w:val="bottom"/>
          </w:tcPr>
          <w:p>
            <w:pPr>
              <w:ind w:left="220"/>
              <w:spacing w:after="0" w:line="189" w:lineRule="exact"/>
              <w:rPr>
                <w:sz w:val="20"/>
                <w:szCs w:val="20"/>
                <w:color w:val="auto"/>
              </w:rPr>
            </w:pPr>
            <w:r>
              <w:rPr>
                <w:rFonts w:ascii="Arial" w:cs="Arial" w:eastAsia="Arial" w:hAnsi="Arial"/>
                <w:sz w:val="18"/>
                <w:szCs w:val="18"/>
                <w:color w:val="auto"/>
              </w:rPr>
              <w:t>Dilutive effect of outstanding options, warrants, and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w w:val="97"/>
              </w:rPr>
              <w:t>restricted stock units as determined by the application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of the treasury stock method</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680,812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231,575</w:t>
            </w:r>
          </w:p>
        </w:tc>
        <w:tc>
          <w:tcPr>
            <w:tcW w:w="0" w:type="dxa"/>
            <w:vAlign w:val="bottom"/>
          </w:tcPr>
          <w:p>
            <w:pPr>
              <w:spacing w:after="0"/>
              <w:rPr>
                <w:sz w:val="1"/>
                <w:szCs w:val="1"/>
                <w:color w:val="auto"/>
              </w:rPr>
            </w:pPr>
          </w:p>
        </w:tc>
      </w:tr>
      <w:tr>
        <w:trPr>
          <w:trHeight w:val="168"/>
        </w:trPr>
        <w:tc>
          <w:tcPr>
            <w:tcW w:w="44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0"/>
              </w:rPr>
              <w:t>Weighted average common shares outstanding, as adjusted</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55,730,883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54,705,273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55,384,942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54,807,170</w:t>
            </w:r>
          </w:p>
        </w:tc>
        <w:tc>
          <w:tcPr>
            <w:tcW w:w="0" w:type="dxa"/>
            <w:vAlign w:val="bottom"/>
          </w:tcPr>
          <w:p>
            <w:pPr>
              <w:spacing w:after="0"/>
              <w:rPr>
                <w:sz w:val="1"/>
                <w:szCs w:val="1"/>
                <w:color w:val="auto"/>
              </w:rPr>
            </w:pPr>
          </w:p>
        </w:tc>
      </w:tr>
      <w:tr>
        <w:trPr>
          <w:trHeight w:val="203"/>
        </w:trPr>
        <w:tc>
          <w:tcPr>
            <w:tcW w:w="44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for diluted earnings per share calculation</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Basic earnings per common share</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0.54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 earnings per common share</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0.53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399"/>
        <w:spacing w:after="0" w:line="261" w:lineRule="auto"/>
        <w:rPr>
          <w:sz w:val="20"/>
          <w:szCs w:val="20"/>
          <w:color w:val="auto"/>
        </w:rPr>
      </w:pPr>
      <w:r>
        <w:rPr>
          <w:rFonts w:ascii="Arial" w:cs="Arial" w:eastAsia="Arial" w:hAnsi="Arial"/>
          <w:sz w:val="18"/>
          <w:szCs w:val="18"/>
          <w:color w:val="auto"/>
        </w:rPr>
        <w:t>Shares that were excluded from the computation of diluted earnings per common share because their effect would have been anti-dilutive are summarized in the table below for the periods presented:</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June 30,</w:t>
            </w: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55"/>
        </w:trPr>
        <w:tc>
          <w:tcPr>
            <w:tcW w:w="510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5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Anti-dilutive common stock equivalents</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5100" w:type="dxa"/>
            <w:vAlign w:val="bottom"/>
          </w:tcPr>
          <w:p>
            <w:pPr>
              <w:ind w:left="220"/>
              <w:spacing w:after="0" w:line="202" w:lineRule="exact"/>
              <w:rPr>
                <w:sz w:val="20"/>
                <w:szCs w:val="20"/>
                <w:color w:val="auto"/>
              </w:rPr>
            </w:pPr>
            <w:r>
              <w:rPr>
                <w:rFonts w:ascii="Arial" w:cs="Arial" w:eastAsia="Arial" w:hAnsi="Arial"/>
                <w:sz w:val="18"/>
                <w:szCs w:val="18"/>
                <w:color w:val="auto"/>
              </w:rPr>
              <w:t>Options</w:t>
            </w: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39,525</w:t>
            </w:r>
          </w:p>
        </w:tc>
        <w:tc>
          <w:tcPr>
            <w:tcW w:w="16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39,525</w:t>
            </w: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RSU and DSU awards</w:t>
            </w: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367,468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121,698</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367,121</w:t>
            </w:r>
          </w:p>
        </w:tc>
      </w:tr>
      <w:tr>
        <w:trPr>
          <w:trHeight w:val="203"/>
        </w:trPr>
        <w:tc>
          <w:tcPr>
            <w:tcW w:w="5100" w:type="dxa"/>
            <w:vAlign w:val="bottom"/>
          </w:tcPr>
          <w:p>
            <w:pPr>
              <w:ind w:left="220"/>
              <w:spacing w:after="0" w:line="202" w:lineRule="exact"/>
              <w:rPr>
                <w:sz w:val="20"/>
                <w:szCs w:val="20"/>
                <w:color w:val="auto"/>
              </w:rPr>
            </w:pPr>
            <w:r>
              <w:rPr>
                <w:rFonts w:ascii="Arial" w:cs="Arial" w:eastAsia="Arial" w:hAnsi="Arial"/>
                <w:sz w:val="18"/>
                <w:szCs w:val="18"/>
                <w:color w:val="auto"/>
              </w:rPr>
              <w:t>PSU awards</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86,080</w:t>
            </w:r>
          </w:p>
        </w:tc>
        <w:tc>
          <w:tcPr>
            <w:tcW w:w="16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100,482</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anti-dilutive common stock equivalents</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86,080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406,993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222,180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406,646</w:t>
            </w:r>
          </w:p>
        </w:tc>
      </w:tr>
      <w:tr>
        <w:trPr>
          <w:trHeight w:val="20"/>
        </w:trPr>
        <w:tc>
          <w:tcPr>
            <w:tcW w:w="5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Accumulated Other Comprehensive Income (Loss)</w:t>
      </w:r>
    </w:p>
    <w:p>
      <w:pPr>
        <w:spacing w:after="0" w:line="202" w:lineRule="exact"/>
        <w:rPr>
          <w:sz w:val="20"/>
          <w:szCs w:val="20"/>
          <w:color w:val="auto"/>
        </w:rPr>
      </w:pPr>
    </w:p>
    <w:p>
      <w:pPr>
        <w:ind w:left="60" w:right="299"/>
        <w:spacing w:after="0" w:line="261" w:lineRule="auto"/>
        <w:rPr>
          <w:sz w:val="20"/>
          <w:szCs w:val="20"/>
          <w:color w:val="auto"/>
        </w:rPr>
      </w:pPr>
      <w:r>
        <w:rPr>
          <w:rFonts w:ascii="Arial" w:cs="Arial" w:eastAsia="Arial" w:hAnsi="Arial"/>
          <w:sz w:val="18"/>
          <w:szCs w:val="18"/>
          <w:color w:val="auto"/>
        </w:rPr>
        <w:t xml:space="preserve">The following tables represent changes in accumulated other comprehensive income (loss) by component, net of tax, for the periods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Unrealized gains (losses) on debt securities</w:t>
            </w:r>
          </w:p>
        </w:tc>
        <w:tc>
          <w:tcPr>
            <w:tcW w:w="1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Before Tax</w:t>
            </w:r>
          </w:p>
        </w:tc>
        <w:tc>
          <w:tcPr>
            <w:tcW w:w="10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2"/>
              </w:rPr>
              <w:t>Tax Effect</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Net of Tax</w:t>
            </w: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Before Tax</w:t>
            </w: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2"/>
              </w:rPr>
              <w:t>Tax Effect</w:t>
            </w:r>
          </w:p>
        </w:tc>
        <w:tc>
          <w:tcPr>
            <w:tcW w:w="12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Net of Tax</w:t>
            </w:r>
          </w:p>
        </w:tc>
        <w:tc>
          <w:tcPr>
            <w:tcW w:w="0" w:type="dxa"/>
            <w:vAlign w:val="bottom"/>
          </w:tcPr>
          <w:p>
            <w:pPr>
              <w:spacing w:after="0"/>
              <w:rPr>
                <w:sz w:val="1"/>
                <w:szCs w:val="1"/>
                <w:color w:val="auto"/>
              </w:rPr>
            </w:pPr>
          </w:p>
        </w:tc>
      </w:tr>
      <w:tr>
        <w:trPr>
          <w:trHeight w:val="164"/>
        </w:trPr>
        <w:tc>
          <w:tcPr>
            <w:tcW w:w="408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available for sale</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7,547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49,722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5"/>
              </w:rPr>
              <w:t>(14,173)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80" w:type="dxa"/>
            <w:vAlign w:val="bottom"/>
          </w:tcPr>
          <w:p>
            <w:pPr>
              <w:ind w:left="220"/>
              <w:spacing w:after="0" w:line="189" w:lineRule="exact"/>
              <w:rPr>
                <w:sz w:val="20"/>
                <w:szCs w:val="20"/>
                <w:color w:val="auto"/>
              </w:rPr>
            </w:pPr>
            <w:r>
              <w:rPr>
                <w:rFonts w:ascii="Arial" w:cs="Arial" w:eastAsia="Arial" w:hAnsi="Arial"/>
                <w:sz w:val="18"/>
                <w:szCs w:val="18"/>
                <w:color w:val="auto"/>
              </w:rPr>
              <w:t>Unrealized holding gains (losses) on debt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220"/>
              <w:spacing w:after="0"/>
              <w:rPr>
                <w:sz w:val="20"/>
                <w:szCs w:val="20"/>
                <w:color w:val="auto"/>
              </w:rPr>
            </w:pPr>
            <w:r>
              <w:rPr>
                <w:rFonts w:ascii="Arial" w:cs="Arial" w:eastAsia="Arial" w:hAnsi="Arial"/>
                <w:sz w:val="18"/>
                <w:szCs w:val="18"/>
                <w:color w:val="auto"/>
              </w:rPr>
              <w:t>securities available for sale, net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Amounts reclassified from accumulated other</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 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17,013</w:t>
            </w: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55,436</w:t>
            </w: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(15,802)</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Unrealized gains (losses) on cash flow hedges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80" w:type="dxa"/>
            <w:vAlign w:val="bottom"/>
          </w:tcPr>
          <w:p>
            <w:pPr>
              <w:ind w:left="220"/>
              <w:spacing w:after="0" w:line="189" w:lineRule="exact"/>
              <w:rPr>
                <w:sz w:val="20"/>
                <w:szCs w:val="20"/>
                <w:color w:val="auto"/>
              </w:rPr>
            </w:pPr>
            <w:r>
              <w:rPr>
                <w:rFonts w:ascii="Arial" w:cs="Arial" w:eastAsia="Arial" w:hAnsi="Arial"/>
                <w:sz w:val="18"/>
                <w:szCs w:val="18"/>
                <w:color w:val="auto"/>
              </w:rPr>
              <w:t>Unrealized holding gains (losses) on cash flow</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220"/>
              <w:spacing w:after="0"/>
              <w:rPr>
                <w:sz w:val="20"/>
                <w:szCs w:val="20"/>
                <w:color w:val="auto"/>
              </w:rPr>
            </w:pPr>
            <w:r>
              <w:rPr>
                <w:rFonts w:ascii="Arial" w:cs="Arial" w:eastAsia="Arial" w:hAnsi="Arial"/>
                <w:sz w:val="18"/>
                <w:szCs w:val="18"/>
                <w:color w:val="auto"/>
              </w:rPr>
              <w:t>hedges, net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Amounts reclassified from accumulated other</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(3,633)</w:t>
            </w: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Total accumulated other comprehensive income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15,001</w:t>
            </w:r>
          </w:p>
        </w:tc>
        <w:tc>
          <w:tcPr>
            <w:tcW w:w="4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(4,276)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51,803</w:t>
            </w:r>
          </w:p>
        </w:tc>
        <w:tc>
          <w:tcPr>
            <w:tcW w:w="4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5"/>
              </w:rPr>
              <w:t>(14,766)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(loss)</w:t>
            </w:r>
          </w:p>
        </w:tc>
        <w:tc>
          <w:tcPr>
            <w:tcW w:w="1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Unrealized gains (losses) on debt securities</w:t>
            </w:r>
          </w:p>
        </w:tc>
        <w:tc>
          <w:tcPr>
            <w:tcW w:w="10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w w:val="91"/>
              </w:rPr>
              <w:t>Before Tax</w:t>
            </w:r>
          </w:p>
        </w:tc>
        <w:tc>
          <w:tcPr>
            <w:tcW w:w="100" w:type="dxa"/>
            <w:vAlign w:val="bottom"/>
          </w:tcPr>
          <w:p>
            <w:pPr>
              <w:spacing w:after="0"/>
              <w:rPr>
                <w:sz w:val="13"/>
                <w:szCs w:val="13"/>
                <w:color w:val="auto"/>
              </w:rPr>
            </w:pPr>
          </w:p>
        </w:tc>
        <w:tc>
          <w:tcPr>
            <w:tcW w:w="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8"/>
              </w:rPr>
              <w:t>Tax Effect</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Net of Tax</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w w:val="91"/>
              </w:rPr>
              <w:t>Before Tax</w:t>
            </w:r>
          </w:p>
        </w:tc>
        <w:tc>
          <w:tcPr>
            <w:tcW w:w="100" w:type="dxa"/>
            <w:vAlign w:val="bottom"/>
          </w:tcPr>
          <w:p>
            <w:pPr>
              <w:spacing w:after="0"/>
              <w:rPr>
                <w:sz w:val="13"/>
                <w:szCs w:val="13"/>
                <w:color w:val="auto"/>
              </w:rPr>
            </w:pPr>
          </w:p>
        </w:tc>
        <w:tc>
          <w:tcPr>
            <w:tcW w:w="6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5"/>
              </w:rPr>
              <w:t>Tax Effect</w:t>
            </w:r>
          </w:p>
        </w:tc>
        <w:tc>
          <w:tcPr>
            <w:tcW w:w="1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Net of Tax</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12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available for sale</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49,644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5"/>
              </w:rPr>
              <w:t>(14,151)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35,493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21,192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(6,032)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20" w:type="dxa"/>
            <w:vAlign w:val="bottom"/>
          </w:tcPr>
          <w:p>
            <w:pPr>
              <w:ind w:left="220"/>
              <w:spacing w:after="0" w:line="189" w:lineRule="exact"/>
              <w:rPr>
                <w:sz w:val="20"/>
                <w:szCs w:val="20"/>
                <w:color w:val="auto"/>
              </w:rPr>
            </w:pPr>
            <w:r>
              <w:rPr>
                <w:rFonts w:ascii="Arial" w:cs="Arial" w:eastAsia="Arial" w:hAnsi="Arial"/>
                <w:sz w:val="18"/>
                <w:szCs w:val="18"/>
                <w:color w:val="auto"/>
              </w:rPr>
              <w:t>Unrealized holding gains (losses) on debt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220"/>
              <w:spacing w:after="0"/>
              <w:rPr>
                <w:sz w:val="20"/>
                <w:szCs w:val="20"/>
                <w:color w:val="auto"/>
              </w:rPr>
            </w:pPr>
            <w:r>
              <w:rPr>
                <w:rFonts w:ascii="Arial" w:cs="Arial" w:eastAsia="Arial" w:hAnsi="Arial"/>
                <w:sz w:val="18"/>
                <w:szCs w:val="18"/>
                <w:color w:val="auto"/>
              </w:rPr>
              <w:t>securities available for sale, net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(32,603)</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(23,310)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(10,259)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1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Amounts reclassified from accumulated other</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 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17,013</w:t>
            </w: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12,163</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55,436</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(15,802)</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Unrealized gains (losses) on cash flow hedges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20" w:type="dxa"/>
            <w:vAlign w:val="bottom"/>
          </w:tcPr>
          <w:p>
            <w:pPr>
              <w:ind w:left="220"/>
              <w:spacing w:after="0" w:line="189" w:lineRule="exact"/>
              <w:rPr>
                <w:sz w:val="20"/>
                <w:szCs w:val="20"/>
                <w:color w:val="auto"/>
              </w:rPr>
            </w:pPr>
            <w:r>
              <w:rPr>
                <w:rFonts w:ascii="Arial" w:cs="Arial" w:eastAsia="Arial" w:hAnsi="Arial"/>
                <w:sz w:val="18"/>
                <w:szCs w:val="18"/>
                <w:color w:val="auto"/>
              </w:rPr>
              <w:t>Unrealized holding gains (losses) on cash flow</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220"/>
              <w:spacing w:after="0"/>
              <w:rPr>
                <w:sz w:val="20"/>
                <w:szCs w:val="20"/>
                <w:color w:val="auto"/>
              </w:rPr>
            </w:pPr>
            <w:r>
              <w:rPr>
                <w:rFonts w:ascii="Arial" w:cs="Arial" w:eastAsia="Arial" w:hAnsi="Arial"/>
                <w:sz w:val="18"/>
                <w:szCs w:val="18"/>
                <w:color w:val="auto"/>
              </w:rPr>
              <w:t>hedges, net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188"/>
        </w:trPr>
        <w:tc>
          <w:tcPr>
            <w:tcW w:w="41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Amounts reclassified from accumulated other</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(3,633)</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1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Total accumulated other comprehensive income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15,001</w:t>
            </w:r>
          </w:p>
        </w:tc>
        <w:tc>
          <w:tcPr>
            <w:tcW w:w="4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(4,276)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51,803</w:t>
            </w:r>
          </w:p>
        </w:tc>
        <w:tc>
          <w:tcPr>
            <w:tcW w:w="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5"/>
              </w:rPr>
              <w:t>(14,766)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(loss)</w:t>
            </w:r>
          </w:p>
        </w:tc>
        <w:tc>
          <w:tcPr>
            <w:tcW w:w="1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Operating Segments and Related Information</w:t>
      </w:r>
    </w:p>
    <w:p>
      <w:pPr>
        <w:spacing w:after="0" w:line="202" w:lineRule="exact"/>
        <w:rPr>
          <w:sz w:val="20"/>
          <w:szCs w:val="20"/>
          <w:color w:val="auto"/>
        </w:rPr>
      </w:pPr>
    </w:p>
    <w:p>
      <w:pPr>
        <w:ind w:left="60" w:right="179"/>
        <w:spacing w:after="0" w:line="266" w:lineRule="auto"/>
        <w:rPr>
          <w:sz w:val="20"/>
          <w:szCs w:val="20"/>
          <w:color w:val="auto"/>
        </w:rPr>
      </w:pPr>
      <w:r>
        <w:rPr>
          <w:rFonts w:ascii="Arial" w:cs="Arial" w:eastAsia="Arial" w:hAnsi="Arial"/>
          <w:sz w:val="16"/>
          <w:szCs w:val="16"/>
          <w:color w:val="auto"/>
        </w:rPr>
        <w:t>The Company has three reportable operating segments: Banking, Remittance Processing, and Wealth Management. The Banking operating segment provides a full range of banking services to individual and corporate customers through its banking center network in Illinois; the St. Louis, Missouri metropolitan area; southwest Florida; and through its banking center in Indianapolis, Indiana. Banking services for Busey Bank and GSB are aggregated into the Banking operating segment as they have similar operations and activities. The Remittance Processing operating segment provides solutions for online bill payments, lockbox, and walk-in payments. The Wealth Management operating segment provides a full range of asset management, investment, brokerage, fiduciary, philanthropic advisory, tax preparation, and farm management services to individuals, businesses, and foundations. Wealth Management services for Busey Bank and GSB are aggregated into the Wealth Management operating segment as they have similar operations and activities.</w:t>
      </w:r>
    </w:p>
    <w:p>
      <w:pPr>
        <w:spacing w:after="0" w:line="3"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The Company’s three operating segments are strategic business units that are separately managed as they offer different products and services and have different marketing strategies. The “other” category consists of the Parent Company, First Busey Risk Management, and the elimination of intercompany transactions.</w:t>
      </w:r>
    </w:p>
    <w:p>
      <w:pPr>
        <w:spacing w:after="0" w:line="176"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w:t>
      </w:r>
      <w:r>
        <w:rPr>
          <w:rFonts w:ascii="Arial" w:cs="Arial" w:eastAsia="Arial" w:hAnsi="Arial"/>
          <w:sz w:val="16"/>
          <w:szCs w:val="16"/>
          <w:i w:val="1"/>
          <w:iCs w:val="1"/>
          <w:color w:val="auto"/>
        </w:rPr>
        <w:t>Note 1. Significant Accounting Policies</w:t>
      </w:r>
      <w:r>
        <w:rPr>
          <w:rFonts w:ascii="Arial" w:cs="Arial" w:eastAsia="Arial" w:hAnsi="Arial"/>
          <w:sz w:val="16"/>
          <w:szCs w:val="16"/>
          <w:color w:val="auto"/>
        </w:rPr>
        <w:t>” to the Company’s 2020 Annual Report. The Company accounts for intersegment revenue and transfers at current market value.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Following is a summary of selected financial information for the Company’s operating segments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w w:val="94"/>
              </w:rPr>
              <w:t>Goodwill</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Total Assets</w:t>
            </w: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1"/>
              </w:rPr>
              <w:t>As of</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6"/>
          </w:tcPr>
          <w:p>
            <w:pPr>
              <w:jc w:val="right"/>
              <w:ind w:right="150"/>
              <w:spacing w:after="0" w:line="155" w:lineRule="exact"/>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gridSpan w:val="2"/>
          </w:tcPr>
          <w:p>
            <w:pPr>
              <w:jc w:val="center"/>
              <w:ind w:left="19"/>
              <w:spacing w:after="0" w:line="133"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7"/>
          </w:tcPr>
          <w:p>
            <w:pPr>
              <w:ind w:left="14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1"/>
                <w:szCs w:val="11"/>
                <w:color w:val="auto"/>
              </w:rPr>
            </w:pPr>
          </w:p>
        </w:tc>
        <w:tc>
          <w:tcPr>
            <w:tcW w:w="1140" w:type="dxa"/>
            <w:vAlign w:val="bottom"/>
            <w:gridSpan w:val="6"/>
          </w:tcPr>
          <w:p>
            <w:pPr>
              <w:jc w:val="right"/>
              <w:ind w:right="420"/>
              <w:spacing w:after="0" w:line="133"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4"/>
          </w:tcPr>
          <w:p>
            <w:pPr>
              <w:jc w:val="right"/>
              <w:ind w:right="12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3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segment</w:t>
            </w:r>
          </w:p>
        </w:tc>
        <w:tc>
          <w:tcPr>
            <w:tcW w:w="198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71"/>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2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Banking</w:t>
            </w:r>
          </w:p>
        </w:tc>
        <w:tc>
          <w:tcPr>
            <w:tcW w:w="2080" w:type="dxa"/>
            <w:vAlign w:val="bottom"/>
            <w:gridSpan w:val="4"/>
            <w:shd w:val="clear" w:color="auto" w:fill="CCEEFF"/>
          </w:tcPr>
          <w:p>
            <w:pPr>
              <w:jc w:val="center"/>
              <w:ind w:left="1252"/>
              <w:spacing w:after="0" w:line="202" w:lineRule="exact"/>
              <w:rPr>
                <w:sz w:val="20"/>
                <w:szCs w:val="20"/>
                <w:color w:val="auto"/>
              </w:rPr>
            </w:pPr>
            <w:r>
              <w:rPr>
                <w:rFonts w:ascii="Arial" w:cs="Arial" w:eastAsia="Arial" w:hAnsi="Arial"/>
                <w:sz w:val="18"/>
                <w:szCs w:val="18"/>
                <w:color w:val="auto"/>
                <w:w w:val="92"/>
              </w:rPr>
              <w:t>$ 294,421</w:t>
            </w:r>
          </w:p>
        </w:tc>
        <w:tc>
          <w:tcPr>
            <w:tcW w:w="42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288,436</w:t>
            </w:r>
          </w:p>
        </w:tc>
        <w:tc>
          <w:tcPr>
            <w:tcW w:w="116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$ 12,301,878</w:t>
            </w:r>
          </w:p>
        </w:tc>
        <w:tc>
          <w:tcPr>
            <w:tcW w:w="14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w w:val="91"/>
              </w:rPr>
              <w:t>$ 10,462,673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20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8,992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8,992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46,761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46,553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20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14,108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14,108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63,529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46,504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3,281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(11,683)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Consolidated total</w:t>
            </w:r>
          </w:p>
        </w:tc>
        <w:tc>
          <w:tcPr>
            <w:tcW w:w="13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gridSpan w:val="3"/>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$ 317,521</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311,536</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$ 12,415,449</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$ 10,544,047</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13"/>
          </w:tcPr>
          <w:p>
            <w:pPr>
              <w:spacing w:after="0"/>
              <w:rPr>
                <w:sz w:val="20"/>
                <w:szCs w:val="20"/>
                <w:color w:val="auto"/>
              </w:rPr>
            </w:pPr>
            <w:r>
              <w:rPr>
                <w:rFonts w:ascii="Arial" w:cs="Arial" w:eastAsia="Arial" w:hAnsi="Arial"/>
                <w:sz w:val="14"/>
                <w:szCs w:val="14"/>
                <w:b w:val="1"/>
                <w:bCs w:val="1"/>
                <w:color w:val="auto"/>
                <w:w w:val="97"/>
              </w:rPr>
              <w:t>Three Months Ended June 30,</w:t>
            </w:r>
          </w:p>
        </w:tc>
        <w:tc>
          <w:tcPr>
            <w:tcW w:w="80" w:type="dxa"/>
            <w:vAlign w:val="bottom"/>
          </w:tcPr>
          <w:p>
            <w:pPr>
              <w:spacing w:after="0"/>
              <w:rPr>
                <w:sz w:val="24"/>
                <w:szCs w:val="24"/>
                <w:color w:val="auto"/>
              </w:rPr>
            </w:pPr>
          </w:p>
        </w:tc>
        <w:tc>
          <w:tcPr>
            <w:tcW w:w="1800" w:type="dxa"/>
            <w:vAlign w:val="bottom"/>
            <w:gridSpan w:val="9"/>
          </w:tcPr>
          <w:p>
            <w:pPr>
              <w:jc w:val="right"/>
              <w:ind w:right="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56"/>
        </w:trPr>
        <w:tc>
          <w:tcPr>
            <w:tcW w:w="3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1660" w:type="dxa"/>
            <w:vAlign w:val="bottom"/>
            <w:gridSpan w:val="2"/>
          </w:tcPr>
          <w:p>
            <w:pPr>
              <w:spacing w:after="0"/>
              <w:rPr>
                <w:sz w:val="13"/>
                <w:szCs w:val="13"/>
                <w:color w:val="auto"/>
              </w:rPr>
            </w:pPr>
          </w:p>
        </w:tc>
        <w:tc>
          <w:tcPr>
            <w:tcW w:w="620" w:type="dxa"/>
            <w:vAlign w:val="bottom"/>
            <w:tcBorders>
              <w:top w:val="single" w:sz="8" w:color="auto"/>
              <w:bottom w:val="single" w:sz="8" w:color="auto"/>
            </w:tcBorders>
            <w:gridSpan w:val="4"/>
          </w:tcPr>
          <w:p>
            <w:pPr>
              <w:ind w:left="300"/>
              <w:spacing w:after="0" w:line="155" w:lineRule="exact"/>
              <w:rPr>
                <w:sz w:val="20"/>
                <w:szCs w:val="20"/>
                <w:color w:val="auto"/>
              </w:rPr>
            </w:pPr>
            <w:r>
              <w:rPr>
                <w:rFonts w:ascii="Arial" w:cs="Arial" w:eastAsia="Arial" w:hAnsi="Arial"/>
                <w:sz w:val="14"/>
                <w:szCs w:val="14"/>
                <w:b w:val="1"/>
                <w:bCs w:val="1"/>
                <w:color w:val="auto"/>
                <w:w w:val="96"/>
              </w:rPr>
              <w:t>2021</w:t>
            </w: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2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Banking</w:t>
            </w:r>
          </w:p>
        </w:tc>
        <w:tc>
          <w:tcPr>
            <w:tcW w:w="1980" w:type="dxa"/>
            <w:vAlign w:val="bottom"/>
            <w:gridSpan w:val="3"/>
            <w:shd w:val="clear" w:color="auto" w:fill="CCEEFF"/>
          </w:tcPr>
          <w:p>
            <w:pPr>
              <w:jc w:val="center"/>
              <w:ind w:left="1352"/>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68,250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73,318</w:t>
            </w:r>
          </w:p>
        </w:tc>
        <w:tc>
          <w:tcPr>
            <w:tcW w:w="6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$ 136,705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144,891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6"/>
          </w:tcPr>
          <w:p>
            <w:pPr>
              <w:jc w:val="right"/>
              <w:ind w:right="40"/>
              <w:spacing w:after="0" w:line="202" w:lineRule="exact"/>
              <w:rPr>
                <w:sz w:val="20"/>
                <w:szCs w:val="20"/>
                <w:color w:val="auto"/>
              </w:rPr>
            </w:pPr>
            <w:r>
              <w:rPr>
                <w:rFonts w:ascii="Arial" w:cs="Arial" w:eastAsia="Arial" w:hAnsi="Arial"/>
                <w:sz w:val="18"/>
                <w:szCs w:val="18"/>
                <w:color w:val="auto"/>
                <w:w w:val="91"/>
              </w:rPr>
              <w:t>(3,729)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(2,524)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(7,311)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(4,683)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net interest income</w:t>
            </w:r>
          </w:p>
        </w:tc>
        <w:tc>
          <w:tcPr>
            <w:tcW w:w="16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center"/>
              <w:ind w:right="136"/>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64,542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70,813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$ 129,435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140,246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Non-interest income</w:t>
            </w: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42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Banking</w:t>
            </w:r>
          </w:p>
        </w:tc>
        <w:tc>
          <w:tcPr>
            <w:tcW w:w="1980" w:type="dxa"/>
            <w:vAlign w:val="bottom"/>
            <w:gridSpan w:val="3"/>
            <w:shd w:val="clear" w:color="auto" w:fill="CCEEFF"/>
          </w:tcPr>
          <w:p>
            <w:pPr>
              <w:jc w:val="center"/>
              <w:ind w:left="1352"/>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14,938</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14,026</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27,822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4,809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3,962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9,670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8,031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13,000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10,310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25,587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w w:val="90"/>
              </w:rPr>
              <w:t>(334)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(1,763)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non-interest income</w:t>
            </w:r>
          </w:p>
        </w:tc>
        <w:tc>
          <w:tcPr>
            <w:tcW w:w="16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center"/>
              <w:ind w:right="136"/>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33,011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27,964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64,456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55,481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42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Banking</w:t>
            </w:r>
          </w:p>
        </w:tc>
        <w:tc>
          <w:tcPr>
            <w:tcW w:w="1980" w:type="dxa"/>
            <w:vAlign w:val="bottom"/>
            <w:gridSpan w:val="3"/>
            <w:shd w:val="clear" w:color="auto" w:fill="CCEEFF"/>
          </w:tcPr>
          <w:p>
            <w:pPr>
              <w:jc w:val="center"/>
              <w:ind w:left="1352"/>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48,421</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41,659</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90,512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4,277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3,243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8,567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6,717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6,254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13,282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3,210</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1,912</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4,763</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non-interest expense</w:t>
            </w:r>
          </w:p>
        </w:tc>
        <w:tc>
          <w:tcPr>
            <w:tcW w:w="166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center"/>
              <w:ind w:right="136"/>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62,625</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53,068</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$ 117,124</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113,582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42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Banking</w:t>
            </w:r>
          </w:p>
        </w:tc>
        <w:tc>
          <w:tcPr>
            <w:tcW w:w="1980" w:type="dxa"/>
            <w:vAlign w:val="bottom"/>
            <w:gridSpan w:val="3"/>
            <w:shd w:val="clear" w:color="auto" w:fill="CCEEFF"/>
          </w:tcPr>
          <w:p>
            <w:pPr>
              <w:jc w:val="center"/>
              <w:ind w:left="1352"/>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36,467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32,794</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82,511</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51,804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553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6,283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4,056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12,305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6"/>
          </w:tcPr>
          <w:p>
            <w:pPr>
              <w:jc w:val="right"/>
              <w:ind w:right="40"/>
              <w:spacing w:after="0" w:line="202" w:lineRule="exact"/>
              <w:rPr>
                <w:sz w:val="20"/>
                <w:szCs w:val="20"/>
                <w:color w:val="auto"/>
              </w:rPr>
            </w:pPr>
            <w:r>
              <w:rPr>
                <w:rFonts w:ascii="Arial" w:cs="Arial" w:eastAsia="Arial" w:hAnsi="Arial"/>
                <w:sz w:val="18"/>
                <w:szCs w:val="18"/>
                <w:color w:val="auto"/>
                <w:w w:val="91"/>
              </w:rPr>
              <w:t>(6,675)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(4,770)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(10,697)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(10,480)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income before income taxes</w:t>
            </w:r>
          </w:p>
        </w:tc>
        <w:tc>
          <w:tcPr>
            <w:tcW w:w="16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center"/>
              <w:ind w:right="136"/>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36,628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32,818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85,263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52,038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42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Banking</w:t>
            </w:r>
          </w:p>
        </w:tc>
        <w:tc>
          <w:tcPr>
            <w:tcW w:w="1980" w:type="dxa"/>
            <w:vAlign w:val="bottom"/>
            <w:gridSpan w:val="3"/>
            <w:shd w:val="clear" w:color="auto" w:fill="CCEEFF"/>
          </w:tcPr>
          <w:p>
            <w:pPr>
              <w:jc w:val="center"/>
              <w:ind w:left="1352"/>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29,238</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25,985</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64,766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401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4,884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3,082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9,566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6"/>
          </w:tcPr>
          <w:p>
            <w:pPr>
              <w:jc w:val="right"/>
              <w:ind w:right="40"/>
              <w:spacing w:after="0" w:line="202" w:lineRule="exact"/>
              <w:rPr>
                <w:sz w:val="20"/>
                <w:szCs w:val="20"/>
                <w:color w:val="auto"/>
              </w:rPr>
            </w:pPr>
            <w:r>
              <w:rPr>
                <w:rFonts w:ascii="Arial" w:cs="Arial" w:eastAsia="Arial" w:hAnsi="Arial"/>
                <w:sz w:val="18"/>
                <w:szCs w:val="18"/>
                <w:color w:val="auto"/>
                <w:w w:val="91"/>
              </w:rPr>
              <w:t>(4,757)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(3,789)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(7,580)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(7,808)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net income</w:t>
            </w:r>
          </w:p>
        </w:tc>
        <w:tc>
          <w:tcPr>
            <w:tcW w:w="16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center"/>
              <w:ind w:right="136"/>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29,766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25,806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67,582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41,170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vMerge w:val="restart"/>
          </w:tcPr>
          <w:p>
            <w:pPr>
              <w:jc w:val="right"/>
              <w:ind w:right="132"/>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Leases</w:t>
      </w:r>
    </w:p>
    <w:p>
      <w:pPr>
        <w:spacing w:after="0" w:line="202" w:lineRule="exact"/>
        <w:rPr>
          <w:sz w:val="20"/>
          <w:szCs w:val="20"/>
          <w:color w:val="auto"/>
        </w:rPr>
      </w:pPr>
    </w:p>
    <w:p>
      <w:pPr>
        <w:ind w:left="60" w:right="359"/>
        <w:spacing w:after="0" w:line="311" w:lineRule="auto"/>
        <w:rPr>
          <w:sz w:val="20"/>
          <w:szCs w:val="20"/>
          <w:color w:val="auto"/>
        </w:rPr>
      </w:pPr>
      <w:r>
        <w:rPr>
          <w:rFonts w:ascii="Arial" w:cs="Arial" w:eastAsia="Arial" w:hAnsi="Arial"/>
          <w:sz w:val="16"/>
          <w:szCs w:val="16"/>
          <w:color w:val="auto"/>
        </w:rPr>
        <w:t xml:space="preserve">The Company has operating leases consisting primarily of equipment leases and real estate leases for banking centers, ATM locations, and office space. The following table summarizes lease-related information and balances the Company reported in its unaudited Consolidated Balance Sheets for the periods presented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96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Lease balances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Right of use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7,714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20"/>
              <w:spacing w:after="0"/>
              <w:rPr>
                <w:sz w:val="20"/>
                <w:szCs w:val="20"/>
                <w:color w:val="auto"/>
              </w:rPr>
            </w:pPr>
            <w:r>
              <w:rPr>
                <w:rFonts w:ascii="Arial" w:cs="Arial" w:eastAsia="Arial" w:hAnsi="Arial"/>
                <w:sz w:val="18"/>
                <w:szCs w:val="18"/>
                <w:color w:val="auto"/>
              </w:rPr>
              <w:t>Lease liabilities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8,280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Year through which lease terms extend</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5.28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5.93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Weighted average discount rate</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2.38 %</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2.82 %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The following tables represents lease costs and other lease information for the periods presented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w w:val="99"/>
              </w:rPr>
              <w:t>Three Months Ended June 30,</w:t>
            </w:r>
          </w:p>
        </w:tc>
        <w:tc>
          <w:tcPr>
            <w:tcW w:w="188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Lease costs</w:t>
            </w: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Operating lease costs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Variable lease costs</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Short-term lease costs</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20"/>
              <w:spacing w:after="0" w:line="196" w:lineRule="exact"/>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750</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1,506</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related to leases</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Cash paid for amounts included in the measurement of lease</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Operating lease cash flows – Fixed payments</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590</w:t>
            </w:r>
          </w:p>
        </w:tc>
        <w:tc>
          <w:tcPr>
            <w:tcW w:w="1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612</w:t>
            </w:r>
          </w:p>
        </w:tc>
        <w:tc>
          <w:tcPr>
            <w:tcW w:w="1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1,136</w:t>
            </w:r>
          </w:p>
        </w:tc>
        <w:tc>
          <w:tcPr>
            <w:tcW w:w="1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Operating lease cash flows – Liability reduction</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020" w:type="dxa"/>
            <w:vAlign w:val="bottom"/>
          </w:tcPr>
          <w:p>
            <w:pPr>
              <w:ind w:left="20"/>
              <w:spacing w:after="0" w:line="178" w:lineRule="exact"/>
              <w:rPr>
                <w:sz w:val="20"/>
                <w:szCs w:val="20"/>
                <w:color w:val="auto"/>
              </w:rPr>
            </w:pPr>
            <w:r>
              <w:rPr>
                <w:rFonts w:ascii="Arial" w:cs="Arial" w:eastAsia="Arial" w:hAnsi="Arial"/>
                <w:sz w:val="18"/>
                <w:szCs w:val="18"/>
                <w:color w:val="auto"/>
              </w:rPr>
              <w:t>Right of use assets obtained during the period in exchange for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3"/>
        </w:trPr>
        <w:tc>
          <w:tcPr>
            <w:tcW w:w="5020" w:type="dxa"/>
            <w:vAlign w:val="bottom"/>
          </w:tcPr>
          <w:p>
            <w:pPr>
              <w:ind w:left="2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26"/>
                <w:szCs w:val="26"/>
                <w:color w:val="auto"/>
                <w:vertAlign w:val="superscript"/>
              </w:rPr>
              <w:t>(1)</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-10795</wp:posOffset>
            </wp:positionV>
            <wp:extent cx="14141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51" w:lineRule="exact"/>
        <w:rPr>
          <w:sz w:val="20"/>
          <w:szCs w:val="20"/>
          <w:color w:val="auto"/>
        </w:rPr>
      </w:pPr>
    </w:p>
    <w:p>
      <w:pPr>
        <w:ind w:left="480" w:hanging="322"/>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4"/>
          <w:szCs w:val="14"/>
          <w:color w:val="auto"/>
        </w:rPr>
        <w:t>The three and six months ended June 30, 2021, include $371 related to a lease obtained in the acquisition of CAC.</w:t>
      </w:r>
    </w:p>
    <w:p>
      <w:pPr>
        <w:spacing w:after="0" w:line="221" w:lineRule="exact"/>
        <w:rPr>
          <w:sz w:val="20"/>
          <w:szCs w:val="20"/>
          <w:color w:val="auto"/>
        </w:rPr>
      </w:pPr>
    </w:p>
    <w:p>
      <w:pPr>
        <w:ind w:left="60" w:right="239"/>
        <w:spacing w:after="0" w:line="284" w:lineRule="auto"/>
        <w:rPr>
          <w:sz w:val="20"/>
          <w:szCs w:val="20"/>
          <w:color w:val="auto"/>
        </w:rPr>
      </w:pPr>
      <w:r>
        <w:rPr>
          <w:rFonts w:ascii="Arial" w:cs="Arial" w:eastAsia="Arial" w:hAnsi="Arial"/>
          <w:sz w:val="16"/>
          <w:szCs w:val="16"/>
          <w:color w:val="auto"/>
        </w:rPr>
        <w:t>As of June 30, 2021, the Company was obligated under noncancelable operating leases for office space and other commitments. Rent expense under operating leases, included in net occupancy and equipment expense, was $0.8 million for the three months ended June 30, 2021 and 2020. Rent expense under operating leases, included in net occupancy and equipment expense, was $1.5 million and $1.6 million for the six months ended June 30, 2021 and 2020, respectively.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Rent commitments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15"/>
              <w:spacing w:after="0" w:line="133"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Rent commitments</w:t>
            </w:r>
          </w:p>
        </w:tc>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Remainder of 2021</w:t>
            </w:r>
          </w:p>
        </w:tc>
        <w:tc>
          <w:tcPr>
            <w:tcW w:w="394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20"/>
              <w:spacing w:after="0" w:line="202" w:lineRule="exact"/>
              <w:rPr>
                <w:sz w:val="20"/>
                <w:szCs w:val="20"/>
                <w:color w:val="auto"/>
              </w:rPr>
            </w:pPr>
            <w:r>
              <w:rPr>
                <w:rFonts w:ascii="Arial" w:cs="Arial" w:eastAsia="Arial" w:hAnsi="Arial"/>
                <w:sz w:val="18"/>
                <w:szCs w:val="18"/>
                <w:color w:val="auto"/>
              </w:rPr>
              <w:t>2022</w:t>
            </w:r>
          </w:p>
        </w:tc>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2023</w:t>
            </w:r>
          </w:p>
        </w:tc>
        <w:tc>
          <w:tcPr>
            <w:tcW w:w="3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20"/>
              <w:spacing w:after="0" w:line="202" w:lineRule="exact"/>
              <w:rPr>
                <w:sz w:val="20"/>
                <w:szCs w:val="20"/>
                <w:color w:val="auto"/>
              </w:rPr>
            </w:pPr>
            <w:r>
              <w:rPr>
                <w:rFonts w:ascii="Arial" w:cs="Arial" w:eastAsia="Arial" w:hAnsi="Arial"/>
                <w:sz w:val="18"/>
                <w:szCs w:val="18"/>
                <w:color w:val="auto"/>
              </w:rPr>
              <w:t>2024</w:t>
            </w:r>
          </w:p>
        </w:tc>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2025</w:t>
            </w:r>
          </w:p>
        </w:tc>
        <w:tc>
          <w:tcPr>
            <w:tcW w:w="3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20"/>
              <w:spacing w:after="0" w:line="202" w:lineRule="exact"/>
              <w:rPr>
                <w:sz w:val="20"/>
                <w:szCs w:val="20"/>
                <w:color w:val="auto"/>
              </w:rPr>
            </w:pPr>
            <w:r>
              <w:rPr>
                <w:rFonts w:ascii="Arial" w:cs="Arial" w:eastAsia="Arial" w:hAnsi="Arial"/>
                <w:sz w:val="18"/>
                <w:szCs w:val="18"/>
                <w:color w:val="auto"/>
              </w:rPr>
              <w:t>Thereafter</w:t>
            </w:r>
          </w:p>
        </w:tc>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Amounts representing interest</w:t>
            </w:r>
          </w:p>
        </w:tc>
        <w:tc>
          <w:tcPr>
            <w:tcW w:w="37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line="196" w:lineRule="exact"/>
              <w:rPr>
                <w:sz w:val="20"/>
                <w:szCs w:val="20"/>
                <w:color w:val="auto"/>
              </w:rPr>
            </w:pPr>
            <w:r>
              <w:rPr>
                <w:rFonts w:ascii="Arial" w:cs="Arial" w:eastAsia="Arial" w:hAnsi="Arial"/>
                <w:sz w:val="18"/>
                <w:szCs w:val="18"/>
                <w:color w:val="auto"/>
                <w:w w:val="96"/>
              </w:rPr>
              <w:t>Present value of net future minimum lease payments</w:t>
            </w:r>
          </w:p>
        </w:tc>
        <w:tc>
          <w:tcPr>
            <w:tcW w:w="378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780" w:type="dxa"/>
            <w:vAlign w:val="bottom"/>
            <w:vMerge w:val="restart"/>
          </w:tcPr>
          <w:p>
            <w:pPr>
              <w:jc w:val="right"/>
              <w:ind w:right="3210"/>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left="60" w:right="119"/>
        <w:spacing w:after="0" w:line="26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60" w:right="519"/>
        <w:spacing w:after="0" w:line="261" w:lineRule="auto"/>
        <w:rPr>
          <w:sz w:val="20"/>
          <w:szCs w:val="20"/>
          <w:color w:val="auto"/>
        </w:rPr>
      </w:pPr>
      <w:r>
        <w:rPr>
          <w:rFonts w:ascii="Arial" w:cs="Arial" w:eastAsia="Arial" w:hAnsi="Arial"/>
          <w:sz w:val="18"/>
          <w:szCs w:val="18"/>
          <w:color w:val="auto"/>
        </w:rPr>
        <w:t>First Busey is a $12.4 billion financial holding company headquartered in Champaign, Illinois. Our common stock is traded on The Nasdaq Global Select Market under the symbol “BUSE.”</w:t>
      </w:r>
    </w:p>
    <w:p>
      <w:pPr>
        <w:spacing w:after="0" w:line="157" w:lineRule="exact"/>
        <w:rPr>
          <w:sz w:val="20"/>
          <w:szCs w:val="20"/>
          <w:color w:val="auto"/>
        </w:rPr>
      </w:pPr>
    </w:p>
    <w:p>
      <w:pPr>
        <w:ind w:left="60" w:right="159"/>
        <w:spacing w:after="0" w:line="248" w:lineRule="auto"/>
        <w:rPr>
          <w:sz w:val="20"/>
          <w:szCs w:val="20"/>
          <w:color w:val="auto"/>
        </w:rPr>
      </w:pPr>
      <w:r>
        <w:rPr>
          <w:rFonts w:ascii="Arial" w:cs="Arial" w:eastAsia="Arial" w:hAnsi="Arial"/>
          <w:sz w:val="18"/>
          <w:szCs w:val="18"/>
          <w:color w:val="auto"/>
        </w:rPr>
        <w:t>Our three operating segments provide a full range of banking, remittance processing, and wealth management services through our subsidiaries, Busey Bank, GSB, and FirsTech, in Illinois; the St. Louis, Missouri metropolitan area; southwest Florida; and Indianapolis, Indiana.</w:t>
      </w:r>
    </w:p>
    <w:p>
      <w:pPr>
        <w:spacing w:after="0" w:line="168"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The following discussion and analysis are intended to assist readers in understanding the financial condition and results of operations of the Company during the three and six months ended June 30, 2021, and should be read in conjunction with the Company’s unaudited consolidated financial statements and notes thereto included in this Quarterly Report, as well as the Company’s 2020 Annual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SUMMARY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w:t>
      </w:r>
    </w:p>
    <w:p>
      <w:pPr>
        <w:spacing w:after="0" w:line="198"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Although the progression of the COVID-19 pandemic in the United States has impacted the Company’s results of operations, the Company continues to navigate the economic environment caused by COVID-19 effectively and prudently and remains resolute in its focus on serving its customers, communities, and associates while protecting its balance sheet. The Company remains vigilant, given that negative impacts of COVID-19, such as further margin compression and a deterioration in asset quality, could impact future quarters.</w:t>
      </w:r>
    </w:p>
    <w:p>
      <w:pPr>
        <w:spacing w:after="0" w:line="176" w:lineRule="exact"/>
        <w:rPr>
          <w:sz w:val="20"/>
          <w:szCs w:val="20"/>
          <w:color w:val="auto"/>
        </w:rPr>
      </w:pPr>
    </w:p>
    <w:p>
      <w:pPr>
        <w:ind w:left="60" w:right="59"/>
        <w:spacing w:after="0" w:line="248" w:lineRule="auto"/>
        <w:rPr>
          <w:sz w:val="20"/>
          <w:szCs w:val="20"/>
          <w:color w:val="auto"/>
        </w:rPr>
      </w:pPr>
      <w:r>
        <w:rPr>
          <w:rFonts w:ascii="Arial" w:cs="Arial" w:eastAsia="Arial" w:hAnsi="Arial"/>
          <w:sz w:val="18"/>
          <w:szCs w:val="18"/>
          <w:color w:val="auto"/>
        </w:rPr>
        <w:t>Our commercial and consumer banking products and services are delivered in Illinois, Missouri, Indiana, and Florida. Each state has taken different steps to reopen after COVID-19 thrust the country into lockdown starting in March 2020, and these efforts are subject to changes and delays based on case monitoring in each state.</w:t>
      </w:r>
    </w:p>
    <w:p>
      <w:pPr>
        <w:spacing w:after="0" w:line="168"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color w:val="auto"/>
        </w:rPr>
        <w:t>Federal, state, and local governments, and regulatory authorities have enacted and issued a range of policy responses to the COVID-19 pandemic. See the Company’s 2020 Annual Report for information on policy and regulatory actions taken during 2020. Regulatory actions taken during 2021 include the following:</w:t>
      </w:r>
    </w:p>
    <w:p>
      <w:pPr>
        <w:spacing w:after="0" w:line="168" w:lineRule="exact"/>
        <w:rPr>
          <w:sz w:val="20"/>
          <w:szCs w:val="20"/>
          <w:color w:val="auto"/>
        </w:rPr>
      </w:pPr>
    </w:p>
    <w:p>
      <w:pPr>
        <w:ind w:left="720" w:right="139" w:hanging="319"/>
        <w:spacing w:after="0" w:line="257"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March 11, 2021, President Biden signed the American Rescue Plan Act of 2021, a $1.9 trillion relief package providing a third round of Economic Impact Payments to millions of eligible Americans, expanding unemployment benefits and tax credits, providing additional assistance to small businesses, and creating a $10 billion homeowner assistance fund. This fund can be used toward delinquent mortgage payments and is intended to minimize foreclosures in the coming months. An additional $7.25 billion in PPP funding was provided, and eligibility criteria was expanded to include some non-profit organizations.</w:t>
      </w:r>
    </w:p>
    <w:p>
      <w:pPr>
        <w:spacing w:after="0" w:line="161" w:lineRule="exact"/>
        <w:rPr>
          <w:rFonts w:ascii="Arial" w:cs="Arial" w:eastAsia="Arial" w:hAnsi="Arial"/>
          <w:sz w:val="17"/>
          <w:szCs w:val="17"/>
          <w:color w:val="auto"/>
        </w:rPr>
      </w:pPr>
    </w:p>
    <w:p>
      <w:pPr>
        <w:ind w:left="720" w:right="79" w:hanging="319"/>
        <w:spacing w:after="0" w:line="24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30, 2021, President Biden signed the PPP Extension Act of 2021, which extended the PPP application deadline to May 31, 2021, or until funding was exhausted. PPP funding for loans originated by lenders other than community financial institutions was exhausted as of May 6, 2021. All PPP funding was exhausted as of May 28,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have taken, and continue to take, numerous steps in response to the COVID-19 pandemic, including the following:</w:t>
      </w:r>
    </w:p>
    <w:p>
      <w:pPr>
        <w:spacing w:after="0" w:line="210" w:lineRule="exact"/>
        <w:rPr>
          <w:sz w:val="20"/>
          <w:szCs w:val="20"/>
          <w:color w:val="auto"/>
        </w:rPr>
      </w:pPr>
    </w:p>
    <w:p>
      <w:pPr>
        <w:ind w:left="720" w:right="99" w:hanging="319"/>
        <w:spacing w:after="0" w:line="279"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First Busey offered a Financial Relief Program to qualifying customers designed to alleviate some of the financial hardships that they faced as a result of COVID-19. This program offered solutions for all types of customers— including retail, personal loan, and mortgage—as well as commercial clients and small businesses. The program included options for loan payment deferrals as well as certain fee waivers. As of June 30, 2021, the Company had 49 commercial loans remaining on payment deferrals representing $143.5 million in loans,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720" w:right="139"/>
        <w:spacing w:after="0" w:line="324" w:lineRule="auto"/>
        <w:rPr>
          <w:sz w:val="20"/>
          <w:szCs w:val="20"/>
          <w:color w:val="auto"/>
        </w:rPr>
      </w:pPr>
      <w:r>
        <w:rPr>
          <w:rFonts w:ascii="Arial" w:cs="Arial" w:eastAsia="Arial" w:hAnsi="Arial"/>
          <w:sz w:val="16"/>
          <w:szCs w:val="16"/>
          <w:color w:val="auto"/>
        </w:rPr>
        <w:t>consisting of $10.4 million in full payment deferrals and $133.1 million in interest only modifications. In addition, as of June 30, 2021, the Company had eight retail loans on payment deferrals representing $0.8 million.</w:t>
      </w:r>
    </w:p>
    <w:p>
      <w:pPr>
        <w:spacing w:after="0" w:line="111" w:lineRule="exact"/>
        <w:rPr>
          <w:sz w:val="20"/>
          <w:szCs w:val="20"/>
          <w:color w:val="auto"/>
        </w:rPr>
      </w:pPr>
    </w:p>
    <w:p>
      <w:pPr>
        <w:ind w:left="720" w:right="199" w:hanging="319"/>
        <w:spacing w:after="0" w:line="24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First Busey has served as a bridge for the PPP, actively helping existing and new business clients sign up for this important financial resource. The following table summarizes First Busey’s PPP loans as of June 30, 2021, </w:t>
      </w:r>
      <w:r>
        <w:rPr>
          <w:rFonts w:ascii="Arial" w:cs="Arial" w:eastAsia="Arial" w:hAnsi="Arial"/>
          <w:sz w:val="18"/>
          <w:szCs w:val="18"/>
          <w:i w:val="1"/>
          <w:iCs w:val="1"/>
          <w:color w:val="auto"/>
        </w:rPr>
        <w:t>(dollars in thousand)</w:t>
      </w:r>
      <w:r>
        <w:rPr>
          <w:rFonts w:ascii="Arial" w:cs="Arial" w:eastAsia="Arial" w:hAnsi="Arial"/>
          <w:sz w:val="18"/>
          <w:szCs w:val="18"/>
          <w:color w:val="auto"/>
        </w:rPr>
        <w:t>:</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CARES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Economic Aid</w:t>
            </w:r>
          </w:p>
        </w:tc>
        <w:tc>
          <w:tcPr>
            <w:tcW w:w="100" w:type="dxa"/>
            <w:vAlign w:val="bottom"/>
          </w:tcPr>
          <w:p>
            <w:pPr>
              <w:spacing w:after="0"/>
              <w:rPr>
                <w:sz w:val="14"/>
                <w:szCs w:val="1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b w:val="1"/>
                <w:bCs w:val="1"/>
                <w:color w:val="auto"/>
                <w:w w:val="97"/>
              </w:rPr>
              <w:t>PPP Loan</w:t>
            </w:r>
          </w:p>
        </w:tc>
      </w:tr>
      <w:tr>
        <w:trPr>
          <w:trHeight w:val="185"/>
        </w:trPr>
        <w:tc>
          <w:tcPr>
            <w:tcW w:w="2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Act</w:t>
            </w:r>
          </w:p>
        </w:tc>
        <w:tc>
          <w:tcPr>
            <w:tcW w:w="16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Act</w:t>
            </w:r>
          </w:p>
        </w:tc>
        <w:tc>
          <w:tcPr>
            <w:tcW w:w="100" w:type="dxa"/>
            <w:vAlign w:val="bottom"/>
          </w:tcPr>
          <w:p>
            <w:pPr>
              <w:spacing w:after="0"/>
              <w:rPr>
                <w:sz w:val="16"/>
                <w:szCs w:val="16"/>
                <w:color w:val="auto"/>
              </w:rPr>
            </w:pPr>
          </w:p>
        </w:tc>
        <w:tc>
          <w:tcPr>
            <w:tcW w:w="78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Totals</w:t>
            </w:r>
          </w:p>
        </w:tc>
      </w:tr>
      <w:tr>
        <w:trPr>
          <w:trHeight w:val="196"/>
        </w:trPr>
        <w:tc>
          <w:tcPr>
            <w:tcW w:w="4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Busey Bank customers with PPP loans processed</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4,569</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7,043</w:t>
            </w:r>
          </w:p>
        </w:tc>
      </w:tr>
      <w:tr>
        <w:trPr>
          <w:trHeight w:val="405"/>
        </w:trPr>
        <w:tc>
          <w:tcPr>
            <w:tcW w:w="4840" w:type="dxa"/>
            <w:vAlign w:val="bottom"/>
            <w:gridSpan w:val="2"/>
          </w:tcPr>
          <w:p>
            <w:pPr>
              <w:spacing w:after="0"/>
              <w:rPr>
                <w:sz w:val="20"/>
                <w:szCs w:val="20"/>
                <w:color w:val="auto"/>
              </w:rPr>
            </w:pPr>
            <w:r>
              <w:rPr>
                <w:rFonts w:ascii="Arial" w:cs="Arial" w:eastAsia="Arial" w:hAnsi="Arial"/>
                <w:sz w:val="18"/>
                <w:szCs w:val="18"/>
                <w:color w:val="auto"/>
              </w:rPr>
              <w:t>PPP loans originated by 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749,429</w:t>
            </w:r>
          </w:p>
        </w:tc>
        <w:tc>
          <w:tcPr>
            <w:tcW w:w="1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296,346</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1,045,775</w:t>
            </w:r>
          </w:p>
        </w:tc>
      </w:tr>
      <w:tr>
        <w:trPr>
          <w:trHeight w:val="203"/>
        </w:trPr>
        <w:tc>
          <w:tcPr>
            <w:tcW w:w="2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GSB customers with PPP loans acquired</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r>
      <w:tr>
        <w:trPr>
          <w:trHeight w:val="203"/>
        </w:trPr>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PPP loans acquired from GSB</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15,783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43,477</w:t>
            </w:r>
          </w:p>
        </w:tc>
      </w:tr>
      <w:tr>
        <w:trPr>
          <w:trHeight w:val="203"/>
        </w:trPr>
        <w:tc>
          <w:tcPr>
            <w:tcW w:w="2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Customers with PPP loans outstanding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3,104</w:t>
            </w: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PPP loans outstanding </w:t>
            </w:r>
            <w:r>
              <w:rPr>
                <w:rFonts w:ascii="Arial" w:cs="Arial" w:eastAsia="Arial" w:hAnsi="Arial"/>
                <w:sz w:val="23"/>
                <w:szCs w:val="23"/>
                <w:color w:val="auto"/>
                <w:vertAlign w:val="superscript"/>
              </w:rPr>
              <w:t>(1)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93,455</w:t>
            </w:r>
          </w:p>
        </w:tc>
        <w:tc>
          <w:tcPr>
            <w:tcW w:w="1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306,249</w:t>
            </w:r>
          </w:p>
        </w:tc>
        <w:tc>
          <w:tcPr>
            <w:tcW w:w="1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399,704</w:t>
            </w:r>
          </w:p>
        </w:tc>
      </w:tr>
      <w:tr>
        <w:trPr>
          <w:trHeight w:val="203"/>
        </w:trPr>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PPP loans outstanding, amortized cost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93,099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297,296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390,395</w:t>
            </w:r>
          </w:p>
        </w:tc>
      </w:tr>
      <w:tr>
        <w:trPr>
          <w:trHeight w:val="203"/>
        </w:trPr>
        <w:tc>
          <w:tcPr>
            <w:tcW w:w="2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PPP loan balance forgiveness: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48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Received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2"/>
              </w:rPr>
              <w:t>667,796</w:t>
            </w:r>
          </w:p>
        </w:tc>
        <w:tc>
          <w:tcPr>
            <w:tcW w:w="1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17,788</w:t>
            </w:r>
          </w:p>
        </w:tc>
        <w:tc>
          <w:tcPr>
            <w:tcW w:w="1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685,584</w:t>
            </w:r>
          </w:p>
        </w:tc>
      </w:tr>
      <w:tr>
        <w:trPr>
          <w:trHeight w:val="203"/>
        </w:trPr>
        <w:tc>
          <w:tcPr>
            <w:tcW w:w="48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Balances submitted to the SBA for forgiveness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18,652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20,891</w:t>
            </w:r>
          </w:p>
        </w:tc>
      </w:tr>
      <w:tr>
        <w:trPr>
          <w:trHeight w:val="115"/>
        </w:trPr>
        <w:tc>
          <w:tcPr>
            <w:tcW w:w="222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r>
    </w:tbl>
    <w:p>
      <w:pPr>
        <w:spacing w:after="0" w:line="62"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1"/>
          <w:szCs w:val="11"/>
          <w:color w:val="auto"/>
        </w:rPr>
      </w:pPr>
      <w:r>
        <w:rPr>
          <w:rFonts w:ascii="Arial" w:cs="Arial" w:eastAsia="Arial" w:hAnsi="Arial"/>
          <w:sz w:val="14"/>
          <w:szCs w:val="14"/>
          <w:color w:val="auto"/>
        </w:rPr>
        <w:t>Consolidated totals include Busey Bank and GSB.</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198" w:lineRule="exact"/>
        <w:rPr>
          <w:sz w:val="20"/>
          <w:szCs w:val="20"/>
          <w:color w:val="auto"/>
        </w:rPr>
      </w:pPr>
    </w:p>
    <w:p>
      <w:pPr>
        <w:ind w:left="60" w:right="259"/>
        <w:spacing w:after="0" w:line="324" w:lineRule="auto"/>
        <w:rPr>
          <w:sz w:val="20"/>
          <w:szCs w:val="20"/>
          <w:color w:val="auto"/>
        </w:rPr>
      </w:pPr>
      <w:r>
        <w:rPr>
          <w:rFonts w:ascii="Arial" w:cs="Arial" w:eastAsia="Arial" w:hAnsi="Arial"/>
          <w:sz w:val="16"/>
          <w:szCs w:val="16"/>
          <w:color w:val="auto"/>
        </w:rPr>
        <w:t xml:space="preserve">Operating performance metrics presented in the table below have been derived from information used by management to monitor and manage the financial performance of the Company </w:t>
      </w:r>
      <w:r>
        <w:rPr>
          <w:rFonts w:ascii="Arial" w:cs="Arial" w:eastAsia="Arial" w:hAnsi="Arial"/>
          <w:sz w:val="16"/>
          <w:szCs w:val="16"/>
          <w:i w:val="1"/>
          <w:iCs w:val="1"/>
          <w:color w:val="auto"/>
        </w:rPr>
        <w:t>(dollars in thousands, except per share amounts)</w:t>
      </w:r>
      <w:r>
        <w:rPr>
          <w:rFonts w:ascii="Arial" w:cs="Arial" w:eastAsia="Arial" w:hAnsi="Arial"/>
          <w:sz w:val="16"/>
          <w:szCs w:val="16"/>
          <w:color w:val="auto"/>
        </w:rPr>
        <w:t>:</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16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33"/>
        </w:trPr>
        <w:tc>
          <w:tcPr>
            <w:tcW w:w="8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June 30,</w:t>
            </w:r>
          </w:p>
        </w:tc>
        <w:tc>
          <w:tcPr>
            <w:tcW w:w="860" w:type="dxa"/>
            <w:vAlign w:val="bottom"/>
            <w:tcBorders>
              <w:top w:val="single" w:sz="8" w:color="auto"/>
            </w:tcBorders>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5"/>
              </w:rPr>
              <w:t>March 31,</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June 30,</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r>
      <w:tr>
        <w:trPr>
          <w:trHeight w:val="185"/>
        </w:trPr>
        <w:tc>
          <w:tcPr>
            <w:tcW w:w="860" w:type="dxa"/>
            <w:vAlign w:val="bottom"/>
            <w:tcBorders>
              <w:bottom w:val="single" w:sz="8" w:color="CCEEFF"/>
            </w:tcBorders>
          </w:tcPr>
          <w:p>
            <w:pPr>
              <w:spacing w:after="0"/>
              <w:rPr>
                <w:sz w:val="16"/>
                <w:szCs w:val="16"/>
                <w:color w:val="auto"/>
              </w:rPr>
            </w:pPr>
          </w:p>
        </w:tc>
        <w:tc>
          <w:tcPr>
            <w:tcW w:w="38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r>
      <w:tr>
        <w:trPr>
          <w:trHeight w:val="196"/>
        </w:trPr>
        <w:tc>
          <w:tcPr>
            <w:tcW w:w="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w w:val="96"/>
              </w:rPr>
              <w:t>Reported:</w:t>
            </w:r>
          </w:p>
        </w:tc>
        <w:tc>
          <w:tcPr>
            <w:tcW w:w="380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29,766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37,816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25,806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67,582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41,170</w:t>
            </w:r>
          </w:p>
        </w:tc>
        <w:tc>
          <w:tcPr>
            <w:tcW w:w="160" w:type="dxa"/>
            <w:vAlign w:val="bottom"/>
            <w:shd w:val="clear" w:color="auto" w:fill="CCEEFF"/>
          </w:tcPr>
          <w:p>
            <w:pPr>
              <w:spacing w:after="0"/>
              <w:rPr>
                <w:sz w:val="17"/>
                <w:szCs w:val="17"/>
                <w:color w:val="auto"/>
              </w:rPr>
            </w:pPr>
          </w:p>
        </w:tc>
      </w:tr>
      <w:tr>
        <w:trPr>
          <w:trHeight w:val="203"/>
        </w:trPr>
        <w:tc>
          <w:tcPr>
            <w:tcW w:w="86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98"/>
              </w:rPr>
              <w:t>Adjusted:</w:t>
            </w:r>
          </w:p>
        </w:tc>
        <w:tc>
          <w:tcPr>
            <w:tcW w:w="3800" w:type="dxa"/>
            <w:vAlign w:val="bottom"/>
          </w:tcPr>
          <w:p>
            <w:pPr>
              <w:ind w:left="80"/>
              <w:spacing w:after="0" w:line="202" w:lineRule="exact"/>
              <w:rPr>
                <w:sz w:val="20"/>
                <w:szCs w:val="20"/>
                <w:color w:val="auto"/>
              </w:rPr>
            </w:pPr>
            <w:r>
              <w:rPr>
                <w:rFonts w:ascii="Arial" w:cs="Arial" w:eastAsia="Arial" w:hAnsi="Arial"/>
                <w:sz w:val="16"/>
                <w:szCs w:val="16"/>
                <w:color w:val="auto"/>
              </w:rPr>
              <w:t xml:space="preserve">Net income </w:t>
            </w:r>
            <w:r>
              <w:rPr>
                <w:rFonts w:ascii="Arial" w:cs="Arial" w:eastAsia="Arial" w:hAnsi="Arial"/>
                <w:sz w:val="23"/>
                <w:szCs w:val="23"/>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31,921</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0"/>
              </w:rPr>
              <w:t>38,065</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8"/>
              </w:rPr>
              <w:t>26,191</w:t>
            </w:r>
          </w:p>
        </w:tc>
        <w:tc>
          <w:tcPr>
            <w:tcW w:w="1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69,986</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8"/>
              </w:rPr>
              <w:t>41,670</w:t>
            </w:r>
          </w:p>
        </w:tc>
        <w:tc>
          <w:tcPr>
            <w:tcW w:w="160" w:type="dxa"/>
            <w:vAlign w:val="bottom"/>
          </w:tcPr>
          <w:p>
            <w:pPr>
              <w:spacing w:after="0"/>
              <w:rPr>
                <w:sz w:val="17"/>
                <w:szCs w:val="17"/>
                <w:color w:val="auto"/>
              </w:rPr>
            </w:pPr>
          </w:p>
        </w:tc>
      </w:tr>
      <w:tr>
        <w:trPr>
          <w:trHeight w:val="203"/>
        </w:trPr>
        <w:tc>
          <w:tcPr>
            <w:tcW w:w="86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86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96"/>
              </w:rPr>
              <w:t>Reported:</w:t>
            </w:r>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Diluted earnings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0.53</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0.69</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0.47</w:t>
            </w:r>
          </w:p>
        </w:tc>
        <w:tc>
          <w:tcPr>
            <w:tcW w:w="1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0.75</w:t>
            </w:r>
          </w:p>
        </w:tc>
        <w:tc>
          <w:tcPr>
            <w:tcW w:w="160" w:type="dxa"/>
            <w:vAlign w:val="bottom"/>
          </w:tcPr>
          <w:p>
            <w:pPr>
              <w:spacing w:after="0"/>
              <w:rPr>
                <w:sz w:val="17"/>
                <w:szCs w:val="17"/>
                <w:color w:val="auto"/>
              </w:rPr>
            </w:pPr>
          </w:p>
        </w:tc>
      </w:tr>
      <w:tr>
        <w:trPr>
          <w:trHeight w:val="203"/>
        </w:trPr>
        <w:tc>
          <w:tcPr>
            <w:tcW w:w="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8"/>
              </w:rPr>
              <w:t>Adjusted:</w:t>
            </w:r>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Diluted earnings per common share </w:t>
            </w:r>
            <w:r>
              <w:rPr>
                <w:rFonts w:ascii="Arial" w:cs="Arial" w:eastAsia="Arial" w:hAnsi="Arial"/>
                <w:sz w:val="23"/>
                <w:szCs w:val="23"/>
                <w:color w:val="auto"/>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0.76</w:t>
            </w:r>
          </w:p>
        </w:tc>
        <w:tc>
          <w:tcPr>
            <w:tcW w:w="160" w:type="dxa"/>
            <w:vAlign w:val="bottom"/>
            <w:shd w:val="clear" w:color="auto" w:fill="CCEEFF"/>
          </w:tcPr>
          <w:p>
            <w:pPr>
              <w:spacing w:after="0"/>
              <w:rPr>
                <w:sz w:val="17"/>
                <w:szCs w:val="17"/>
                <w:color w:val="auto"/>
              </w:rPr>
            </w:pPr>
          </w:p>
        </w:tc>
      </w:tr>
    </w:tbl>
    <w:p>
      <w:pPr>
        <w:spacing w:after="0" w:line="178" w:lineRule="exact"/>
        <w:rPr>
          <w:sz w:val="20"/>
          <w:szCs w:val="20"/>
          <w:color w:val="auto"/>
        </w:rPr>
      </w:pPr>
    </w:p>
    <w:p>
      <w:pPr>
        <w:sectPr>
          <w:pgSz w:w="11900" w:h="16838" w:orient="portrait"/>
          <w:cols w:equalWidth="0" w:num="1">
            <w:col w:w="9019"/>
          </w:cols>
          <w:pgMar w:left="1440" w:top="517" w:right="1440" w:bottom="1440" w:gutter="0" w:footer="0" w:header="0"/>
        </w:sect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Reported:</w:t>
      </w:r>
      <w:r>
        <w:rPr>
          <w:sz w:val="20"/>
          <w:szCs w:val="20"/>
          <w:color w:val="auto"/>
        </w:rPr>
        <w:tab/>
      </w:r>
      <w:r>
        <w:rPr>
          <w:rFonts w:ascii="Arial" w:cs="Arial" w:eastAsia="Arial" w:hAnsi="Arial"/>
          <w:sz w:val="15"/>
          <w:szCs w:val="15"/>
          <w:color w:val="auto"/>
        </w:rPr>
        <w:t xml:space="preserve">Return on average assets </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564896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tabs>
          <w:tab w:leader="none" w:pos="960" w:val="left"/>
        </w:tabs>
        <w:rPr>
          <w:sz w:val="20"/>
          <w:szCs w:val="20"/>
          <w:color w:val="auto"/>
        </w:rPr>
      </w:pPr>
      <w:r>
        <w:rPr>
          <w:rFonts w:ascii="Arial" w:cs="Arial" w:eastAsia="Arial" w:hAnsi="Arial"/>
          <w:sz w:val="18"/>
          <w:szCs w:val="18"/>
          <w:b w:val="1"/>
          <w:bCs w:val="1"/>
          <w:color w:val="auto"/>
        </w:rPr>
        <w:t>Adjusted:</w:t>
      </w:r>
      <w:r>
        <w:rPr>
          <w:sz w:val="20"/>
          <w:szCs w:val="20"/>
          <w:color w:val="auto"/>
        </w:rPr>
        <w:tab/>
      </w:r>
      <w:r>
        <w:rPr>
          <w:rFonts w:ascii="Arial" w:cs="Arial" w:eastAsia="Arial" w:hAnsi="Arial"/>
          <w:sz w:val="15"/>
          <w:szCs w:val="15"/>
          <w:color w:val="auto"/>
        </w:rPr>
        <w:t xml:space="preserve">Return on average assets </w:t>
      </w:r>
      <w:r>
        <w:rPr>
          <w:rFonts w:ascii="Arial" w:cs="Arial" w:eastAsia="Arial" w:hAnsi="Arial"/>
          <w:sz w:val="21"/>
          <w:szCs w:val="21"/>
          <w:color w:val="auto"/>
          <w:vertAlign w:val="superscript"/>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-25400</wp:posOffset>
            </wp:positionV>
            <wp:extent cx="564896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91"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Reported:</w:t>
      </w:r>
      <w:r>
        <w:rPr>
          <w:sz w:val="20"/>
          <w:szCs w:val="20"/>
          <w:color w:val="auto"/>
        </w:rPr>
        <w:tab/>
      </w:r>
      <w:r>
        <w:rPr>
          <w:rFonts w:ascii="Arial" w:cs="Arial" w:eastAsia="Arial" w:hAnsi="Arial"/>
          <w:sz w:val="15"/>
          <w:szCs w:val="15"/>
          <w:color w:val="auto"/>
        </w:rPr>
        <w:t xml:space="preserve">Return on average tangible common equity </w:t>
      </w:r>
      <w:r>
        <w:rPr>
          <w:rFonts w:ascii="Arial" w:cs="Arial" w:eastAsia="Arial" w:hAnsi="Arial"/>
          <w:sz w:val="21"/>
          <w:szCs w:val="21"/>
          <w:color w:val="auto"/>
          <w:vertAlign w:val="superscript"/>
        </w:rPr>
        <w:t>(1), (3)</w:t>
      </w:r>
    </w:p>
    <w:p>
      <w:pPr>
        <w:ind w:left="60"/>
        <w:spacing w:after="0"/>
        <w:tabs>
          <w:tab w:leader="none" w:pos="960" w:val="left"/>
        </w:tabs>
        <w:rPr>
          <w:sz w:val="20"/>
          <w:szCs w:val="20"/>
          <w:color w:val="auto"/>
        </w:rPr>
      </w:pPr>
      <w:r>
        <w:rPr>
          <w:rFonts w:ascii="Arial" w:cs="Arial" w:eastAsia="Arial" w:hAnsi="Arial"/>
          <w:sz w:val="18"/>
          <w:szCs w:val="18"/>
          <w:b w:val="1"/>
          <w:bCs w:val="1"/>
          <w:color w:val="auto"/>
        </w:rPr>
        <w:t>Adjusted:</w:t>
      </w:r>
      <w:r>
        <w:rPr>
          <w:sz w:val="20"/>
          <w:szCs w:val="20"/>
          <w:color w:val="auto"/>
        </w:rPr>
        <w:tab/>
      </w:r>
      <w:r>
        <w:rPr>
          <w:rFonts w:ascii="Arial" w:cs="Arial" w:eastAsia="Arial" w:hAnsi="Arial"/>
          <w:sz w:val="15"/>
          <w:szCs w:val="15"/>
          <w:color w:val="auto"/>
        </w:rPr>
        <w:t xml:space="preserve">Return on average tangible common equity </w:t>
      </w:r>
      <w:r>
        <w:rPr>
          <w:rFonts w:ascii="Arial" w:cs="Arial" w:eastAsia="Arial" w:hAnsi="Arial"/>
          <w:sz w:val="21"/>
          <w:szCs w:val="21"/>
          <w:color w:val="auto"/>
          <w:vertAlign w:val="superscript"/>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-144780</wp:posOffset>
            </wp:positionV>
            <wp:extent cx="564896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9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Reported:</w:t>
      </w:r>
      <w:r>
        <w:rPr>
          <w:sz w:val="20"/>
          <w:szCs w:val="20"/>
          <w:color w:val="auto"/>
        </w:rPr>
        <w:tab/>
      </w:r>
      <w:r>
        <w:rPr>
          <w:rFonts w:ascii="Arial" w:cs="Arial" w:eastAsia="Arial" w:hAnsi="Arial"/>
          <w:sz w:val="16"/>
          <w:szCs w:val="16"/>
          <w:color w:val="auto"/>
        </w:rPr>
        <w:t xml:space="preserve">Pre-provision net revenue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564896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tabs>
          <w:tab w:leader="none" w:pos="960" w:val="left"/>
        </w:tabs>
        <w:rPr>
          <w:sz w:val="20"/>
          <w:szCs w:val="20"/>
          <w:color w:val="auto"/>
        </w:rPr>
      </w:pPr>
      <w:r>
        <w:rPr>
          <w:rFonts w:ascii="Arial" w:cs="Arial" w:eastAsia="Arial" w:hAnsi="Arial"/>
          <w:sz w:val="18"/>
          <w:szCs w:val="18"/>
          <w:b w:val="1"/>
          <w:bCs w:val="1"/>
          <w:color w:val="auto"/>
        </w:rPr>
        <w:t>Adjusted:</w:t>
      </w:r>
      <w:r>
        <w:rPr>
          <w:sz w:val="20"/>
          <w:szCs w:val="20"/>
          <w:color w:val="auto"/>
        </w:rPr>
        <w:tab/>
      </w:r>
      <w:r>
        <w:rPr>
          <w:rFonts w:ascii="Arial" w:cs="Arial" w:eastAsia="Arial" w:hAnsi="Arial"/>
          <w:sz w:val="16"/>
          <w:szCs w:val="16"/>
          <w:color w:val="auto"/>
        </w:rPr>
        <w:t xml:space="preserve">Pre-provision net revenue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-23495</wp:posOffset>
            </wp:positionV>
            <wp:extent cx="564896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9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Reported:</w:t>
      </w:r>
      <w:r>
        <w:rPr>
          <w:sz w:val="20"/>
          <w:szCs w:val="20"/>
          <w:color w:val="auto"/>
        </w:rPr>
        <w:tab/>
      </w:r>
      <w:r>
        <w:rPr>
          <w:rFonts w:ascii="Arial" w:cs="Arial" w:eastAsia="Arial" w:hAnsi="Arial"/>
          <w:sz w:val="15"/>
          <w:szCs w:val="15"/>
          <w:color w:val="auto"/>
        </w:rPr>
        <w:t xml:space="preserve">Pre-provision net revenue to average assets </w:t>
      </w:r>
      <w:r>
        <w:rPr>
          <w:rFonts w:ascii="Arial" w:cs="Arial" w:eastAsia="Arial" w:hAnsi="Arial"/>
          <w:sz w:val="21"/>
          <w:szCs w:val="21"/>
          <w:color w:val="auto"/>
          <w:vertAlign w:val="superscript"/>
        </w:rPr>
        <w:t>(1), (3)</w:t>
      </w:r>
    </w:p>
    <w:p>
      <w:pPr>
        <w:ind w:left="60"/>
        <w:spacing w:after="0"/>
        <w:tabs>
          <w:tab w:leader="none" w:pos="960" w:val="left"/>
        </w:tabs>
        <w:rPr>
          <w:sz w:val="20"/>
          <w:szCs w:val="20"/>
          <w:color w:val="auto"/>
        </w:rPr>
      </w:pPr>
      <w:r>
        <w:rPr>
          <w:rFonts w:ascii="Arial" w:cs="Arial" w:eastAsia="Arial" w:hAnsi="Arial"/>
          <w:sz w:val="18"/>
          <w:szCs w:val="18"/>
          <w:b w:val="1"/>
          <w:bCs w:val="1"/>
          <w:color w:val="auto"/>
        </w:rPr>
        <w:t>Adjusted:</w:t>
      </w:r>
      <w:r>
        <w:rPr>
          <w:sz w:val="20"/>
          <w:szCs w:val="20"/>
          <w:color w:val="auto"/>
        </w:rPr>
        <w:tab/>
      </w:r>
      <w:r>
        <w:rPr>
          <w:rFonts w:ascii="Arial" w:cs="Arial" w:eastAsia="Arial" w:hAnsi="Arial"/>
          <w:sz w:val="15"/>
          <w:szCs w:val="15"/>
          <w:color w:val="auto"/>
        </w:rPr>
        <w:t xml:space="preserve">Pre-provision net revenue to average assets </w:t>
      </w:r>
      <w:r>
        <w:rPr>
          <w:rFonts w:ascii="Arial" w:cs="Arial" w:eastAsia="Arial" w:hAnsi="Arial"/>
          <w:sz w:val="21"/>
          <w:szCs w:val="21"/>
          <w:color w:val="auto"/>
          <w:vertAlign w:val="superscript"/>
        </w:rPr>
        <w:t>(1),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-144780</wp:posOffset>
            </wp:positionV>
            <wp:extent cx="564896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51435</wp:posOffset>
            </wp:positionV>
            <wp:extent cx="14141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0"/>
        <w:spacing w:after="0"/>
        <w:tabs>
          <w:tab w:leader="none" w:pos="1140" w:val="left"/>
          <w:tab w:leader="none" w:pos="2000" w:val="left"/>
          <w:tab w:leader="none" w:pos="2840" w:val="left"/>
          <w:tab w:leader="none" w:pos="3700" w:val="left"/>
        </w:tabs>
        <w:rPr>
          <w:sz w:val="20"/>
          <w:szCs w:val="20"/>
          <w:color w:val="auto"/>
        </w:rPr>
      </w:pPr>
      <w:r>
        <w:rPr>
          <w:rFonts w:ascii="Arial" w:cs="Arial" w:eastAsia="Arial" w:hAnsi="Arial"/>
          <w:sz w:val="18"/>
          <w:szCs w:val="18"/>
          <w:color w:val="auto"/>
        </w:rPr>
        <w:t>1.05 %</w:t>
      </w:r>
      <w:r>
        <w:rPr>
          <w:sz w:val="20"/>
          <w:szCs w:val="20"/>
          <w:color w:val="auto"/>
        </w:rPr>
        <w:tab/>
      </w:r>
      <w:r>
        <w:rPr>
          <w:rFonts w:ascii="Arial" w:cs="Arial" w:eastAsia="Arial" w:hAnsi="Arial"/>
          <w:sz w:val="18"/>
          <w:szCs w:val="18"/>
          <w:color w:val="auto"/>
        </w:rPr>
        <w:t>1.45 %</w:t>
      </w:r>
      <w:r>
        <w:rPr>
          <w:sz w:val="20"/>
          <w:szCs w:val="20"/>
          <w:color w:val="auto"/>
        </w:rPr>
        <w:tab/>
      </w:r>
      <w:r>
        <w:rPr>
          <w:rFonts w:ascii="Arial" w:cs="Arial" w:eastAsia="Arial" w:hAnsi="Arial"/>
          <w:sz w:val="18"/>
          <w:szCs w:val="18"/>
          <w:color w:val="auto"/>
        </w:rPr>
        <w:t>1.00 %</w:t>
      </w:r>
      <w:r>
        <w:rPr>
          <w:sz w:val="20"/>
          <w:szCs w:val="20"/>
          <w:color w:val="auto"/>
        </w:rPr>
        <w:tab/>
      </w:r>
      <w:r>
        <w:rPr>
          <w:rFonts w:ascii="Arial" w:cs="Arial" w:eastAsia="Arial" w:hAnsi="Arial"/>
          <w:sz w:val="18"/>
          <w:szCs w:val="18"/>
          <w:color w:val="auto"/>
        </w:rPr>
        <w:t>1.24 %</w:t>
      </w:r>
      <w:r>
        <w:rPr>
          <w:sz w:val="20"/>
          <w:szCs w:val="20"/>
          <w:color w:val="auto"/>
        </w:rPr>
        <w:tab/>
      </w:r>
      <w:r>
        <w:rPr>
          <w:rFonts w:ascii="Arial" w:cs="Arial" w:eastAsia="Arial" w:hAnsi="Arial"/>
          <w:sz w:val="16"/>
          <w:szCs w:val="16"/>
          <w:color w:val="auto"/>
        </w:rPr>
        <w:t>0.83 %</w:t>
      </w:r>
    </w:p>
    <w:p>
      <w:pPr>
        <w:spacing w:after="0" w:line="23" w:lineRule="exact"/>
        <w:rPr>
          <w:sz w:val="20"/>
          <w:szCs w:val="20"/>
          <w:color w:val="auto"/>
        </w:rPr>
      </w:pPr>
    </w:p>
    <w:p>
      <w:pPr>
        <w:ind w:left="320"/>
        <w:spacing w:after="0"/>
        <w:tabs>
          <w:tab w:leader="none" w:pos="1140" w:val="left"/>
          <w:tab w:leader="none" w:pos="2000" w:val="left"/>
          <w:tab w:leader="none" w:pos="2840" w:val="left"/>
          <w:tab w:leader="none" w:pos="3700" w:val="left"/>
        </w:tabs>
        <w:rPr>
          <w:sz w:val="20"/>
          <w:szCs w:val="20"/>
          <w:color w:val="auto"/>
        </w:rPr>
      </w:pPr>
      <w:r>
        <w:rPr>
          <w:rFonts w:ascii="Arial" w:cs="Arial" w:eastAsia="Arial" w:hAnsi="Arial"/>
          <w:sz w:val="18"/>
          <w:szCs w:val="18"/>
          <w:color w:val="auto"/>
        </w:rPr>
        <w:t>1.12 %</w:t>
      </w:r>
      <w:r>
        <w:rPr>
          <w:sz w:val="20"/>
          <w:szCs w:val="20"/>
          <w:color w:val="auto"/>
        </w:rPr>
        <w:tab/>
      </w:r>
      <w:r>
        <w:rPr>
          <w:rFonts w:ascii="Arial" w:cs="Arial" w:eastAsia="Arial" w:hAnsi="Arial"/>
          <w:sz w:val="18"/>
          <w:szCs w:val="18"/>
          <w:color w:val="auto"/>
        </w:rPr>
        <w:t>1.46 %</w:t>
      </w:r>
      <w:r>
        <w:rPr>
          <w:sz w:val="20"/>
          <w:szCs w:val="20"/>
          <w:color w:val="auto"/>
        </w:rPr>
        <w:tab/>
      </w:r>
      <w:r>
        <w:rPr>
          <w:rFonts w:ascii="Arial" w:cs="Arial" w:eastAsia="Arial" w:hAnsi="Arial"/>
          <w:sz w:val="18"/>
          <w:szCs w:val="18"/>
          <w:color w:val="auto"/>
        </w:rPr>
        <w:t>1.02 %</w:t>
      </w:r>
      <w:r>
        <w:rPr>
          <w:sz w:val="20"/>
          <w:szCs w:val="20"/>
          <w:color w:val="auto"/>
        </w:rPr>
        <w:tab/>
      </w:r>
      <w:r>
        <w:rPr>
          <w:rFonts w:ascii="Arial" w:cs="Arial" w:eastAsia="Arial" w:hAnsi="Arial"/>
          <w:sz w:val="18"/>
          <w:szCs w:val="18"/>
          <w:color w:val="auto"/>
        </w:rPr>
        <w:t>1.28 %</w:t>
      </w:r>
      <w:r>
        <w:rPr>
          <w:sz w:val="20"/>
          <w:szCs w:val="20"/>
          <w:color w:val="auto"/>
        </w:rPr>
        <w:tab/>
      </w:r>
      <w:r>
        <w:rPr>
          <w:rFonts w:ascii="Arial" w:cs="Arial" w:eastAsia="Arial" w:hAnsi="Arial"/>
          <w:sz w:val="16"/>
          <w:szCs w:val="16"/>
          <w:color w:val="auto"/>
        </w:rPr>
        <w:t>0.84 %</w:t>
      </w:r>
    </w:p>
    <w:p>
      <w:pPr>
        <w:spacing w:after="0" w:line="197" w:lineRule="exact"/>
        <w:rPr>
          <w:sz w:val="20"/>
          <w:szCs w:val="20"/>
          <w:color w:val="auto"/>
        </w:rPr>
      </w:pPr>
    </w:p>
    <w:p>
      <w:pPr>
        <w:ind w:left="220"/>
        <w:spacing w:after="0"/>
        <w:tabs>
          <w:tab w:leader="none" w:pos="1060" w:val="left"/>
          <w:tab w:leader="none" w:pos="1900" w:val="left"/>
          <w:tab w:leader="none" w:pos="2760" w:val="left"/>
          <w:tab w:leader="none" w:pos="3700" w:val="left"/>
        </w:tabs>
        <w:rPr>
          <w:sz w:val="20"/>
          <w:szCs w:val="20"/>
          <w:color w:val="auto"/>
        </w:rPr>
      </w:pPr>
      <w:r>
        <w:rPr>
          <w:rFonts w:ascii="Arial" w:cs="Arial" w:eastAsia="Arial" w:hAnsi="Arial"/>
          <w:sz w:val="18"/>
          <w:szCs w:val="18"/>
          <w:color w:val="auto"/>
        </w:rPr>
        <w:t>12.26 %</w:t>
        <w:tab/>
        <w:t>16.80 %</w:t>
        <w:tab/>
        <w:t>12.02 %</w:t>
        <w:tab/>
        <w:t>14.44 %</w:t>
      </w:r>
      <w:r>
        <w:rPr>
          <w:sz w:val="20"/>
          <w:szCs w:val="20"/>
          <w:color w:val="auto"/>
        </w:rPr>
        <w:tab/>
      </w:r>
      <w:r>
        <w:rPr>
          <w:rFonts w:ascii="Arial" w:cs="Arial" w:eastAsia="Arial" w:hAnsi="Arial"/>
          <w:sz w:val="16"/>
          <w:szCs w:val="16"/>
          <w:color w:val="auto"/>
        </w:rPr>
        <w:t>9.69 %</w:t>
      </w:r>
    </w:p>
    <w:p>
      <w:pPr>
        <w:spacing w:after="0" w:line="12" w:lineRule="exact"/>
        <w:rPr>
          <w:sz w:val="20"/>
          <w:szCs w:val="20"/>
          <w:color w:val="auto"/>
        </w:rPr>
      </w:pPr>
    </w:p>
    <w:p>
      <w:pPr>
        <w:ind w:left="220"/>
        <w:spacing w:after="0"/>
        <w:tabs>
          <w:tab w:leader="none" w:pos="1060" w:val="left"/>
          <w:tab w:leader="none" w:pos="1900" w:val="left"/>
          <w:tab w:leader="none" w:pos="2760" w:val="left"/>
          <w:tab w:leader="none" w:pos="3700" w:val="left"/>
        </w:tabs>
        <w:rPr>
          <w:sz w:val="20"/>
          <w:szCs w:val="20"/>
          <w:color w:val="auto"/>
        </w:rPr>
      </w:pPr>
      <w:r>
        <w:rPr>
          <w:rFonts w:ascii="Arial" w:cs="Arial" w:eastAsia="Arial" w:hAnsi="Arial"/>
          <w:sz w:val="18"/>
          <w:szCs w:val="18"/>
          <w:color w:val="auto"/>
        </w:rPr>
        <w:t>13.14 %</w:t>
        <w:tab/>
        <w:t>16.91 %</w:t>
        <w:tab/>
        <w:t>12.20 %</w:t>
        <w:tab/>
        <w:t>14.96 %</w:t>
      </w:r>
      <w:r>
        <w:rPr>
          <w:sz w:val="20"/>
          <w:szCs w:val="20"/>
          <w:color w:val="auto"/>
        </w:rPr>
        <w:tab/>
      </w:r>
      <w:r>
        <w:rPr>
          <w:rFonts w:ascii="Arial" w:cs="Arial" w:eastAsia="Arial" w:hAnsi="Arial"/>
          <w:sz w:val="16"/>
          <w:szCs w:val="16"/>
          <w:color w:val="auto"/>
        </w:rPr>
        <w:t>9.80 %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jc w:val="right"/>
              <w:ind w:right="130"/>
              <w:spacing w:after="0"/>
              <w:rPr>
                <w:sz w:val="20"/>
                <w:szCs w:val="20"/>
                <w:color w:val="auto"/>
              </w:rPr>
            </w:pPr>
            <w:r>
              <w:rPr>
                <w:rFonts w:ascii="Arial" w:cs="Arial" w:eastAsia="Arial" w:hAnsi="Arial"/>
                <w:sz w:val="18"/>
                <w:szCs w:val="18"/>
                <w:color w:val="auto"/>
                <w:w w:val="85"/>
              </w:rPr>
              <w:t>$ 34,030</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88"/>
              </w:rPr>
              <w:t>$ 40,198</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w w:val="91"/>
              </w:rPr>
              <w:t>$ 45,394</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w w:val="88"/>
              </w:rPr>
              <w:t>$ 74,228</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88"/>
              </w:rPr>
              <w:t>$ 81,243</w:t>
            </w:r>
          </w:p>
        </w:tc>
      </w:tr>
      <w:tr>
        <w:trPr>
          <w:trHeight w:val="230"/>
        </w:trPr>
        <w:tc>
          <w:tcPr>
            <w:tcW w:w="840" w:type="dxa"/>
            <w:vAlign w:val="bottom"/>
          </w:tcPr>
          <w:p>
            <w:pPr>
              <w:jc w:val="right"/>
              <w:ind w:right="130"/>
              <w:spacing w:after="0"/>
              <w:rPr>
                <w:sz w:val="20"/>
                <w:szCs w:val="20"/>
                <w:color w:val="auto"/>
              </w:rPr>
            </w:pPr>
            <w:r>
              <w:rPr>
                <w:rFonts w:ascii="Arial" w:cs="Arial" w:eastAsia="Arial" w:hAnsi="Arial"/>
                <w:sz w:val="18"/>
                <w:szCs w:val="18"/>
                <w:color w:val="auto"/>
                <w:w w:val="85"/>
              </w:rPr>
              <w:t>$ 37,486</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88"/>
              </w:rPr>
              <w:t>$ 42,753</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w w:val="91"/>
              </w:rPr>
              <w:t>$ 46,448</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w w:val="88"/>
              </w:rPr>
              <w:t>$ 80,239</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88"/>
              </w:rPr>
              <w:t>$ 84,659</w:t>
            </w:r>
          </w:p>
        </w:tc>
      </w:tr>
      <w:tr>
        <w:trPr>
          <w:trHeight w:val="377"/>
        </w:trPr>
        <w:tc>
          <w:tcPr>
            <w:tcW w:w="840" w:type="dxa"/>
            <w:vAlign w:val="bottom"/>
          </w:tcPr>
          <w:p>
            <w:pPr>
              <w:jc w:val="right"/>
              <w:spacing w:after="0"/>
              <w:rPr>
                <w:sz w:val="20"/>
                <w:szCs w:val="20"/>
                <w:color w:val="auto"/>
              </w:rPr>
            </w:pPr>
            <w:r>
              <w:rPr>
                <w:rFonts w:ascii="Arial" w:cs="Arial" w:eastAsia="Arial" w:hAnsi="Arial"/>
                <w:sz w:val="18"/>
                <w:szCs w:val="18"/>
                <w:color w:val="auto"/>
              </w:rPr>
              <w:t>1.20 %</w:t>
            </w:r>
          </w:p>
        </w:tc>
        <w:tc>
          <w:tcPr>
            <w:tcW w:w="840" w:type="dxa"/>
            <w:vAlign w:val="bottom"/>
          </w:tcPr>
          <w:p>
            <w:pPr>
              <w:jc w:val="right"/>
              <w:spacing w:after="0"/>
              <w:rPr>
                <w:sz w:val="20"/>
                <w:szCs w:val="20"/>
                <w:color w:val="auto"/>
              </w:rPr>
            </w:pPr>
            <w:r>
              <w:rPr>
                <w:rFonts w:ascii="Arial" w:cs="Arial" w:eastAsia="Arial" w:hAnsi="Arial"/>
                <w:sz w:val="18"/>
                <w:szCs w:val="18"/>
                <w:color w:val="auto"/>
              </w:rPr>
              <w:t>1.54 %</w:t>
            </w:r>
          </w:p>
        </w:tc>
        <w:tc>
          <w:tcPr>
            <w:tcW w:w="860" w:type="dxa"/>
            <w:vAlign w:val="bottom"/>
          </w:tcPr>
          <w:p>
            <w:pPr>
              <w:jc w:val="right"/>
              <w:spacing w:after="0"/>
              <w:rPr>
                <w:sz w:val="20"/>
                <w:szCs w:val="20"/>
                <w:color w:val="auto"/>
              </w:rPr>
            </w:pPr>
            <w:r>
              <w:rPr>
                <w:rFonts w:ascii="Arial" w:cs="Arial" w:eastAsia="Arial" w:hAnsi="Arial"/>
                <w:sz w:val="18"/>
                <w:szCs w:val="18"/>
                <w:color w:val="auto"/>
              </w:rPr>
              <w:t>1.76 %</w:t>
            </w:r>
          </w:p>
        </w:tc>
        <w:tc>
          <w:tcPr>
            <w:tcW w:w="860" w:type="dxa"/>
            <w:vAlign w:val="bottom"/>
          </w:tcPr>
          <w:p>
            <w:pPr>
              <w:jc w:val="right"/>
              <w:spacing w:after="0"/>
              <w:rPr>
                <w:sz w:val="20"/>
                <w:szCs w:val="20"/>
                <w:color w:val="auto"/>
              </w:rPr>
            </w:pPr>
            <w:r>
              <w:rPr>
                <w:rFonts w:ascii="Arial" w:cs="Arial" w:eastAsia="Arial" w:hAnsi="Arial"/>
                <w:sz w:val="18"/>
                <w:szCs w:val="18"/>
                <w:color w:val="auto"/>
              </w:rPr>
              <w:t>1.36 %</w:t>
            </w:r>
          </w:p>
        </w:tc>
        <w:tc>
          <w:tcPr>
            <w:tcW w:w="840" w:type="dxa"/>
            <w:vAlign w:val="bottom"/>
          </w:tcPr>
          <w:p>
            <w:pPr>
              <w:jc w:val="right"/>
              <w:spacing w:after="0"/>
              <w:rPr>
                <w:sz w:val="20"/>
                <w:szCs w:val="20"/>
                <w:color w:val="auto"/>
              </w:rPr>
            </w:pPr>
            <w:r>
              <w:rPr>
                <w:rFonts w:ascii="Arial" w:cs="Arial" w:eastAsia="Arial" w:hAnsi="Arial"/>
                <w:sz w:val="18"/>
                <w:szCs w:val="18"/>
                <w:color w:val="auto"/>
              </w:rPr>
              <w:t>1.63 %</w:t>
            </w:r>
          </w:p>
        </w:tc>
      </w:tr>
      <w:tr>
        <w:trPr>
          <w:trHeight w:val="230"/>
        </w:trPr>
        <w:tc>
          <w:tcPr>
            <w:tcW w:w="840" w:type="dxa"/>
            <w:vAlign w:val="bottom"/>
          </w:tcPr>
          <w:p>
            <w:pPr>
              <w:jc w:val="right"/>
              <w:spacing w:after="0"/>
              <w:rPr>
                <w:sz w:val="20"/>
                <w:szCs w:val="20"/>
                <w:color w:val="auto"/>
              </w:rPr>
            </w:pPr>
            <w:r>
              <w:rPr>
                <w:rFonts w:ascii="Arial" w:cs="Arial" w:eastAsia="Arial" w:hAnsi="Arial"/>
                <w:sz w:val="18"/>
                <w:szCs w:val="18"/>
                <w:color w:val="auto"/>
              </w:rPr>
              <w:t>1.32 %</w:t>
            </w:r>
          </w:p>
        </w:tc>
        <w:tc>
          <w:tcPr>
            <w:tcW w:w="840" w:type="dxa"/>
            <w:vAlign w:val="bottom"/>
          </w:tcPr>
          <w:p>
            <w:pPr>
              <w:jc w:val="right"/>
              <w:spacing w:after="0"/>
              <w:rPr>
                <w:sz w:val="20"/>
                <w:szCs w:val="20"/>
                <w:color w:val="auto"/>
              </w:rPr>
            </w:pPr>
            <w:r>
              <w:rPr>
                <w:rFonts w:ascii="Arial" w:cs="Arial" w:eastAsia="Arial" w:hAnsi="Arial"/>
                <w:sz w:val="18"/>
                <w:szCs w:val="18"/>
                <w:color w:val="auto"/>
              </w:rPr>
              <w:t>1.64 %</w:t>
            </w:r>
          </w:p>
        </w:tc>
        <w:tc>
          <w:tcPr>
            <w:tcW w:w="860" w:type="dxa"/>
            <w:vAlign w:val="bottom"/>
          </w:tcPr>
          <w:p>
            <w:pPr>
              <w:jc w:val="right"/>
              <w:spacing w:after="0"/>
              <w:rPr>
                <w:sz w:val="20"/>
                <w:szCs w:val="20"/>
                <w:color w:val="auto"/>
              </w:rPr>
            </w:pPr>
            <w:r>
              <w:rPr>
                <w:rFonts w:ascii="Arial" w:cs="Arial" w:eastAsia="Arial" w:hAnsi="Arial"/>
                <w:sz w:val="18"/>
                <w:szCs w:val="18"/>
                <w:color w:val="auto"/>
              </w:rPr>
              <w:t>1.80 %</w:t>
            </w:r>
          </w:p>
        </w:tc>
        <w:tc>
          <w:tcPr>
            <w:tcW w:w="860" w:type="dxa"/>
            <w:vAlign w:val="bottom"/>
          </w:tcPr>
          <w:p>
            <w:pPr>
              <w:jc w:val="right"/>
              <w:spacing w:after="0"/>
              <w:rPr>
                <w:sz w:val="20"/>
                <w:szCs w:val="20"/>
                <w:color w:val="auto"/>
              </w:rPr>
            </w:pPr>
            <w:r>
              <w:rPr>
                <w:rFonts w:ascii="Arial" w:cs="Arial" w:eastAsia="Arial" w:hAnsi="Arial"/>
                <w:sz w:val="18"/>
                <w:szCs w:val="18"/>
                <w:color w:val="auto"/>
              </w:rPr>
              <w:t>1.47 %</w:t>
            </w:r>
          </w:p>
        </w:tc>
        <w:tc>
          <w:tcPr>
            <w:tcW w:w="840" w:type="dxa"/>
            <w:vAlign w:val="bottom"/>
          </w:tcPr>
          <w:p>
            <w:pPr>
              <w:jc w:val="right"/>
              <w:spacing w:after="0"/>
              <w:rPr>
                <w:sz w:val="20"/>
                <w:szCs w:val="20"/>
                <w:color w:val="auto"/>
              </w:rPr>
            </w:pPr>
            <w:r>
              <w:rPr>
                <w:rFonts w:ascii="Arial" w:cs="Arial" w:eastAsia="Arial" w:hAnsi="Arial"/>
                <w:sz w:val="18"/>
                <w:szCs w:val="18"/>
                <w:color w:val="auto"/>
              </w:rPr>
              <w:t>1.70 %</w:t>
            </w:r>
          </w:p>
        </w:tc>
      </w:tr>
    </w:tbl>
    <w:p>
      <w:pPr>
        <w:spacing w:after="0" w:line="213" w:lineRule="exact"/>
        <w:rPr>
          <w:sz w:val="20"/>
          <w:szCs w:val="20"/>
          <w:color w:val="auto"/>
        </w:rPr>
      </w:pPr>
    </w:p>
    <w:p>
      <w:pPr>
        <w:sectPr>
          <w:pgSz w:w="11900" w:h="16838" w:orient="portrait"/>
          <w:cols w:equalWidth="0" w:num="2">
            <w:col w:w="4520" w:space="180"/>
            <w:col w:w="4319"/>
          </w:cols>
          <w:pgMar w:left="1440" w:top="517"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ind w:left="480" w:hanging="322"/>
        <w:spacing w:after="0"/>
        <w:tabs>
          <w:tab w:leader="none" w:pos="480" w:val="left"/>
        </w:tabs>
        <w:numPr>
          <w:ilvl w:val="0"/>
          <w:numId w:val="14"/>
        </w:numPr>
        <w:rPr>
          <w:rFonts w:ascii="Arial" w:cs="Arial" w:eastAsia="Arial" w:hAnsi="Arial"/>
          <w:sz w:val="13"/>
          <w:szCs w:val="13"/>
          <w:color w:val="auto"/>
        </w:rPr>
      </w:pPr>
      <w:r>
        <w:rPr>
          <w:rFonts w:ascii="Arial" w:cs="Arial" w:eastAsia="Arial" w:hAnsi="Arial"/>
          <w:sz w:val="14"/>
          <w:szCs w:val="14"/>
          <w:color w:val="auto"/>
        </w:rPr>
        <w:t>A non-GAAP financial measure. See “</w:t>
      </w:r>
      <w:r>
        <w:rPr>
          <w:rFonts w:ascii="Arial" w:cs="Arial" w:eastAsia="Arial" w:hAnsi="Arial"/>
          <w:sz w:val="14"/>
          <w:szCs w:val="14"/>
          <w:i w:val="1"/>
          <w:iCs w:val="1"/>
          <w:color w:val="auto"/>
        </w:rPr>
        <w:t>Non-GAAP Financial Information</w:t>
      </w:r>
      <w:r>
        <w:rPr>
          <w:rFonts w:ascii="Arial" w:cs="Arial" w:eastAsia="Arial" w:hAnsi="Arial"/>
          <w:sz w:val="14"/>
          <w:szCs w:val="14"/>
          <w:color w:val="auto"/>
        </w:rPr>
        <w:t>” included in this Quarterly Report.</w:t>
      </w:r>
    </w:p>
    <w:p>
      <w:pPr>
        <w:spacing w:after="0" w:line="13" w:lineRule="exact"/>
        <w:rPr>
          <w:rFonts w:ascii="Arial" w:cs="Arial" w:eastAsia="Arial" w:hAnsi="Arial"/>
          <w:sz w:val="13"/>
          <w:szCs w:val="13"/>
          <w:color w:val="auto"/>
        </w:rPr>
      </w:pPr>
    </w:p>
    <w:p>
      <w:pPr>
        <w:ind w:left="480" w:hanging="322"/>
        <w:spacing w:after="0"/>
        <w:tabs>
          <w:tab w:leader="none" w:pos="480" w:val="left"/>
        </w:tabs>
        <w:numPr>
          <w:ilvl w:val="0"/>
          <w:numId w:val="14"/>
        </w:numPr>
        <w:rPr>
          <w:rFonts w:ascii="Arial" w:cs="Arial" w:eastAsia="Arial" w:hAnsi="Arial"/>
          <w:sz w:val="13"/>
          <w:szCs w:val="13"/>
          <w:color w:val="auto"/>
        </w:rPr>
      </w:pPr>
      <w:r>
        <w:rPr>
          <w:rFonts w:ascii="Arial" w:cs="Arial" w:eastAsia="Arial" w:hAnsi="Arial"/>
          <w:sz w:val="14"/>
          <w:szCs w:val="14"/>
          <w:color w:val="auto"/>
        </w:rPr>
        <w:t>Calculated using adjusted net income, a non-GAAP measure. See “</w:t>
      </w:r>
      <w:r>
        <w:rPr>
          <w:rFonts w:ascii="Arial" w:cs="Arial" w:eastAsia="Arial" w:hAnsi="Arial"/>
          <w:sz w:val="14"/>
          <w:szCs w:val="14"/>
          <w:i w:val="1"/>
          <w:iCs w:val="1"/>
          <w:color w:val="auto"/>
        </w:rPr>
        <w:t>Non-GAAP Financial Information</w:t>
      </w:r>
      <w:r>
        <w:rPr>
          <w:rFonts w:ascii="Arial" w:cs="Arial" w:eastAsia="Arial" w:hAnsi="Arial"/>
          <w:sz w:val="14"/>
          <w:szCs w:val="14"/>
          <w:color w:val="auto"/>
        </w:rPr>
        <w:t>” included in this Quarterly Report.</w:t>
      </w:r>
    </w:p>
    <w:p>
      <w:pPr>
        <w:spacing w:after="0" w:line="1" w:lineRule="exact"/>
        <w:rPr>
          <w:rFonts w:ascii="Arial" w:cs="Arial" w:eastAsia="Arial" w:hAnsi="Arial"/>
          <w:sz w:val="13"/>
          <w:szCs w:val="13"/>
          <w:color w:val="auto"/>
        </w:rPr>
      </w:pPr>
    </w:p>
    <w:p>
      <w:pPr>
        <w:ind w:left="480" w:hanging="322"/>
        <w:spacing w:after="0"/>
        <w:tabs>
          <w:tab w:leader="none" w:pos="480" w:val="left"/>
        </w:tabs>
        <w:numPr>
          <w:ilvl w:val="0"/>
          <w:numId w:val="14"/>
        </w:numPr>
        <w:rPr>
          <w:rFonts w:ascii="Arial" w:cs="Arial" w:eastAsia="Arial" w:hAnsi="Arial"/>
          <w:sz w:val="13"/>
          <w:szCs w:val="13"/>
          <w:color w:val="auto"/>
        </w:rPr>
      </w:pPr>
      <w:r>
        <w:rPr>
          <w:rFonts w:ascii="Arial" w:cs="Arial" w:eastAsia="Arial" w:hAnsi="Arial"/>
          <w:sz w:val="14"/>
          <w:szCs w:val="14"/>
          <w:color w:val="auto"/>
        </w:rPr>
        <w:t>Annualized measure.</w:t>
      </w:r>
    </w:p>
    <w:p>
      <w:pPr>
        <w:spacing w:after="0" w:line="196"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On May 31, 2021, the Company completed its acquisition of CAC, the holding company for GSB. GSB, founded in 1920, is a commercial bank headquartered in Glenview, Illinois. Busey will operate GSB as a separate banking subsidiary of Busey until it is merged with Busey Bank, which is expected to occur in the third quarter of 2021. Results for the three and six months ended June 30, 2021, include one month of operating results for GSB.</w:t>
      </w:r>
    </w:p>
    <w:p>
      <w:pPr>
        <w:spacing w:after="0" w:line="159" w:lineRule="exact"/>
        <w:rPr>
          <w:sz w:val="20"/>
          <w:szCs w:val="20"/>
          <w:color w:val="auto"/>
        </w:rPr>
      </w:pPr>
    </w:p>
    <w:p>
      <w:pPr>
        <w:ind w:left="60" w:right="119"/>
        <w:spacing w:after="0" w:line="254" w:lineRule="auto"/>
        <w:rPr>
          <w:sz w:val="20"/>
          <w:szCs w:val="20"/>
          <w:color w:val="auto"/>
        </w:rPr>
      </w:pPr>
      <w:r>
        <w:rPr>
          <w:rFonts w:ascii="Arial" w:cs="Arial" w:eastAsia="Arial" w:hAnsi="Arial"/>
          <w:sz w:val="17"/>
          <w:szCs w:val="17"/>
          <w:color w:val="auto"/>
        </w:rPr>
        <w:t>The Company views certain non-operating items, including acquisition-related and restructuring charges, as adjustments to net income reported under GAAP. Non-operating pre-tax adjustments for the three and six months ended June 30, 2021, included $2.7 million and $3.0 million of expenses related to acquisitions, respectively. A reconciliation of non-GAAP measures – including adjusted pre-provision net revenue, adjusted net income, adjusted earnings per share, adjusted return on average assets, adjusted net interest margin, adjusted efficiency ratio, tangible common equity, tangible common equity to tangible assets, tangible book value per share, and return on average tangible common equity – which the Company believes facilitates the assessment of its financial results and peer comparability, is included in tabular form in this Quarterly Report. See “</w:t>
      </w:r>
      <w:r>
        <w:rPr>
          <w:rFonts w:ascii="Arial" w:cs="Arial" w:eastAsia="Arial" w:hAnsi="Arial"/>
          <w:sz w:val="17"/>
          <w:szCs w:val="17"/>
          <w:i w:val="1"/>
          <w:iCs w:val="1"/>
          <w:color w:val="auto"/>
        </w:rPr>
        <w:t>Non-GAAP Financial Information</w:t>
      </w:r>
      <w:r>
        <w:rPr>
          <w:rFonts w:ascii="Arial" w:cs="Arial" w:eastAsia="Arial" w:hAnsi="Arial"/>
          <w:sz w:val="17"/>
          <w:szCs w:val="17"/>
          <w:color w:val="auto"/>
        </w:rPr>
        <w: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Center Markets</w:t>
      </w:r>
    </w:p>
    <w:p>
      <w:pPr>
        <w:spacing w:after="0" w:line="198" w:lineRule="exact"/>
        <w:rPr>
          <w:sz w:val="20"/>
          <w:szCs w:val="20"/>
          <w:color w:val="auto"/>
        </w:rPr>
      </w:pPr>
    </w:p>
    <w:p>
      <w:pPr>
        <w:ind w:left="60" w:right="99"/>
        <w:spacing w:after="0" w:line="279" w:lineRule="auto"/>
        <w:rPr>
          <w:sz w:val="20"/>
          <w:szCs w:val="20"/>
          <w:color w:val="auto"/>
        </w:rPr>
      </w:pPr>
      <w:r>
        <w:rPr>
          <w:rFonts w:ascii="Arial" w:cs="Arial" w:eastAsia="Arial" w:hAnsi="Arial"/>
          <w:sz w:val="16"/>
          <w:szCs w:val="16"/>
          <w:color w:val="auto"/>
        </w:rPr>
        <w:t>As of June 30, 2021, we served the Illinois banking market with 53 Busey Bank banking centers and seven GSB banking centers.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However, the financial condition of the state of Illinois, in which the largest portion of the Company’s customer base resides, is characterized by low credit ratings and budget deficits.</w:t>
      </w:r>
    </w:p>
    <w:p>
      <w:pPr>
        <w:spacing w:after="0" w:line="146" w:lineRule="exact"/>
        <w:rPr>
          <w:sz w:val="20"/>
          <w:szCs w:val="20"/>
          <w:color w:val="auto"/>
        </w:rPr>
      </w:pPr>
    </w:p>
    <w:p>
      <w:pPr>
        <w:ind w:left="60" w:right="79"/>
        <w:spacing w:after="0" w:line="294" w:lineRule="auto"/>
        <w:rPr>
          <w:sz w:val="20"/>
          <w:szCs w:val="20"/>
          <w:color w:val="auto"/>
        </w:rPr>
      </w:pPr>
      <w:r>
        <w:rPr>
          <w:rFonts w:ascii="Arial" w:cs="Arial" w:eastAsia="Arial" w:hAnsi="Arial"/>
          <w:sz w:val="16"/>
          <w:szCs w:val="16"/>
          <w:color w:val="auto"/>
        </w:rPr>
        <w:t>As of June 30, 2021, Busey Bank had 10 banking centers in Missouri. St. Louis, Missouri has a diverse economy with major employment sectors including health care, financial services, professional and business services, and retail. Fourteen of our banking centers in Illinois are located within the boundaries of the St. Louis Metropolitan Statistical Area.</w:t>
      </w:r>
    </w:p>
    <w:p>
      <w:pPr>
        <w:spacing w:after="0" w:line="134" w:lineRule="exact"/>
        <w:rPr>
          <w:sz w:val="20"/>
          <w:szCs w:val="20"/>
          <w:color w:val="auto"/>
        </w:rPr>
      </w:pPr>
    </w:p>
    <w:p>
      <w:pPr>
        <w:ind w:left="60" w:right="459"/>
        <w:spacing w:after="0" w:line="291" w:lineRule="auto"/>
        <w:rPr>
          <w:sz w:val="20"/>
          <w:szCs w:val="20"/>
          <w:color w:val="auto"/>
        </w:rPr>
      </w:pPr>
      <w:r>
        <w:rPr>
          <w:rFonts w:ascii="Arial" w:cs="Arial" w:eastAsia="Arial" w:hAnsi="Arial"/>
          <w:sz w:val="17"/>
          <w:szCs w:val="17"/>
          <w:color w:val="auto"/>
        </w:rPr>
        <w:t>As of June 30, 2021, Busey Bank had four banking centers in southwest Florida, an area which has experienced above average population growth, job growth, and an expanded housing market over the last several years.</w:t>
      </w:r>
    </w:p>
    <w:p>
      <w:pPr>
        <w:spacing w:after="0" w:line="133" w:lineRule="exact"/>
        <w:rPr>
          <w:sz w:val="20"/>
          <w:szCs w:val="20"/>
          <w:color w:val="auto"/>
        </w:rPr>
      </w:pPr>
    </w:p>
    <w:p>
      <w:pPr>
        <w:ind w:left="60" w:right="99"/>
        <w:spacing w:after="0" w:line="261" w:lineRule="auto"/>
        <w:rPr>
          <w:sz w:val="20"/>
          <w:szCs w:val="20"/>
          <w:color w:val="auto"/>
        </w:rPr>
      </w:pPr>
      <w:r>
        <w:rPr>
          <w:rFonts w:ascii="Arial" w:cs="Arial" w:eastAsia="Arial" w:hAnsi="Arial"/>
          <w:sz w:val="18"/>
          <w:szCs w:val="18"/>
          <w:color w:val="auto"/>
        </w:rPr>
        <w:t>As of June 30, 2021, Busey Bank had one banking center in the Indianapolis, Indiana area, which is the most populous city of Indiana with a diverse economy, including the headquarters of many large corporations.</w:t>
      </w:r>
    </w:p>
    <w:p>
      <w:pPr>
        <w:spacing w:after="0" w:line="157" w:lineRule="exact"/>
        <w:rPr>
          <w:sz w:val="20"/>
          <w:szCs w:val="20"/>
          <w:color w:val="auto"/>
        </w:rPr>
      </w:pPr>
    </w:p>
    <w:p>
      <w:pPr>
        <w:ind w:left="60" w:right="299"/>
        <w:spacing w:after="0" w:line="261" w:lineRule="auto"/>
        <w:rPr>
          <w:sz w:val="20"/>
          <w:szCs w:val="20"/>
          <w:color w:val="auto"/>
        </w:rPr>
      </w:pPr>
      <w:r>
        <w:rPr>
          <w:rFonts w:ascii="Arial" w:cs="Arial" w:eastAsia="Arial" w:hAnsi="Arial"/>
          <w:sz w:val="18"/>
          <w:szCs w:val="18"/>
          <w:color w:val="auto"/>
        </w:rPr>
        <w:t>The Company has evaluated and expects to close and consolidate 15 Busey Bank banking centers and two GSB banking centers in the fourth quarter of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198" w:lineRule="exact"/>
        <w:rPr>
          <w:sz w:val="20"/>
          <w:szCs w:val="20"/>
          <w:color w:val="auto"/>
        </w:rPr>
      </w:pPr>
    </w:p>
    <w:p>
      <w:pPr>
        <w:ind w:left="60" w:right="499"/>
        <w:spacing w:after="0" w:line="243"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74"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 federal income tax rate of 21%.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Consolidated Average Balance Sheets and Interest Rates (Unaudited)</w:t>
      </w:r>
    </w:p>
    <w:p>
      <w:pPr>
        <w:spacing w:after="0" w:line="198" w:lineRule="exact"/>
        <w:rPr>
          <w:sz w:val="20"/>
          <w:szCs w:val="20"/>
          <w:color w:val="auto"/>
        </w:rPr>
      </w:pPr>
    </w:p>
    <w:p>
      <w:pPr>
        <w:ind w:left="60" w:right="259"/>
        <w:spacing w:after="0" w:line="243" w:lineRule="auto"/>
        <w:rPr>
          <w:sz w:val="20"/>
          <w:szCs w:val="20"/>
          <w:color w:val="auto"/>
        </w:rPr>
      </w:pPr>
      <w:r>
        <w:rPr>
          <w:rFonts w:ascii="Arial" w:cs="Arial" w:eastAsia="Arial" w:hAnsi="Arial"/>
          <w:sz w:val="18"/>
          <w:szCs w:val="18"/>
          <w:color w:val="auto"/>
        </w:rPr>
        <w:t xml:space="preserve">The following tables show our Consolidated Average Balance Sheets </w:t>
      </w:r>
      <w:r>
        <w:rPr>
          <w:rFonts w:ascii="Arial" w:cs="Arial" w:eastAsia="Arial" w:hAnsi="Arial"/>
          <w:sz w:val="18"/>
          <w:szCs w:val="18"/>
          <w:i w:val="1"/>
          <w:iCs w:val="1"/>
          <w:color w:val="auto"/>
        </w:rPr>
        <w:t>(dollars in thousands)</w:t>
      </w:r>
      <w:r>
        <w:rPr>
          <w:rFonts w:ascii="Arial" w:cs="Arial" w:eastAsia="Arial" w:hAnsi="Arial"/>
          <w:sz w:val="18"/>
          <w:szCs w:val="18"/>
          <w:color w:val="auto"/>
        </w:rPr>
        <w:t>, and details the major categories of assets and liabilities, the interest income earned on interest-earning assets, the interest expense paid for interest-bearing liabilities, and the related interest yields for the periods shown. All average information is provided on a daily average basis.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155"/>
        </w:trPr>
        <w:tc>
          <w:tcPr>
            <w:tcW w:w="2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center"/>
              <w:ind w:right="332"/>
              <w:spacing w:after="0" w:line="155"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center"/>
              <w:ind w:right="372"/>
              <w:spacing w:after="0" w:line="15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r>
      <w:tr>
        <w:trPr>
          <w:trHeight w:val="132"/>
        </w:trPr>
        <w:tc>
          <w:tcPr>
            <w:tcW w:w="2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4"/>
                <w:szCs w:val="14"/>
                <w:b w:val="1"/>
                <w:bCs w:val="1"/>
                <w:color w:val="auto"/>
                <w:w w:val="98"/>
              </w:rPr>
              <w:t>Income/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70"/>
              <w:spacing w:after="0" w:line="133" w:lineRule="exact"/>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Income/</w:t>
            </w:r>
          </w:p>
        </w:tc>
        <w:tc>
          <w:tcPr>
            <w:tcW w:w="660" w:type="dxa"/>
            <w:vAlign w:val="bottom"/>
            <w:gridSpan w:val="2"/>
          </w:tcPr>
          <w:p>
            <w:pPr>
              <w:jc w:val="right"/>
              <w:ind w:right="50"/>
              <w:spacing w:after="0" w:line="133" w:lineRule="exact"/>
              <w:rPr>
                <w:sz w:val="20"/>
                <w:szCs w:val="20"/>
                <w:color w:val="auto"/>
              </w:rPr>
            </w:pPr>
            <w:r>
              <w:rPr>
                <w:rFonts w:ascii="Arial" w:cs="Arial" w:eastAsia="Arial" w:hAnsi="Arial"/>
                <w:sz w:val="14"/>
                <w:szCs w:val="14"/>
                <w:b w:val="1"/>
                <w:bCs w:val="1"/>
                <w:color w:val="auto"/>
              </w:rPr>
              <w:t>Yield/</w:t>
            </w:r>
          </w:p>
        </w:tc>
      </w:tr>
      <w:tr>
        <w:trPr>
          <w:trHeight w:val="185"/>
        </w:trPr>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0"/>
              </w:rPr>
              <w:t>Expense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30"/>
              <w:spacing w:after="0" w:line="186"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21"/>
                <w:szCs w:val="21"/>
                <w:color w:val="auto"/>
                <w:vertAlign w:val="superscript"/>
              </w:rPr>
              <w:t>(5)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Expense</w:t>
            </w:r>
          </w:p>
        </w:tc>
        <w:tc>
          <w:tcPr>
            <w:tcW w:w="660" w:type="dxa"/>
            <w:vAlign w:val="bottom"/>
            <w:gridSpan w:val="2"/>
          </w:tcPr>
          <w:p>
            <w:pPr>
              <w:jc w:val="right"/>
              <w:ind w:right="10"/>
              <w:spacing w:after="0" w:line="186"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21"/>
                <w:szCs w:val="21"/>
                <w:color w:val="auto"/>
                <w:vertAlign w:val="superscript"/>
              </w:rPr>
              <w:t>(5)</w:t>
            </w:r>
          </w:p>
        </w:tc>
      </w:tr>
      <w:tr>
        <w:trPr>
          <w:trHeight w:val="196"/>
        </w:trPr>
        <w:tc>
          <w:tcPr>
            <w:tcW w:w="338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r>
      <w:tr>
        <w:trPr>
          <w:trHeight w:val="188"/>
        </w:trPr>
        <w:tc>
          <w:tcPr>
            <w:tcW w:w="338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99"/>
              </w:rPr>
              <w:t>Interest-bearing bank deposits and federal</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7"/>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funds sold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505,223</w:t>
            </w:r>
          </w:p>
        </w:tc>
        <w:tc>
          <w:tcPr>
            <w:tcW w:w="40" w:type="dxa"/>
            <w:vAlign w:val="bottom"/>
          </w:tcPr>
          <w:p>
            <w:pPr>
              <w:spacing w:after="0"/>
              <w:rPr>
                <w:sz w:val="18"/>
                <w:szCs w:val="18"/>
                <w:color w:val="auto"/>
              </w:rPr>
            </w:pPr>
          </w:p>
        </w:tc>
        <w:tc>
          <w:tcPr>
            <w:tcW w:w="22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245</w:t>
            </w:r>
          </w:p>
        </w:tc>
        <w:tc>
          <w:tcPr>
            <w:tcW w:w="880" w:type="dxa"/>
            <w:vAlign w:val="bottom"/>
            <w:gridSpan w:val="4"/>
          </w:tcPr>
          <w:p>
            <w:pPr>
              <w:jc w:val="right"/>
              <w:ind w:right="10"/>
              <w:spacing w:after="0"/>
              <w:rPr>
                <w:sz w:val="20"/>
                <w:szCs w:val="20"/>
                <w:color w:val="auto"/>
              </w:rPr>
            </w:pPr>
            <w:r>
              <w:rPr>
                <w:rFonts w:ascii="Arial" w:cs="Arial" w:eastAsia="Arial" w:hAnsi="Arial"/>
                <w:sz w:val="18"/>
                <w:szCs w:val="18"/>
                <w:color w:val="auto"/>
              </w:rPr>
              <w:t>0.19 %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441,764</w:t>
            </w:r>
          </w:p>
        </w:tc>
        <w:tc>
          <w:tcPr>
            <w:tcW w:w="20" w:type="dxa"/>
            <w:vAlign w:val="bottom"/>
          </w:tcPr>
          <w:p>
            <w:pPr>
              <w:spacing w:after="0"/>
              <w:rPr>
                <w:sz w:val="18"/>
                <w:szCs w:val="18"/>
                <w:color w:val="auto"/>
              </w:rPr>
            </w:pPr>
          </w:p>
        </w:tc>
        <w:tc>
          <w:tcPr>
            <w:tcW w:w="220" w:type="dxa"/>
            <w:vAlign w:val="bottom"/>
            <w:gridSpan w:val="2"/>
          </w:tcPr>
          <w:p>
            <w:pPr>
              <w:jc w:val="center"/>
              <w:ind w:left="5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9"/>
              </w:rPr>
              <w:t>0.13 %</w:t>
            </w: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U.S. Government obligations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151,612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476</w:t>
            </w:r>
          </w:p>
        </w:tc>
        <w:tc>
          <w:tcPr>
            <w:tcW w:w="880" w:type="dxa"/>
            <w:vAlign w:val="bottom"/>
            <w:gridSpan w:val="4"/>
          </w:tcPr>
          <w:p>
            <w:pPr>
              <w:jc w:val="right"/>
              <w:ind w:right="10"/>
              <w:spacing w:after="0" w:line="202" w:lineRule="exact"/>
              <w:rPr>
                <w:sz w:val="20"/>
                <w:szCs w:val="20"/>
                <w:color w:val="auto"/>
              </w:rPr>
            </w:pPr>
            <w:r>
              <w:rPr>
                <w:rFonts w:ascii="Arial" w:cs="Arial" w:eastAsia="Arial" w:hAnsi="Arial"/>
                <w:sz w:val="18"/>
                <w:szCs w:val="18"/>
                <w:color w:val="auto"/>
              </w:rPr>
              <w:t>1.26 %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131,092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675</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2.07 %</w:t>
            </w:r>
          </w:p>
        </w:tc>
      </w:tr>
      <w:tr>
        <w:trPr>
          <w:trHeight w:val="178"/>
        </w:trPr>
        <w:tc>
          <w:tcPr>
            <w:tcW w:w="3380" w:type="dxa"/>
            <w:vAlign w:val="bottom"/>
            <w:gridSpan w:val="2"/>
            <w:shd w:val="clear" w:color="auto" w:fill="CCEEFF"/>
          </w:tcPr>
          <w:p>
            <w:pPr>
              <w:ind w:left="220"/>
              <w:spacing w:after="0" w:line="178" w:lineRule="exact"/>
              <w:rPr>
                <w:sz w:val="20"/>
                <w:szCs w:val="20"/>
                <w:color w:val="auto"/>
              </w:rPr>
            </w:pPr>
            <w:r>
              <w:rPr>
                <w:rFonts w:ascii="Arial" w:cs="Arial" w:eastAsia="Arial" w:hAnsi="Arial"/>
                <w:sz w:val="18"/>
                <w:szCs w:val="18"/>
                <w:color w:val="auto"/>
              </w:rPr>
              <w:t>Obligations of states and political</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27"/>
        </w:trPr>
        <w:tc>
          <w:tcPr>
            <w:tcW w:w="3380" w:type="dxa"/>
            <w:vAlign w:val="bottom"/>
            <w:gridSpan w:val="2"/>
            <w:shd w:val="clear" w:color="auto" w:fill="CCEEFF"/>
          </w:tcPr>
          <w:p>
            <w:pPr>
              <w:ind w:left="220"/>
              <w:spacing w:after="0" w:line="227" w:lineRule="exact"/>
              <w:rPr>
                <w:sz w:val="20"/>
                <w:szCs w:val="20"/>
                <w:color w:val="auto"/>
              </w:rPr>
            </w:pPr>
            <w:r>
              <w:rPr>
                <w:rFonts w:ascii="Arial" w:cs="Arial" w:eastAsia="Arial" w:hAnsi="Arial"/>
                <w:sz w:val="18"/>
                <w:szCs w:val="18"/>
                <w:color w:val="auto"/>
              </w:rPr>
              <w:t xml:space="preserve">subdivisions </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296,201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8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2.58 %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283,424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2.97 %</w:t>
            </w:r>
          </w:p>
        </w:tc>
      </w:tr>
      <w:tr>
        <w:trPr>
          <w:trHeight w:val="203"/>
        </w:trPr>
        <w:tc>
          <w:tcPr>
            <w:tcW w:w="3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2,583,437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7,909</w:t>
            </w:r>
          </w:p>
        </w:tc>
        <w:tc>
          <w:tcPr>
            <w:tcW w:w="880" w:type="dxa"/>
            <w:vAlign w:val="bottom"/>
            <w:gridSpan w:val="4"/>
          </w:tcPr>
          <w:p>
            <w:pPr>
              <w:jc w:val="right"/>
              <w:ind w:right="10"/>
              <w:spacing w:after="0" w:line="202" w:lineRule="exact"/>
              <w:rPr>
                <w:sz w:val="20"/>
                <w:szCs w:val="20"/>
                <w:color w:val="auto"/>
              </w:rPr>
            </w:pPr>
            <w:r>
              <w:rPr>
                <w:rFonts w:ascii="Arial" w:cs="Arial" w:eastAsia="Arial" w:hAnsi="Arial"/>
                <w:sz w:val="18"/>
                <w:szCs w:val="18"/>
                <w:color w:val="auto"/>
              </w:rPr>
              <w:t>1.23 %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1,303,274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7,543</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2.33 %</w:t>
            </w: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22,393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880" w:type="dxa"/>
            <w:vAlign w:val="bottom"/>
            <w:gridSpan w:val="4"/>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2.62 %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108,821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2.74 %</w:t>
            </w: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Portfolio loans </w:t>
            </w:r>
            <w:r>
              <w:rPr>
                <w:rFonts w:ascii="Arial" w:cs="Arial" w:eastAsia="Arial" w:hAnsi="Arial"/>
                <w:sz w:val="23"/>
                <w:szCs w:val="23"/>
                <w:color w:val="auto"/>
                <w:vertAlign w:val="superscript"/>
              </w:rPr>
              <w:t>(1), (2)</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6,889,551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61,583</w:t>
            </w:r>
          </w:p>
        </w:tc>
        <w:tc>
          <w:tcPr>
            <w:tcW w:w="880" w:type="dxa"/>
            <w:vAlign w:val="bottom"/>
            <w:gridSpan w:val="4"/>
          </w:tcPr>
          <w:p>
            <w:pPr>
              <w:jc w:val="right"/>
              <w:ind w:right="10"/>
              <w:spacing w:after="0" w:line="202" w:lineRule="exact"/>
              <w:rPr>
                <w:sz w:val="20"/>
                <w:szCs w:val="20"/>
                <w:color w:val="auto"/>
              </w:rPr>
            </w:pPr>
            <w:r>
              <w:rPr>
                <w:rFonts w:ascii="Arial" w:cs="Arial" w:eastAsia="Arial" w:hAnsi="Arial"/>
                <w:sz w:val="18"/>
                <w:szCs w:val="18"/>
                <w:color w:val="auto"/>
              </w:rPr>
              <w:t>3.59 %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7,216,825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70,754</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3.94 %</w:t>
            </w:r>
          </w:p>
        </w:tc>
      </w:tr>
      <w:tr>
        <w:trPr>
          <w:trHeight w:val="196"/>
        </w:trPr>
        <w:tc>
          <w:tcPr>
            <w:tcW w:w="338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Total interest-earning assets </w:t>
            </w:r>
            <w:r>
              <w:rPr>
                <w:rFonts w:ascii="Arial" w:cs="Arial" w:eastAsia="Arial" w:hAnsi="Arial"/>
                <w:sz w:val="22"/>
                <w:szCs w:val="22"/>
                <w:color w:val="auto"/>
                <w:vertAlign w:val="superscript"/>
              </w:rPr>
              <w:t>(1), (3)</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10,448,417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72,267</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2.77</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9,485,200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81,950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3.47</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Cash and due from banks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142,242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121,258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Premises and equipment</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135,760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148,960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ACL</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(96,626)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(85,509)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3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768,862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704,911</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r>
      <w:tr>
        <w:trPr>
          <w:trHeight w:val="196"/>
        </w:trPr>
        <w:tc>
          <w:tcPr>
            <w:tcW w:w="33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11,398,655</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10,374,820</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Interest-bearing transaction deposits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2,479,380</w:t>
            </w:r>
          </w:p>
        </w:tc>
        <w:tc>
          <w:tcPr>
            <w:tcW w:w="40" w:type="dxa"/>
            <w:vAlign w:val="bottom"/>
          </w:tcPr>
          <w:p>
            <w:pPr>
              <w:spacing w:after="0"/>
              <w:rPr>
                <w:sz w:val="17"/>
                <w:szCs w:val="17"/>
                <w:color w:val="auto"/>
              </w:rPr>
            </w:pPr>
          </w:p>
        </w:tc>
        <w:tc>
          <w:tcPr>
            <w:tcW w:w="220" w:type="dxa"/>
            <w:vAlign w:val="bottom"/>
            <w:gridSpan w:val="2"/>
          </w:tcPr>
          <w:p>
            <w:pPr>
              <w:jc w:val="center"/>
              <w:ind w:left="34"/>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495</w:t>
            </w:r>
          </w:p>
        </w:tc>
        <w:tc>
          <w:tcPr>
            <w:tcW w:w="880" w:type="dxa"/>
            <w:vAlign w:val="bottom"/>
            <w:gridSpan w:val="4"/>
          </w:tcPr>
          <w:p>
            <w:pPr>
              <w:jc w:val="right"/>
              <w:ind w:right="10"/>
              <w:spacing w:after="0" w:line="202" w:lineRule="exact"/>
              <w:rPr>
                <w:sz w:val="20"/>
                <w:szCs w:val="20"/>
                <w:color w:val="auto"/>
              </w:rPr>
            </w:pPr>
            <w:r>
              <w:rPr>
                <w:rFonts w:ascii="Arial" w:cs="Arial" w:eastAsia="Arial" w:hAnsi="Arial"/>
                <w:sz w:val="18"/>
                <w:szCs w:val="18"/>
                <w:color w:val="auto"/>
              </w:rPr>
              <w:t>0.08 %</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2,090,552</w:t>
            </w:r>
          </w:p>
        </w:tc>
        <w:tc>
          <w:tcPr>
            <w:tcW w:w="20" w:type="dxa"/>
            <w:vAlign w:val="bottom"/>
          </w:tcPr>
          <w:p>
            <w:pPr>
              <w:spacing w:after="0"/>
              <w:rPr>
                <w:sz w:val="17"/>
                <w:szCs w:val="17"/>
                <w:color w:val="auto"/>
              </w:rPr>
            </w:pPr>
          </w:p>
        </w:tc>
        <w:tc>
          <w:tcPr>
            <w:tcW w:w="220" w:type="dxa"/>
            <w:vAlign w:val="bottom"/>
            <w:gridSpan w:val="2"/>
          </w:tcPr>
          <w:p>
            <w:pPr>
              <w:jc w:val="center"/>
              <w:ind w:left="54"/>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978</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0.19 %</w:t>
            </w: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Savings and money market deposits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2,911,791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w:t>
            </w:r>
          </w:p>
        </w:tc>
        <w:tc>
          <w:tcPr>
            <w:tcW w:w="880" w:type="dxa"/>
            <w:vAlign w:val="bottom"/>
            <w:gridSpan w:val="4"/>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0.10 %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2,544,958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1,131</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0.18 %</w:t>
            </w: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1,041,165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2,095</w:t>
            </w:r>
          </w:p>
        </w:tc>
        <w:tc>
          <w:tcPr>
            <w:tcW w:w="880" w:type="dxa"/>
            <w:vAlign w:val="bottom"/>
            <w:gridSpan w:val="4"/>
          </w:tcPr>
          <w:p>
            <w:pPr>
              <w:jc w:val="right"/>
              <w:ind w:right="10"/>
              <w:spacing w:after="0" w:line="202" w:lineRule="exact"/>
              <w:rPr>
                <w:sz w:val="20"/>
                <w:szCs w:val="20"/>
                <w:color w:val="auto"/>
              </w:rPr>
            </w:pPr>
            <w:r>
              <w:rPr>
                <w:rFonts w:ascii="Arial" w:cs="Arial" w:eastAsia="Arial" w:hAnsi="Arial"/>
                <w:sz w:val="18"/>
                <w:szCs w:val="18"/>
                <w:color w:val="auto"/>
              </w:rPr>
              <w:t>0.81 %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1,438,285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5,612</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1.57 %</w:t>
            </w:r>
          </w:p>
        </w:tc>
      </w:tr>
      <w:tr>
        <w:trPr>
          <w:trHeight w:val="188"/>
        </w:trPr>
        <w:tc>
          <w:tcPr>
            <w:tcW w:w="3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Federal funds purchased and repurchase</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7"/>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agreements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0.12 %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0.22 %</w:t>
            </w: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Borrowings </w:t>
            </w:r>
            <w:r>
              <w:rPr>
                <w:rFonts w:ascii="Arial" w:cs="Arial" w:eastAsia="Arial" w:hAnsi="Arial"/>
                <w:sz w:val="23"/>
                <w:szCs w:val="23"/>
                <w:color w:val="auto"/>
                <w:vertAlign w:val="superscript"/>
              </w:rPr>
              <w:t>(4)</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257,770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3,059</w:t>
            </w:r>
          </w:p>
        </w:tc>
        <w:tc>
          <w:tcPr>
            <w:tcW w:w="880" w:type="dxa"/>
            <w:vAlign w:val="bottom"/>
            <w:gridSpan w:val="4"/>
          </w:tcPr>
          <w:p>
            <w:pPr>
              <w:jc w:val="right"/>
              <w:ind w:right="10"/>
              <w:spacing w:after="0" w:line="202" w:lineRule="exact"/>
              <w:rPr>
                <w:sz w:val="20"/>
                <w:szCs w:val="20"/>
                <w:color w:val="auto"/>
              </w:rPr>
            </w:pPr>
            <w:r>
              <w:rPr>
                <w:rFonts w:ascii="Arial" w:cs="Arial" w:eastAsia="Arial" w:hAnsi="Arial"/>
                <w:sz w:val="18"/>
                <w:szCs w:val="18"/>
                <w:color w:val="auto"/>
              </w:rPr>
              <w:t>4.76 %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198,358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1,863</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3.78 %</w:t>
            </w:r>
          </w:p>
        </w:tc>
      </w:tr>
      <w:tr>
        <w:trPr>
          <w:trHeight w:val="188"/>
        </w:trPr>
        <w:tc>
          <w:tcPr>
            <w:tcW w:w="3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Junior subordinated debt issued to</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7"/>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unconsolidated trusts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8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4.11 %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4.15 %</w:t>
            </w:r>
          </w:p>
        </w:tc>
      </w:tr>
      <w:tr>
        <w:trPr>
          <w:trHeight w:val="236"/>
        </w:trPr>
        <w:tc>
          <w:tcPr>
            <w:tcW w:w="338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Total interest-bearing liabilities</w:t>
            </w:r>
          </w:p>
        </w:tc>
        <w:tc>
          <w:tcPr>
            <w:tcW w:w="1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6,966,046</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7,146</w:t>
            </w:r>
          </w:p>
        </w:tc>
        <w:tc>
          <w:tcPr>
            <w:tcW w:w="6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96"/>
              </w:rPr>
              <w:t>0.41</w:t>
            </w:r>
          </w:p>
        </w:tc>
        <w:tc>
          <w:tcPr>
            <w:tcW w:w="240" w:type="dxa"/>
            <w:vAlign w:val="bottom"/>
            <w:tcBorders>
              <w:bottom w:val="single" w:sz="8" w:color="CCEEFF"/>
            </w:tcBorders>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6,527,709</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10,420</w:t>
            </w:r>
          </w:p>
        </w:tc>
        <w:tc>
          <w:tcPr>
            <w:tcW w:w="1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0.64</w:t>
            </w:r>
          </w:p>
        </w:tc>
        <w:tc>
          <w:tcPr>
            <w:tcW w:w="2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83"/>
        </w:trPr>
        <w:tc>
          <w:tcPr>
            <w:tcW w:w="2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43"/>
        </w:trPr>
        <w:tc>
          <w:tcPr>
            <w:tcW w:w="338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Net interest spread </w:t>
            </w:r>
            <w:r>
              <w:rPr>
                <w:rFonts w:ascii="Arial" w:cs="Arial" w:eastAsia="Arial" w:hAnsi="Arial"/>
                <w:sz w:val="23"/>
                <w:szCs w:val="23"/>
                <w:color w:val="auto"/>
                <w:vertAlign w:val="superscript"/>
              </w:rPr>
              <w:t>(1)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gridSpan w:val="4"/>
          </w:tcPr>
          <w:p>
            <w:pPr>
              <w:jc w:val="right"/>
              <w:ind w:right="10"/>
              <w:spacing w:after="0" w:line="202" w:lineRule="exact"/>
              <w:rPr>
                <w:sz w:val="20"/>
                <w:szCs w:val="20"/>
                <w:color w:val="auto"/>
              </w:rPr>
            </w:pPr>
            <w:r>
              <w:rPr>
                <w:rFonts w:ascii="Arial" w:cs="Arial" w:eastAsia="Arial" w:hAnsi="Arial"/>
                <w:sz w:val="18"/>
                <w:szCs w:val="18"/>
                <w:color w:val="auto"/>
              </w:rPr>
              <w:t>2.36 %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2.83 %</w:t>
            </w:r>
          </w:p>
        </w:tc>
      </w:tr>
      <w:tr>
        <w:trPr>
          <w:trHeight w:val="183"/>
        </w:trPr>
        <w:tc>
          <w:tcPr>
            <w:tcW w:w="2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Noninterest-bearing deposits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2,970,890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2,472,568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118,948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141,273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3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1,342,771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1,233,270</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r>
      <w:tr>
        <w:trPr>
          <w:trHeight w:val="196"/>
        </w:trPr>
        <w:tc>
          <w:tcPr>
            <w:tcW w:w="33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11,398,655</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10,374,820</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Interest income / earning assets </w:t>
            </w:r>
            <w:r>
              <w:rPr>
                <w:rFonts w:ascii="Arial" w:cs="Arial" w:eastAsia="Arial" w:hAnsi="Arial"/>
                <w:sz w:val="23"/>
                <w:szCs w:val="23"/>
                <w:color w:val="auto"/>
                <w:vertAlign w:val="superscript"/>
              </w:rPr>
              <w:t>(1), (3)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10,448,417</w:t>
            </w: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center"/>
              <w:ind w:left="34"/>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72,267</w:t>
            </w:r>
          </w:p>
        </w:tc>
        <w:tc>
          <w:tcPr>
            <w:tcW w:w="880" w:type="dxa"/>
            <w:vAlign w:val="bottom"/>
            <w:gridSpan w:val="4"/>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2.77 %</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9,485,200</w:t>
            </w: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center"/>
              <w:ind w:left="54"/>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81,950</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3.47 %</w:t>
            </w: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 / earning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0"/>
              </w:rPr>
              <w:t>10,448,417</w:t>
            </w:r>
          </w:p>
        </w:tc>
        <w:tc>
          <w:tcPr>
            <w:tcW w:w="40" w:type="dxa"/>
            <w:vAlign w:val="bottom"/>
          </w:tcPr>
          <w:p>
            <w:pPr>
              <w:spacing w:after="0"/>
              <w:rPr>
                <w:sz w:val="17"/>
                <w:szCs w:val="17"/>
                <w:color w:val="auto"/>
              </w:rPr>
            </w:pPr>
          </w:p>
        </w:tc>
        <w:tc>
          <w:tcPr>
            <w:tcW w:w="220" w:type="dxa"/>
            <w:vAlign w:val="bottom"/>
            <w:gridSpan w:val="2"/>
          </w:tcPr>
          <w:p>
            <w:pPr>
              <w:jc w:val="center"/>
              <w:ind w:left="34"/>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7,146</w:t>
            </w:r>
          </w:p>
        </w:tc>
        <w:tc>
          <w:tcPr>
            <w:tcW w:w="880" w:type="dxa"/>
            <w:vAlign w:val="bottom"/>
            <w:gridSpan w:val="4"/>
          </w:tcPr>
          <w:p>
            <w:pPr>
              <w:jc w:val="right"/>
              <w:ind w:right="10"/>
              <w:spacing w:after="0" w:line="202" w:lineRule="exact"/>
              <w:rPr>
                <w:sz w:val="20"/>
                <w:szCs w:val="20"/>
                <w:color w:val="auto"/>
              </w:rPr>
            </w:pPr>
            <w:r>
              <w:rPr>
                <w:rFonts w:ascii="Arial" w:cs="Arial" w:eastAsia="Arial" w:hAnsi="Arial"/>
                <w:sz w:val="18"/>
                <w:szCs w:val="18"/>
                <w:color w:val="auto"/>
              </w:rPr>
              <w:t>0.27 %</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9,485,200</w:t>
            </w:r>
          </w:p>
        </w:tc>
        <w:tc>
          <w:tcPr>
            <w:tcW w:w="20" w:type="dxa"/>
            <w:vAlign w:val="bottom"/>
          </w:tcPr>
          <w:p>
            <w:pPr>
              <w:spacing w:after="0"/>
              <w:rPr>
                <w:sz w:val="17"/>
                <w:szCs w:val="17"/>
                <w:color w:val="auto"/>
              </w:rPr>
            </w:pPr>
          </w:p>
        </w:tc>
        <w:tc>
          <w:tcPr>
            <w:tcW w:w="220" w:type="dxa"/>
            <w:vAlign w:val="bottom"/>
            <w:gridSpan w:val="2"/>
          </w:tcPr>
          <w:p>
            <w:pPr>
              <w:jc w:val="center"/>
              <w:ind w:left="54"/>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10,420</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0.44 %</w:t>
            </w:r>
          </w:p>
        </w:tc>
      </w:tr>
      <w:tr>
        <w:trPr>
          <w:trHeight w:val="196"/>
        </w:trPr>
        <w:tc>
          <w:tcPr>
            <w:tcW w:w="338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2"/>
                <w:szCs w:val="22"/>
                <w:color w:val="auto"/>
                <w:vertAlign w:val="superscript"/>
              </w:rPr>
              <w:t>(1)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65,121</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6"/>
              </w:rPr>
              <w:t>2.50 %</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71,530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3.03 %</w:t>
            </w:r>
          </w:p>
        </w:tc>
      </w:tr>
      <w:tr>
        <w:trPr>
          <w:trHeight w:val="20"/>
        </w:trPr>
        <w:tc>
          <w:tcPr>
            <w:tcW w:w="2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62" w:lineRule="exact"/>
        <w:rPr>
          <w:sz w:val="20"/>
          <w:szCs w:val="20"/>
          <w:color w:val="auto"/>
        </w:rPr>
      </w:pPr>
    </w:p>
    <w:p>
      <w:pPr>
        <w:ind w:left="480" w:hanging="322"/>
        <w:spacing w:after="0"/>
        <w:tabs>
          <w:tab w:leader="none" w:pos="480" w:val="left"/>
        </w:tabs>
        <w:numPr>
          <w:ilvl w:val="0"/>
          <w:numId w:val="15"/>
        </w:numPr>
        <w:rPr>
          <w:rFonts w:ascii="Arial" w:cs="Arial" w:eastAsia="Arial" w:hAnsi="Arial"/>
          <w:sz w:val="13"/>
          <w:szCs w:val="13"/>
          <w:color w:val="auto"/>
        </w:rPr>
      </w:pPr>
      <w:r>
        <w:rPr>
          <w:rFonts w:ascii="Arial" w:cs="Arial" w:eastAsia="Arial" w:hAnsi="Arial"/>
          <w:sz w:val="14"/>
          <w:szCs w:val="14"/>
          <w:color w:val="auto"/>
        </w:rPr>
        <w:t>On a tax-equivalent basis and assuming a federal income tax rate of 21%.</w:t>
      </w:r>
    </w:p>
    <w:p>
      <w:pPr>
        <w:spacing w:after="0" w:line="13" w:lineRule="exact"/>
        <w:rPr>
          <w:rFonts w:ascii="Arial" w:cs="Arial" w:eastAsia="Arial" w:hAnsi="Arial"/>
          <w:sz w:val="13"/>
          <w:szCs w:val="13"/>
          <w:color w:val="auto"/>
        </w:rPr>
      </w:pPr>
    </w:p>
    <w:p>
      <w:pPr>
        <w:ind w:left="480" w:hanging="322"/>
        <w:spacing w:after="0"/>
        <w:tabs>
          <w:tab w:leader="none" w:pos="480" w:val="left"/>
        </w:tabs>
        <w:numPr>
          <w:ilvl w:val="0"/>
          <w:numId w:val="15"/>
        </w:numPr>
        <w:rPr>
          <w:rFonts w:ascii="Arial" w:cs="Arial" w:eastAsia="Arial" w:hAnsi="Arial"/>
          <w:sz w:val="13"/>
          <w:szCs w:val="13"/>
          <w:color w:val="auto"/>
        </w:rPr>
      </w:pPr>
      <w:r>
        <w:rPr>
          <w:rFonts w:ascii="Arial" w:cs="Arial" w:eastAsia="Arial" w:hAnsi="Arial"/>
          <w:sz w:val="14"/>
          <w:szCs w:val="14"/>
          <w:color w:val="auto"/>
        </w:rPr>
        <w:t>Non-accrual loans have been included in average portfolio loans.</w:t>
      </w:r>
    </w:p>
    <w:p>
      <w:pPr>
        <w:spacing w:after="0" w:line="1" w:lineRule="exact"/>
        <w:rPr>
          <w:rFonts w:ascii="Arial" w:cs="Arial" w:eastAsia="Arial" w:hAnsi="Arial"/>
          <w:sz w:val="13"/>
          <w:szCs w:val="13"/>
          <w:color w:val="auto"/>
        </w:rPr>
      </w:pPr>
    </w:p>
    <w:p>
      <w:pPr>
        <w:ind w:left="480" w:hanging="322"/>
        <w:spacing w:after="0"/>
        <w:tabs>
          <w:tab w:leader="none" w:pos="4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Interest income includes a tax-equivalent adjustment of $0.6 million and $0.7 million for the three months ended June 30, 2021 and 2020.</w:t>
      </w:r>
    </w:p>
    <w:p>
      <w:pPr>
        <w:spacing w:after="0" w:line="12" w:lineRule="exact"/>
        <w:rPr>
          <w:rFonts w:ascii="Arial" w:cs="Arial" w:eastAsia="Arial" w:hAnsi="Arial"/>
          <w:sz w:val="13"/>
          <w:szCs w:val="13"/>
          <w:color w:val="auto"/>
        </w:rPr>
      </w:pPr>
    </w:p>
    <w:p>
      <w:pPr>
        <w:ind w:left="480" w:hanging="322"/>
        <w:spacing w:after="0"/>
        <w:tabs>
          <w:tab w:leader="none" w:pos="480" w:val="left"/>
        </w:tabs>
        <w:numPr>
          <w:ilvl w:val="0"/>
          <w:numId w:val="15"/>
        </w:numPr>
        <w:rPr>
          <w:rFonts w:ascii="Arial" w:cs="Arial" w:eastAsia="Arial" w:hAnsi="Arial"/>
          <w:sz w:val="13"/>
          <w:szCs w:val="13"/>
          <w:color w:val="auto"/>
        </w:rPr>
      </w:pPr>
      <w:r>
        <w:rPr>
          <w:rFonts w:ascii="Arial" w:cs="Arial" w:eastAsia="Arial" w:hAnsi="Arial"/>
          <w:sz w:val="14"/>
          <w:szCs w:val="14"/>
          <w:color w:val="auto"/>
        </w:rPr>
        <w:t>Includes short-term and long-term borrowings. Interest expense includes a non-usage fee on a revolving loan.</w:t>
      </w:r>
    </w:p>
    <w:p>
      <w:pPr>
        <w:spacing w:after="0" w:line="1" w:lineRule="exact"/>
        <w:rPr>
          <w:rFonts w:ascii="Arial" w:cs="Arial" w:eastAsia="Arial" w:hAnsi="Arial"/>
          <w:sz w:val="13"/>
          <w:szCs w:val="13"/>
          <w:color w:val="auto"/>
        </w:rPr>
      </w:pPr>
    </w:p>
    <w:p>
      <w:pPr>
        <w:ind w:left="480" w:hanging="322"/>
        <w:spacing w:after="0"/>
        <w:tabs>
          <w:tab w:leader="none" w:pos="480" w:val="left"/>
        </w:tabs>
        <w:numPr>
          <w:ilvl w:val="0"/>
          <w:numId w:val="15"/>
        </w:numPr>
        <w:rPr>
          <w:rFonts w:ascii="Arial" w:cs="Arial" w:eastAsia="Arial" w:hAnsi="Arial"/>
          <w:sz w:val="13"/>
          <w:szCs w:val="13"/>
          <w:color w:val="auto"/>
        </w:rPr>
      </w:pPr>
      <w:r>
        <w:rPr>
          <w:rFonts w:ascii="Arial" w:cs="Arial" w:eastAsia="Arial" w:hAnsi="Arial"/>
          <w:sz w:val="14"/>
          <w:szCs w:val="14"/>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155"/>
        </w:trPr>
        <w:tc>
          <w:tcPr>
            <w:tcW w:w="2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r>
      <w:tr>
        <w:trPr>
          <w:trHeight w:val="132"/>
        </w:trPr>
        <w:tc>
          <w:tcPr>
            <w:tcW w:w="2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1"/>
                <w:szCs w:val="11"/>
                <w:color w:val="auto"/>
              </w:rPr>
            </w:pPr>
          </w:p>
        </w:tc>
        <w:tc>
          <w:tcPr>
            <w:tcW w:w="660" w:type="dxa"/>
            <w:vAlign w:val="bottom"/>
          </w:tcPr>
          <w:p>
            <w:pPr>
              <w:jc w:val="right"/>
              <w:ind w:right="52"/>
              <w:spacing w:after="0" w:line="133" w:lineRule="exact"/>
              <w:rPr>
                <w:sz w:val="20"/>
                <w:szCs w:val="20"/>
                <w:color w:val="auto"/>
              </w:rPr>
            </w:pPr>
            <w:r>
              <w:rPr>
                <w:rFonts w:ascii="Arial" w:cs="Arial" w:eastAsia="Arial" w:hAnsi="Arial"/>
                <w:sz w:val="14"/>
                <w:szCs w:val="14"/>
                <w:b w:val="1"/>
                <w:bCs w:val="1"/>
                <w:color w:val="auto"/>
                <w:w w:val="94"/>
              </w:rPr>
              <w:t>Income/</w:t>
            </w:r>
          </w:p>
        </w:tc>
        <w:tc>
          <w:tcPr>
            <w:tcW w:w="160" w:type="dxa"/>
            <w:vAlign w:val="bottom"/>
          </w:tcPr>
          <w:p>
            <w:pPr>
              <w:spacing w:after="0"/>
              <w:rPr>
                <w:sz w:val="11"/>
                <w:szCs w:val="11"/>
                <w:color w:val="auto"/>
              </w:rPr>
            </w:pPr>
          </w:p>
        </w:tc>
        <w:tc>
          <w:tcPr>
            <w:tcW w:w="6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6"/>
              </w:rPr>
              <w:t>Yield/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Income/</w:t>
            </w:r>
          </w:p>
        </w:tc>
        <w:tc>
          <w:tcPr>
            <w:tcW w:w="660" w:type="dxa"/>
            <w:vAlign w:val="bottom"/>
            <w:gridSpan w:val="2"/>
          </w:tcPr>
          <w:p>
            <w:pPr>
              <w:jc w:val="right"/>
              <w:ind w:right="50"/>
              <w:spacing w:after="0" w:line="133" w:lineRule="exact"/>
              <w:rPr>
                <w:sz w:val="20"/>
                <w:szCs w:val="20"/>
                <w:color w:val="auto"/>
              </w:rPr>
            </w:pPr>
            <w:r>
              <w:rPr>
                <w:rFonts w:ascii="Arial" w:cs="Arial" w:eastAsia="Arial" w:hAnsi="Arial"/>
                <w:sz w:val="14"/>
                <w:szCs w:val="14"/>
                <w:b w:val="1"/>
                <w:bCs w:val="1"/>
                <w:color w:val="auto"/>
              </w:rPr>
              <w:t>Yield/</w:t>
            </w:r>
          </w:p>
        </w:tc>
      </w:tr>
      <w:tr>
        <w:trPr>
          <w:trHeight w:val="185"/>
        </w:trPr>
        <w:tc>
          <w:tcPr>
            <w:tcW w:w="2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6"/>
                <w:szCs w:val="16"/>
                <w:color w:val="auto"/>
              </w:rPr>
            </w:pPr>
          </w:p>
        </w:tc>
        <w:tc>
          <w:tcPr>
            <w:tcW w:w="820" w:type="dxa"/>
            <w:vAlign w:val="bottom"/>
            <w:gridSpan w:val="3"/>
          </w:tcPr>
          <w:p>
            <w:pPr>
              <w:jc w:val="center"/>
              <w:ind w:right="140"/>
              <w:spacing w:after="0" w:line="186" w:lineRule="exact"/>
              <w:rPr>
                <w:sz w:val="20"/>
                <w:szCs w:val="20"/>
                <w:color w:val="auto"/>
              </w:rPr>
            </w:pPr>
            <w:r>
              <w:rPr>
                <w:rFonts w:ascii="Arial" w:cs="Arial" w:eastAsia="Arial" w:hAnsi="Arial"/>
                <w:sz w:val="14"/>
                <w:szCs w:val="14"/>
                <w:b w:val="1"/>
                <w:bCs w:val="1"/>
                <w:color w:val="auto"/>
                <w:w w:val="85"/>
              </w:rPr>
              <w:t xml:space="preserve">Rate </w:t>
            </w:r>
            <w:r>
              <w:rPr>
                <w:rFonts w:ascii="Arial" w:cs="Arial" w:eastAsia="Arial" w:hAnsi="Arial"/>
                <w:sz w:val="21"/>
                <w:szCs w:val="21"/>
                <w:color w:val="auto"/>
                <w:w w:val="85"/>
                <w:vertAlign w:val="superscript"/>
              </w:rPr>
              <w:t>(5)</w:t>
            </w:r>
          </w:p>
        </w:tc>
        <w:tc>
          <w:tcPr>
            <w:tcW w:w="12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Expense</w:t>
            </w:r>
          </w:p>
        </w:tc>
        <w:tc>
          <w:tcPr>
            <w:tcW w:w="660" w:type="dxa"/>
            <w:vAlign w:val="bottom"/>
            <w:gridSpan w:val="2"/>
          </w:tcPr>
          <w:p>
            <w:pPr>
              <w:jc w:val="right"/>
              <w:ind w:right="10"/>
              <w:spacing w:after="0" w:line="186"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21"/>
                <w:szCs w:val="21"/>
                <w:color w:val="auto"/>
                <w:vertAlign w:val="superscript"/>
              </w:rPr>
              <w:t>(5)</w:t>
            </w:r>
          </w:p>
        </w:tc>
      </w:tr>
      <w:tr>
        <w:trPr>
          <w:trHeight w:val="196"/>
        </w:trPr>
        <w:tc>
          <w:tcPr>
            <w:tcW w:w="318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r>
      <w:tr>
        <w:trPr>
          <w:trHeight w:val="188"/>
        </w:trPr>
        <w:tc>
          <w:tcPr>
            <w:tcW w:w="318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93"/>
              </w:rPr>
              <w:t>Interest-bearing bank deposits and federal</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7"/>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funds sold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464,128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395</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0.17 %</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400,252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1,383</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9"/>
              </w:rPr>
              <w:t>0.69 %</w:t>
            </w: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1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U.S. Government obligations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122,966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959</w:t>
            </w: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1.57 %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160,952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1,766</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2.21 %</w:t>
            </w:r>
          </w:p>
        </w:tc>
      </w:tr>
      <w:tr>
        <w:trPr>
          <w:trHeight w:val="178"/>
        </w:trPr>
        <w:tc>
          <w:tcPr>
            <w:tcW w:w="3180" w:type="dxa"/>
            <w:vAlign w:val="bottom"/>
            <w:gridSpan w:val="2"/>
            <w:shd w:val="clear" w:color="auto" w:fill="CCEEFF"/>
          </w:tcPr>
          <w:p>
            <w:pPr>
              <w:ind w:left="220"/>
              <w:spacing w:after="0" w:line="178" w:lineRule="exact"/>
              <w:rPr>
                <w:sz w:val="20"/>
                <w:szCs w:val="20"/>
                <w:color w:val="auto"/>
              </w:rPr>
            </w:pPr>
            <w:r>
              <w:rPr>
                <w:rFonts w:ascii="Arial" w:cs="Arial" w:eastAsia="Arial" w:hAnsi="Arial"/>
                <w:sz w:val="18"/>
                <w:szCs w:val="18"/>
                <w:color w:val="auto"/>
              </w:rPr>
              <w:t>Obligations of states and political</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27"/>
        </w:trPr>
        <w:tc>
          <w:tcPr>
            <w:tcW w:w="3180" w:type="dxa"/>
            <w:vAlign w:val="bottom"/>
            <w:gridSpan w:val="2"/>
            <w:shd w:val="clear" w:color="auto" w:fill="CCEEFF"/>
          </w:tcPr>
          <w:p>
            <w:pPr>
              <w:ind w:left="220"/>
              <w:spacing w:after="0" w:line="227" w:lineRule="exact"/>
              <w:rPr>
                <w:sz w:val="20"/>
                <w:szCs w:val="20"/>
                <w:color w:val="auto"/>
              </w:rPr>
            </w:pPr>
            <w:r>
              <w:rPr>
                <w:rFonts w:ascii="Arial" w:cs="Arial" w:eastAsia="Arial" w:hAnsi="Arial"/>
                <w:sz w:val="18"/>
                <w:szCs w:val="18"/>
                <w:color w:val="auto"/>
              </w:rPr>
              <w:t xml:space="preserve">subdivisions </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296,112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277,710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2.97 %</w:t>
            </w:r>
          </w:p>
        </w:tc>
      </w:tr>
      <w:tr>
        <w:trPr>
          <w:trHeight w:val="203"/>
        </w:trPr>
        <w:tc>
          <w:tcPr>
            <w:tcW w:w="31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2,378,684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15,346</w:t>
            </w: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1.30 %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1,289,515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15,402</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2.40 %</w:t>
            </w: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26,858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2.27 %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85,392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1,218</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2.87 %</w:t>
            </w:r>
          </w:p>
        </w:tc>
      </w:tr>
      <w:tr>
        <w:trPr>
          <w:trHeight w:val="203"/>
        </w:trPr>
        <w:tc>
          <w:tcPr>
            <w:tcW w:w="318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Portfolio loans </w:t>
            </w:r>
            <w:r>
              <w:rPr>
                <w:rFonts w:ascii="Arial" w:cs="Arial" w:eastAsia="Arial" w:hAnsi="Arial"/>
                <w:sz w:val="23"/>
                <w:szCs w:val="23"/>
                <w:color w:val="auto"/>
                <w:vertAlign w:val="superscript"/>
              </w:rPr>
              <w:t>(1), (2)</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6,813,530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89"/>
              </w:rPr>
              <w:t>124,325</w:t>
            </w: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3.68 %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6,937,551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89"/>
              </w:rPr>
              <w:t>143,238</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4.15 %</w:t>
            </w:r>
          </w:p>
        </w:tc>
      </w:tr>
      <w:tr>
        <w:trPr>
          <w:trHeight w:val="196"/>
        </w:trPr>
        <w:tc>
          <w:tcPr>
            <w:tcW w:w="318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Total interest-earning assets </w:t>
            </w:r>
            <w:r>
              <w:rPr>
                <w:rFonts w:ascii="Arial" w:cs="Arial" w:eastAsia="Arial" w:hAnsi="Arial"/>
                <w:sz w:val="22"/>
                <w:szCs w:val="22"/>
                <w:color w:val="auto"/>
                <w:vertAlign w:val="superscript"/>
              </w:rPr>
              <w:t>(1), (3)</w:t>
            </w:r>
          </w:p>
        </w:tc>
        <w:tc>
          <w:tcPr>
            <w:tcW w:w="1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10,102,278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145,199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2.90</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9,151,372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167,113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Cash and due from banks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128,139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119,880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Premises and equipment</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135,168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150,087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ACL</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(99,458)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(77,685)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1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732,545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687,845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r>
      <w:tr>
        <w:trPr>
          <w:trHeight w:val="196"/>
        </w:trPr>
        <w:tc>
          <w:tcPr>
            <w:tcW w:w="31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10,998,672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10,031,499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Interest-bearing transaction deposits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2,395,358</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1,007</w:t>
            </w: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0.08 %</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2,040,015</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3,391</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0.33 %</w:t>
            </w: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Savings and money market deposits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2,784,383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1,340</w:t>
            </w: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0.10 %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2,558,214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4,396</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0.35 %</w:t>
            </w:r>
          </w:p>
        </w:tc>
      </w:tr>
      <w:tr>
        <w:trPr>
          <w:trHeight w:val="203"/>
        </w:trPr>
        <w:tc>
          <w:tcPr>
            <w:tcW w:w="3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1,054,335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4,680</w:t>
            </w: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0.90 %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1,479,655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12,161</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1.65 %</w:t>
            </w:r>
          </w:p>
        </w:tc>
      </w:tr>
      <w:tr>
        <w:trPr>
          <w:trHeight w:val="188"/>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Federal funds purchased and repurchase</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7"/>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agreements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0.12 %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0.56 %</w:t>
            </w:r>
          </w:p>
        </w:tc>
      </w:tr>
      <w:tr>
        <w:trPr>
          <w:trHeight w:val="203"/>
        </w:trPr>
        <w:tc>
          <w:tcPr>
            <w:tcW w:w="318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Borrowings </w:t>
            </w:r>
            <w:r>
              <w:rPr>
                <w:rFonts w:ascii="Arial" w:cs="Arial" w:eastAsia="Arial" w:hAnsi="Arial"/>
                <w:sz w:val="23"/>
                <w:szCs w:val="23"/>
                <w:color w:val="auto"/>
                <w:vertAlign w:val="superscript"/>
              </w:rPr>
              <w:t>(4)</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244,661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5,983</w:t>
            </w: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4.93 %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187,507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3,484</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3.74 %</w:t>
            </w:r>
          </w:p>
        </w:tc>
      </w:tr>
      <w:tr>
        <w:trPr>
          <w:trHeight w:val="188"/>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Junior subordinated debt issued to</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7"/>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unconsolidated trusts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4.11 %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4.17 %</w:t>
            </w:r>
          </w:p>
        </w:tc>
      </w:tr>
      <w:tr>
        <w:trPr>
          <w:trHeight w:val="236"/>
        </w:trPr>
        <w:tc>
          <w:tcPr>
            <w:tcW w:w="318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Total interest-bearing liabilities</w:t>
            </w:r>
          </w:p>
        </w:tc>
        <w:tc>
          <w:tcPr>
            <w:tcW w:w="12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6,744,850</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14,584</w:t>
            </w:r>
          </w:p>
        </w:tc>
        <w:tc>
          <w:tcPr>
            <w:tcW w:w="1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96"/>
              </w:rPr>
              <w:t>0.44</w:t>
            </w:r>
          </w:p>
        </w:tc>
        <w:tc>
          <w:tcPr>
            <w:tcW w:w="2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6,519,964</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25,420</w:t>
            </w:r>
          </w:p>
        </w:tc>
        <w:tc>
          <w:tcPr>
            <w:tcW w:w="1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0.78</w:t>
            </w:r>
          </w:p>
        </w:tc>
        <w:tc>
          <w:tcPr>
            <w:tcW w:w="2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83"/>
        </w:trPr>
        <w:tc>
          <w:tcPr>
            <w:tcW w:w="2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43"/>
        </w:trPr>
        <w:tc>
          <w:tcPr>
            <w:tcW w:w="318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Net interest spread </w:t>
            </w:r>
            <w:r>
              <w:rPr>
                <w:rFonts w:ascii="Arial" w:cs="Arial" w:eastAsia="Arial" w:hAnsi="Arial"/>
                <w:sz w:val="23"/>
                <w:szCs w:val="23"/>
                <w:color w:val="auto"/>
                <w:vertAlign w:val="superscript"/>
              </w:rPr>
              <w:t>(1)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2.46 %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2.89 %</w:t>
            </w:r>
          </w:p>
        </w:tc>
      </w:tr>
      <w:tr>
        <w:trPr>
          <w:trHeight w:val="183"/>
        </w:trPr>
        <w:tc>
          <w:tcPr>
            <w:tcW w:w="22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r>
      <w:tr>
        <w:trPr>
          <w:trHeight w:val="203"/>
        </w:trPr>
        <w:tc>
          <w:tcPr>
            <w:tcW w:w="3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Noninterest-bearing deposits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2,830,646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2,157,656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113,758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128,164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1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1,309,418</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1,225,715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r>
      <w:tr>
        <w:trPr>
          <w:trHeight w:val="196"/>
        </w:trPr>
        <w:tc>
          <w:tcPr>
            <w:tcW w:w="31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10,998,672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10,031,499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Interest income / earning assets </w:t>
            </w:r>
            <w:r>
              <w:rPr>
                <w:rFonts w:ascii="Arial" w:cs="Arial" w:eastAsia="Arial" w:hAnsi="Arial"/>
                <w:sz w:val="23"/>
                <w:szCs w:val="23"/>
                <w:color w:val="auto"/>
                <w:vertAlign w:val="superscript"/>
              </w:rPr>
              <w:t>(1), (3)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10,102,278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145,199</w:t>
            </w: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2.90 %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9,151,372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167,113</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3.67 %</w:t>
            </w:r>
          </w:p>
        </w:tc>
      </w:tr>
      <w:tr>
        <w:trPr>
          <w:trHeight w:val="203"/>
        </w:trPr>
        <w:tc>
          <w:tcPr>
            <w:tcW w:w="3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 / earning assets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10,102,278</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14,584</w:t>
            </w: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0.29 %</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9,151,372</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25,420</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0.56 %</w:t>
            </w:r>
          </w:p>
        </w:tc>
      </w:tr>
      <w:tr>
        <w:trPr>
          <w:trHeight w:val="196"/>
        </w:trPr>
        <w:tc>
          <w:tcPr>
            <w:tcW w:w="318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2"/>
                <w:szCs w:val="22"/>
                <w:color w:val="auto"/>
                <w:vertAlign w:val="superscript"/>
              </w:rPr>
              <w:t>(1)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130,615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2.61</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141,693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62" w:lineRule="exact"/>
        <w:rPr>
          <w:sz w:val="20"/>
          <w:szCs w:val="20"/>
          <w:color w:val="auto"/>
        </w:rPr>
      </w:pPr>
    </w:p>
    <w:p>
      <w:pPr>
        <w:ind w:left="480" w:hanging="322"/>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4"/>
          <w:szCs w:val="14"/>
          <w:color w:val="auto"/>
        </w:rPr>
        <w:t>On a tax-equivalent basis and assuming a federal income tax rate of 21%.</w:t>
      </w:r>
    </w:p>
    <w:p>
      <w:pPr>
        <w:spacing w:after="0" w:line="13" w:lineRule="exact"/>
        <w:rPr>
          <w:rFonts w:ascii="Arial" w:cs="Arial" w:eastAsia="Arial" w:hAnsi="Arial"/>
          <w:sz w:val="13"/>
          <w:szCs w:val="13"/>
          <w:color w:val="auto"/>
        </w:rPr>
      </w:pPr>
    </w:p>
    <w:p>
      <w:pPr>
        <w:ind w:left="480" w:hanging="322"/>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4"/>
          <w:szCs w:val="14"/>
          <w:color w:val="auto"/>
        </w:rPr>
        <w:t>Non-accrual loans have been included in average portfolio loans.</w:t>
      </w:r>
    </w:p>
    <w:p>
      <w:pPr>
        <w:spacing w:after="0" w:line="1" w:lineRule="exact"/>
        <w:rPr>
          <w:rFonts w:ascii="Arial" w:cs="Arial" w:eastAsia="Arial" w:hAnsi="Arial"/>
          <w:sz w:val="13"/>
          <w:szCs w:val="13"/>
          <w:color w:val="auto"/>
        </w:rPr>
      </w:pPr>
    </w:p>
    <w:p>
      <w:pPr>
        <w:ind w:left="480" w:hanging="322"/>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4"/>
          <w:szCs w:val="14"/>
          <w:color w:val="auto"/>
        </w:rPr>
        <w:t>Interest income includes a tax-equivalent adjustment of $1.2 million and $1.4 million for the six months ended June 30, 2021 and 2020.</w:t>
      </w:r>
    </w:p>
    <w:p>
      <w:pPr>
        <w:spacing w:after="0" w:line="1" w:lineRule="exact"/>
        <w:rPr>
          <w:rFonts w:ascii="Arial" w:cs="Arial" w:eastAsia="Arial" w:hAnsi="Arial"/>
          <w:sz w:val="13"/>
          <w:szCs w:val="13"/>
          <w:color w:val="auto"/>
        </w:rPr>
      </w:pPr>
    </w:p>
    <w:p>
      <w:pPr>
        <w:ind w:left="480" w:hanging="322"/>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4"/>
          <w:szCs w:val="14"/>
          <w:color w:val="auto"/>
        </w:rPr>
        <w:t>Includes short-term and long-term borrowings. Interest expense includes a non-usage fee on a revolving loan.</w:t>
      </w:r>
    </w:p>
    <w:p>
      <w:pPr>
        <w:spacing w:after="0" w:line="1" w:lineRule="exact"/>
        <w:rPr>
          <w:rFonts w:ascii="Arial" w:cs="Arial" w:eastAsia="Arial" w:hAnsi="Arial"/>
          <w:sz w:val="13"/>
          <w:szCs w:val="13"/>
          <w:color w:val="auto"/>
        </w:rPr>
      </w:pPr>
    </w:p>
    <w:p>
      <w:pPr>
        <w:ind w:left="480" w:hanging="322"/>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4"/>
          <w:szCs w:val="14"/>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Earning Assets, Sources of Funds, and Net Interest Margin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Changes in average earning assets are summarized as follows for the periods presented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2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7"/>
              </w:rPr>
              <w:t>Three Months Ended June 30,</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100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Average interest-earning assets</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$ 10,448,417</w:t>
            </w: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$ 9,485,200</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$ 963,217</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2"/>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Average interest-bearing liabilities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6,966,046</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6,527,709</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438,337</w:t>
            </w: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Average noninterest-bearing deposits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2,970,890</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2,472,568</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498,322</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average deposits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9,403,226</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8,546,363</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856,863</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Total average liabilities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10,055,884</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9,141,550</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914,334</w:t>
            </w: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900" w:type="dxa"/>
            <w:vAlign w:val="bottom"/>
          </w:tcPr>
          <w:p>
            <w:pPr>
              <w:ind w:left="20"/>
              <w:spacing w:after="0" w:line="189" w:lineRule="exact"/>
              <w:rPr>
                <w:sz w:val="20"/>
                <w:szCs w:val="20"/>
                <w:color w:val="auto"/>
              </w:rPr>
            </w:pPr>
            <w:r>
              <w:rPr>
                <w:rFonts w:ascii="Arial" w:cs="Arial" w:eastAsia="Arial" w:hAnsi="Arial"/>
                <w:sz w:val="18"/>
                <w:szCs w:val="18"/>
                <w:color w:val="auto"/>
                <w:w w:val="91"/>
              </w:rPr>
              <w:t>Average noninterest-bearing deposits as a percent of total average</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900" w:type="dxa"/>
            <w:vAlign w:val="bottom"/>
          </w:tcPr>
          <w:p>
            <w:pPr>
              <w:ind w:left="20"/>
              <w:spacing w:after="0"/>
              <w:rPr>
                <w:sz w:val="20"/>
                <w:szCs w:val="20"/>
                <w:color w:val="auto"/>
              </w:rPr>
            </w:pPr>
            <w:r>
              <w:rPr>
                <w:rFonts w:ascii="Arial" w:cs="Arial" w:eastAsia="Arial" w:hAnsi="Arial"/>
                <w:sz w:val="18"/>
                <w:szCs w:val="18"/>
                <w:color w:val="auto"/>
              </w:rPr>
              <w:t>deposits</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31.6 %</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28.9 %</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Total average deposits as a percent of total average liabilities</w:t>
            </w:r>
          </w:p>
        </w:tc>
        <w:tc>
          <w:tcPr>
            <w:tcW w:w="1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93.5 %</w:t>
            </w: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93.5 %</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4900" w:type="dxa"/>
            <w:vAlign w:val="bottom"/>
          </w:tcPr>
          <w:p>
            <w:pPr>
              <w:spacing w:after="0"/>
              <w:rPr>
                <w:sz w:val="24"/>
                <w:szCs w:val="24"/>
                <w:color w:val="auto"/>
              </w:rPr>
            </w:pPr>
          </w:p>
        </w:tc>
        <w:tc>
          <w:tcPr>
            <w:tcW w:w="22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100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Average interest-earning assets</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$ 10,102,278</w:t>
            </w: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$ 9,151,372</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$ 950,906</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Average interest-bearing liabilities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6,744,850</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6,519,964</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224,886</w:t>
            </w: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Average noninterest-bearing deposits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2,830,646</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2,157,656</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672,990</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average deposits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9,064,722</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8,235,540</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829,182</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02"/>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Total average liabilities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9,689,254</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8,805,784</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883,470</w:t>
            </w: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900" w:type="dxa"/>
            <w:vAlign w:val="bottom"/>
          </w:tcPr>
          <w:p>
            <w:pPr>
              <w:ind w:left="20"/>
              <w:spacing w:after="0" w:line="189" w:lineRule="exact"/>
              <w:rPr>
                <w:sz w:val="20"/>
                <w:szCs w:val="20"/>
                <w:color w:val="auto"/>
              </w:rPr>
            </w:pPr>
            <w:r>
              <w:rPr>
                <w:rFonts w:ascii="Arial" w:cs="Arial" w:eastAsia="Arial" w:hAnsi="Arial"/>
                <w:sz w:val="18"/>
                <w:szCs w:val="18"/>
                <w:color w:val="auto"/>
                <w:w w:val="91"/>
              </w:rPr>
              <w:t>Average noninterest-bearing deposits as a percent of total average</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900" w:type="dxa"/>
            <w:vAlign w:val="bottom"/>
          </w:tcPr>
          <w:p>
            <w:pPr>
              <w:ind w:left="20"/>
              <w:spacing w:after="0"/>
              <w:rPr>
                <w:sz w:val="20"/>
                <w:szCs w:val="20"/>
                <w:color w:val="auto"/>
              </w:rPr>
            </w:pPr>
            <w:r>
              <w:rPr>
                <w:rFonts w:ascii="Arial" w:cs="Arial" w:eastAsia="Arial" w:hAnsi="Arial"/>
                <w:sz w:val="18"/>
                <w:szCs w:val="18"/>
                <w:color w:val="auto"/>
              </w:rPr>
              <w:t>deposits</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31.2 %</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26.2 %</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Total average deposits as a percent of total average liabilities</w:t>
            </w:r>
          </w:p>
        </w:tc>
        <w:tc>
          <w:tcPr>
            <w:tcW w:w="1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93.6 %</w:t>
            </w: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93.5 %</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Changes in sources of funds and net interest margin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Change</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5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00" w:type="dxa"/>
            <w:vAlign w:val="bottom"/>
            <w:gridSpan w:val="2"/>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6"/>
                <w:szCs w:val="16"/>
                <w:color w:val="auto"/>
              </w:rPr>
              <w:t xml:space="preserve">Interest income, on a tax-equivalent basis </w:t>
            </w:r>
            <w:r>
              <w:rPr>
                <w:rFonts w:ascii="Arial" w:cs="Arial" w:eastAsia="Arial" w:hAnsi="Arial"/>
                <w:sz w:val="23"/>
                <w:szCs w:val="23"/>
                <w:color w:val="auto"/>
                <w:vertAlign w:val="superscript"/>
              </w:rPr>
              <w:t>(1)</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72,267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(9,683)</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7,146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10,420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(3,274)</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Net interest income, on a tax equivalent basis </w:t>
            </w:r>
            <w:r>
              <w:rPr>
                <w:rFonts w:ascii="Arial" w:cs="Arial" w:eastAsia="Arial" w:hAnsi="Arial"/>
                <w:sz w:val="22"/>
                <w:szCs w:val="22"/>
                <w:color w:val="auto"/>
                <w:vertAlign w:val="superscript"/>
              </w:rPr>
              <w:t>(1)</w:t>
            </w: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65,121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71,530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(6,409)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3"/>
                <w:szCs w:val="23"/>
                <w:color w:val="auto"/>
                <w:vertAlign w:val="superscript"/>
              </w:rPr>
              <w:t>(1), (2)</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2.50 %</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3.03 %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hanging="322"/>
        <w:spacing w:after="0"/>
        <w:tabs>
          <w:tab w:leader="none" w:pos="480" w:val="left"/>
        </w:tabs>
        <w:numPr>
          <w:ilvl w:val="0"/>
          <w:numId w:val="17"/>
        </w:numPr>
        <w:rPr>
          <w:rFonts w:ascii="Arial" w:cs="Arial" w:eastAsia="Arial" w:hAnsi="Arial"/>
          <w:sz w:val="13"/>
          <w:szCs w:val="13"/>
          <w:color w:val="auto"/>
        </w:rPr>
      </w:pPr>
      <w:r>
        <w:rPr>
          <w:rFonts w:ascii="Arial" w:cs="Arial" w:eastAsia="Arial" w:hAnsi="Arial"/>
          <w:sz w:val="14"/>
          <w:szCs w:val="14"/>
          <w:color w:val="auto"/>
        </w:rPr>
        <w:t>Assuming a federal income tax rate of 21%.</w:t>
      </w:r>
    </w:p>
    <w:p>
      <w:pPr>
        <w:spacing w:after="0" w:line="13" w:lineRule="exact"/>
        <w:rPr>
          <w:rFonts w:ascii="Arial" w:cs="Arial" w:eastAsia="Arial" w:hAnsi="Arial"/>
          <w:sz w:val="13"/>
          <w:szCs w:val="13"/>
          <w:color w:val="auto"/>
        </w:rPr>
      </w:pPr>
    </w:p>
    <w:p>
      <w:pPr>
        <w:ind w:left="480" w:hanging="322"/>
        <w:spacing w:after="0"/>
        <w:tabs>
          <w:tab w:leader="none" w:pos="480" w:val="left"/>
        </w:tabs>
        <w:numPr>
          <w:ilvl w:val="0"/>
          <w:numId w:val="17"/>
        </w:numPr>
        <w:rPr>
          <w:rFonts w:ascii="Arial" w:cs="Arial" w:eastAsia="Arial" w:hAnsi="Arial"/>
          <w:sz w:val="13"/>
          <w:szCs w:val="13"/>
          <w:color w:val="auto"/>
        </w:rPr>
      </w:pPr>
      <w:r>
        <w:rPr>
          <w:rFonts w:ascii="Arial" w:cs="Arial" w:eastAsia="Arial" w:hAnsi="Arial"/>
          <w:sz w:val="14"/>
          <w:szCs w:val="14"/>
          <w:color w:val="auto"/>
        </w:rPr>
        <w:t>Net interest income expressed as a percentage of average earning assets, stated on a tax-equivalent basis.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Six Months Ended June 30,</w:t>
            </w:r>
          </w:p>
        </w:tc>
        <w:tc>
          <w:tcPr>
            <w:tcW w:w="120" w:type="dxa"/>
            <w:vAlign w:val="bottom"/>
          </w:tcPr>
          <w:p>
            <w:pPr>
              <w:spacing w:after="0"/>
              <w:rPr>
                <w:sz w:val="16"/>
                <w:szCs w:val="16"/>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Change</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5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6"/>
                <w:szCs w:val="16"/>
                <w:color w:val="auto"/>
              </w:rPr>
              <w:t xml:space="preserve">Interest income, on a tax-equivalent basis </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145,199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167,113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(21,914)</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50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14,584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25,420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(10,836)</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Net interest income, on a tax equivalent basis </w:t>
            </w:r>
            <w:r>
              <w:rPr>
                <w:rFonts w:ascii="Arial" w:cs="Arial" w:eastAsia="Arial" w:hAnsi="Arial"/>
                <w:sz w:val="22"/>
                <w:szCs w:val="22"/>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130,615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141,693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(11,078)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2.61 %</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3.11 %</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hanging="322"/>
        <w:spacing w:after="0"/>
        <w:tabs>
          <w:tab w:leader="none" w:pos="480" w:val="left"/>
        </w:tabs>
        <w:numPr>
          <w:ilvl w:val="0"/>
          <w:numId w:val="18"/>
        </w:numPr>
        <w:rPr>
          <w:rFonts w:ascii="Arial" w:cs="Arial" w:eastAsia="Arial" w:hAnsi="Arial"/>
          <w:sz w:val="13"/>
          <w:szCs w:val="13"/>
          <w:color w:val="auto"/>
        </w:rPr>
      </w:pPr>
      <w:r>
        <w:rPr>
          <w:rFonts w:ascii="Arial" w:cs="Arial" w:eastAsia="Arial" w:hAnsi="Arial"/>
          <w:sz w:val="14"/>
          <w:szCs w:val="14"/>
          <w:color w:val="auto"/>
        </w:rPr>
        <w:t>Assuming a federal income tax rate of 21%.</w:t>
      </w:r>
    </w:p>
    <w:p>
      <w:pPr>
        <w:spacing w:after="0" w:line="13" w:lineRule="exact"/>
        <w:rPr>
          <w:rFonts w:ascii="Arial" w:cs="Arial" w:eastAsia="Arial" w:hAnsi="Arial"/>
          <w:sz w:val="13"/>
          <w:szCs w:val="13"/>
          <w:color w:val="auto"/>
        </w:rPr>
      </w:pPr>
    </w:p>
    <w:p>
      <w:pPr>
        <w:ind w:left="480" w:hanging="322"/>
        <w:spacing w:after="0"/>
        <w:tabs>
          <w:tab w:leader="none" w:pos="480" w:val="left"/>
        </w:tabs>
        <w:numPr>
          <w:ilvl w:val="0"/>
          <w:numId w:val="18"/>
        </w:numPr>
        <w:rPr>
          <w:rFonts w:ascii="Arial" w:cs="Arial" w:eastAsia="Arial" w:hAnsi="Arial"/>
          <w:sz w:val="13"/>
          <w:szCs w:val="13"/>
          <w:color w:val="auto"/>
        </w:rPr>
      </w:pPr>
      <w:r>
        <w:rPr>
          <w:rFonts w:ascii="Arial" w:cs="Arial" w:eastAsia="Arial" w:hAnsi="Arial"/>
          <w:sz w:val="14"/>
          <w:szCs w:val="14"/>
          <w:color w:val="auto"/>
        </w:rPr>
        <w:t>Net interest income expressed as a percentage of average earning assets, stated on a tax-equivalent basis.</w:t>
      </w:r>
    </w:p>
    <w:p>
      <w:pPr>
        <w:spacing w:after="0" w:line="196" w:lineRule="exact"/>
        <w:rPr>
          <w:sz w:val="20"/>
          <w:szCs w:val="20"/>
          <w:color w:val="auto"/>
        </w:rPr>
      </w:pPr>
    </w:p>
    <w:p>
      <w:pPr>
        <w:ind w:left="60" w:right="139"/>
        <w:spacing w:after="0" w:line="276" w:lineRule="auto"/>
        <w:rPr>
          <w:sz w:val="20"/>
          <w:szCs w:val="20"/>
          <w:color w:val="auto"/>
        </w:rPr>
      </w:pPr>
      <w:r>
        <w:rPr>
          <w:rFonts w:ascii="Arial" w:cs="Arial" w:eastAsia="Arial" w:hAnsi="Arial"/>
          <w:sz w:val="16"/>
          <w:szCs w:val="16"/>
          <w:color w:val="auto"/>
        </w:rPr>
        <w:t>The Consolidated Average Balance Sheets and interest rates were impacted in 2021 and 2020 by numerous factors surrounding COVID-19. The Federal Open Market Committee rate cuts during the first quarter of 2020 have contributed to the decline in net interest margin over the past year, as assets, in particular commercial loans, repriced more quickly and to a greater extent than liabilities. The net interest margin has also been negatively impacted by the balance of lower-yielding PPP loans, significant growth in the Company’s liquidity position, and the issuance of debt. Those impacts were partially offset by the Company’s efforts to lower deposit funding costs as well as the fees recognized on PPP loans.</w:t>
      </w:r>
    </w:p>
    <w:p>
      <w:pPr>
        <w:spacing w:after="0" w:line="148" w:lineRule="exact"/>
        <w:rPr>
          <w:sz w:val="20"/>
          <w:szCs w:val="20"/>
          <w:color w:val="auto"/>
        </w:rPr>
      </w:pPr>
    </w:p>
    <w:p>
      <w:pPr>
        <w:ind w:left="60" w:right="819"/>
        <w:spacing w:after="0" w:line="261" w:lineRule="auto"/>
        <w:rPr>
          <w:sz w:val="20"/>
          <w:szCs w:val="20"/>
          <w:color w:val="auto"/>
        </w:rPr>
      </w:pPr>
      <w:r>
        <w:rPr>
          <w:rFonts w:ascii="Arial" w:cs="Arial" w:eastAsia="Arial" w:hAnsi="Arial"/>
          <w:sz w:val="18"/>
          <w:szCs w:val="18"/>
          <w:color w:val="auto"/>
        </w:rPr>
        <w:t>The Company remains substantially core deposit funded, with robust liquidity and significant market share in the communities we serve.</w:t>
      </w:r>
    </w:p>
    <w:p>
      <w:pPr>
        <w:spacing w:after="0" w:line="157"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color w:val="auto"/>
        </w:rPr>
        <w:t>Net interest spread, which represents the difference between the average rate earned on earning assets and the average rate paid on interest-bearing liabilities, was 2.36% for the three months ended June 30, 2021, compared to 2.83% for the same period in 2020, and was 2.46% for the six months ended June 30, 2021, compared to 2.89% for the same period in 2020, each on a tax equivalent basis.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Annualized net interest margins for the quarterly periods indicated were as follows:</w:t>
      </w:r>
    </w:p>
    <w:p>
      <w:pPr>
        <w:spacing w:after="0" w:line="17"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64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196"/>
        </w:trPr>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Quarter</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2.72</w:t>
            </w:r>
          </w:p>
        </w:tc>
        <w:tc>
          <w:tcPr>
            <w:tcW w:w="3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2.50 %</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3.03 %</w:t>
            </w: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2.86 %</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Fourth Quarter</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3.06 %</w:t>
            </w:r>
          </w:p>
        </w:tc>
      </w:tr>
    </w:tbl>
    <w:p>
      <w:pPr>
        <w:spacing w:after="0" w:line="160" w:lineRule="exact"/>
        <w:rPr>
          <w:sz w:val="20"/>
          <w:szCs w:val="20"/>
          <w:color w:val="auto"/>
        </w:rPr>
      </w:pPr>
    </w:p>
    <w:p>
      <w:pPr>
        <w:jc w:val="both"/>
        <w:ind w:left="60" w:right="139"/>
        <w:spacing w:after="0" w:line="261" w:lineRule="auto"/>
        <w:rPr>
          <w:sz w:val="20"/>
          <w:szCs w:val="20"/>
          <w:color w:val="auto"/>
        </w:rPr>
      </w:pPr>
      <w:r>
        <w:rPr>
          <w:rFonts w:ascii="Arial" w:cs="Arial" w:eastAsia="Arial" w:hAnsi="Arial"/>
          <w:sz w:val="18"/>
          <w:szCs w:val="18"/>
          <w:color w:val="auto"/>
        </w:rPr>
        <w:t>Factors contributing to the 22-basis point decline in net interest margin during the second quarter of 2021, compared to the first quarter of 2021, include:</w:t>
      </w:r>
    </w:p>
    <w:p>
      <w:pPr>
        <w:spacing w:after="0" w:line="157"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recognition of purchase accounting accretion contributed -2 basis points</w:t>
      </w:r>
    </w:p>
    <w:p>
      <w:pPr>
        <w:spacing w:after="0" w:line="1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 in PPP fee recognition contributed -3 basis points</w:t>
      </w:r>
    </w:p>
    <w:p>
      <w:pPr>
        <w:ind w:left="720"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Inclusion of GSB for one month contributed -5 basis points</w:t>
      </w:r>
    </w:p>
    <w:p>
      <w:pPr>
        <w:ind w:left="720"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Asset rate volume mix contributed -15 basis points</w:t>
      </w: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Funding costs improved +3 basis points, partially offsetting the declines</w:t>
      </w:r>
    </w:p>
    <w:p>
      <w:pPr>
        <w:spacing w:after="0" w:line="182" w:lineRule="exact"/>
        <w:rPr>
          <w:sz w:val="20"/>
          <w:szCs w:val="20"/>
          <w:color w:val="auto"/>
        </w:rPr>
      </w:pPr>
    </w:p>
    <w:p>
      <w:pPr>
        <w:ind w:left="60" w:right="199"/>
        <w:spacing w:after="0" w:line="262" w:lineRule="auto"/>
        <w:rPr>
          <w:sz w:val="20"/>
          <w:szCs w:val="20"/>
          <w:color w:val="auto"/>
        </w:rPr>
      </w:pPr>
      <w:r>
        <w:rPr>
          <w:rFonts w:ascii="Arial" w:cs="Arial" w:eastAsia="Arial" w:hAnsi="Arial"/>
          <w:sz w:val="17"/>
          <w:szCs w:val="17"/>
          <w:color w:val="auto"/>
        </w:rPr>
        <w:t>Management attempts to mitigate the effects of an unpredictable interest-rate environment through effective portfolio management, prudent loan underwriting, effective funding cost control, meaningful non-interest income contribution, and operational efficiencies. Please refer to the Notes to Consolidated Financial Statements in the Company’s 2020 Annual Report for a description of accounting policies underlying the recognition of interest income and expense.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Changes in non-interest income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188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6"/>
                <w:szCs w:val="16"/>
                <w:color w:val="auto"/>
              </w:rPr>
            </w:pPr>
          </w:p>
        </w:tc>
        <w:tc>
          <w:tcPr>
            <w:tcW w:w="880" w:type="dxa"/>
            <w:vAlign w:val="bottom"/>
            <w:gridSpan w:val="3"/>
            <w:vMerge w:val="restart"/>
          </w:tcPr>
          <w:p>
            <w:pPr>
              <w:jc w:val="right"/>
              <w:ind w:right="13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5"/>
        </w:trPr>
        <w:tc>
          <w:tcPr>
            <w:tcW w:w="4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Non-interest income</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Wealth management fees</w:t>
            </w:r>
          </w:p>
        </w:tc>
        <w:tc>
          <w:tcPr>
            <w:tcW w:w="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13,002</w:t>
            </w:r>
          </w:p>
        </w:tc>
        <w:tc>
          <w:tcPr>
            <w:tcW w:w="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10,193</w:t>
            </w:r>
          </w:p>
        </w:tc>
        <w:tc>
          <w:tcPr>
            <w:tcW w:w="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Fees for customer services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8,611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7,025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1,586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3,718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Mortgage revenue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1,747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2,705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(958)</w:t>
            </w:r>
          </w:p>
        </w:tc>
        <w:tc>
          <w:tcPr>
            <w:tcW w:w="40" w:type="dxa"/>
            <w:vAlign w:val="bottom"/>
          </w:tcPr>
          <w:p>
            <w:pPr>
              <w:spacing w:after="0"/>
              <w:rPr>
                <w:sz w:val="17"/>
                <w:szCs w:val="17"/>
                <w:color w:val="auto"/>
              </w:rPr>
            </w:pPr>
          </w:p>
        </w:tc>
        <w:tc>
          <w:tcPr>
            <w:tcW w:w="9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2"/>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on bank owned life insurance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2,282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(806)</w:t>
            </w:r>
          </w:p>
        </w:tc>
        <w:tc>
          <w:tcPr>
            <w:tcW w:w="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Net gains (losses) on sales of securities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(31)</w:t>
            </w:r>
          </w:p>
        </w:tc>
        <w:tc>
          <w:tcPr>
            <w:tcW w:w="40" w:type="dxa"/>
            <w:vAlign w:val="bottom"/>
          </w:tcPr>
          <w:p>
            <w:pPr>
              <w:spacing w:after="0"/>
              <w:rPr>
                <w:sz w:val="17"/>
                <w:szCs w:val="17"/>
                <w:color w:val="auto"/>
              </w:rPr>
            </w:pPr>
          </w:p>
        </w:tc>
        <w:tc>
          <w:tcPr>
            <w:tcW w:w="9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Unrealized gains (losses) recognized on equity securities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323.2 %</w:t>
            </w: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Other income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2,928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1,726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1,202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69.6 %</w:t>
            </w: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non-interest income</w:t>
            </w:r>
          </w:p>
        </w:tc>
        <w:tc>
          <w:tcPr>
            <w:tcW w:w="20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33,011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27,964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5,047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920" w:type="dxa"/>
            <w:vAlign w:val="bottom"/>
            <w:gridSpan w:val="4"/>
            <w:vMerge w:val="restart"/>
          </w:tcPr>
          <w:p>
            <w:pPr>
              <w:jc w:val="right"/>
              <w:ind w:right="15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5"/>
        </w:trPr>
        <w:tc>
          <w:tcPr>
            <w:tcW w:w="4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Non-interest income</w:t>
            </w: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Wealth management fees</w:t>
            </w:r>
          </w:p>
        </w:tc>
        <w:tc>
          <w:tcPr>
            <w:tcW w:w="20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25,586</w:t>
            </w:r>
          </w:p>
        </w:tc>
        <w:tc>
          <w:tcPr>
            <w:tcW w:w="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21,748</w:t>
            </w:r>
          </w:p>
        </w:tc>
        <w:tc>
          <w:tcPr>
            <w:tcW w:w="6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02"/>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Fees for customer services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16,648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15,386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1,262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Remittance processing</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8,767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7,471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Mortgage revenue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4,413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4,086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327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on bank owned life insurance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Net gains (losses) on sales of securities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1,699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(1,580)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Unrealized gains (losses) recognized on equity securities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403.6 %</w:t>
            </w: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Other income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4,063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2,549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1,514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59.4 %</w:t>
            </w: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non-interest income</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64,456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55,481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8,975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16.2</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non-interest income increased by 18.0% to $33.0 million for the three months ended June 30, 2021, compared to</w:t>
      </w:r>
    </w:p>
    <w:p>
      <w:pPr>
        <w:spacing w:after="0" w:line="35" w:lineRule="exact"/>
        <w:rPr>
          <w:sz w:val="20"/>
          <w:szCs w:val="20"/>
          <w:color w:val="auto"/>
        </w:rPr>
      </w:pPr>
    </w:p>
    <w:p>
      <w:pPr>
        <w:ind w:left="60" w:right="79"/>
        <w:spacing w:after="0" w:line="264" w:lineRule="auto"/>
        <w:rPr>
          <w:sz w:val="20"/>
          <w:szCs w:val="20"/>
          <w:color w:val="auto"/>
        </w:rPr>
      </w:pPr>
      <w:r>
        <w:rPr>
          <w:rFonts w:ascii="Arial" w:cs="Arial" w:eastAsia="Arial" w:hAnsi="Arial"/>
          <w:sz w:val="16"/>
          <w:szCs w:val="16"/>
          <w:color w:val="auto"/>
        </w:rPr>
        <w:t>$28.0 million for the three months ended June 30, 2020. Total non-interest income increased by 16.2% to $64.5 million for the six months ended June 30, 2021, compared to $55.5 million for the six months ended June 30, 2020. Revenues from wealth management fees and remittance processing activities represented 52.6% and 53.3% of the Company’s non-interest income for the three and six months ended June 30, 2021, respectively, providing a complement to spread-based revenue from traditional banking activities. On a combined basis, revenue from these two critical operating areas increased by</w:t>
      </w:r>
    </w:p>
    <w:p>
      <w:pPr>
        <w:spacing w:after="0" w:line="1" w:lineRule="exact"/>
        <w:rPr>
          <w:sz w:val="20"/>
          <w:szCs w:val="20"/>
          <w:color w:val="auto"/>
        </w:rPr>
      </w:pPr>
    </w:p>
    <w:p>
      <w:pPr>
        <w:jc w:val="both"/>
        <w:ind w:left="60" w:right="199"/>
        <w:spacing w:after="0" w:line="239" w:lineRule="auto"/>
        <w:rPr>
          <w:sz w:val="20"/>
          <w:szCs w:val="20"/>
          <w:color w:val="auto"/>
        </w:rPr>
      </w:pPr>
      <w:r>
        <w:rPr>
          <w:rFonts w:ascii="Arial" w:cs="Arial" w:eastAsia="Arial" w:hAnsi="Arial"/>
          <w:sz w:val="18"/>
          <w:szCs w:val="18"/>
          <w:color w:val="auto"/>
        </w:rPr>
        <w:t>24.7% to $17.4 million for the three months ended June 30, 2021, compared to $13.9 million for the same period in 2020, and increased by 17.6% to $34.4 million for the six months ended June 30, 2021, compared to $29.2 million for the same period in 2020.</w:t>
      </w:r>
    </w:p>
    <w:p>
      <w:pPr>
        <w:spacing w:after="0" w:line="176" w:lineRule="exact"/>
        <w:rPr>
          <w:sz w:val="20"/>
          <w:szCs w:val="20"/>
          <w:color w:val="auto"/>
        </w:rPr>
      </w:pPr>
    </w:p>
    <w:p>
      <w:pPr>
        <w:ind w:left="60" w:right="279"/>
        <w:spacing w:after="0" w:line="276" w:lineRule="auto"/>
        <w:rPr>
          <w:sz w:val="20"/>
          <w:szCs w:val="20"/>
          <w:color w:val="auto"/>
        </w:rPr>
      </w:pPr>
      <w:r>
        <w:rPr>
          <w:rFonts w:ascii="Arial" w:cs="Arial" w:eastAsia="Arial" w:hAnsi="Arial"/>
          <w:sz w:val="16"/>
          <w:szCs w:val="16"/>
          <w:color w:val="auto"/>
        </w:rPr>
        <w:t>Wealth management fees increased by 27.6% to $13.0 million for the three months ended June 30, 2021, compared to $10.2 million for the same period in 2020. Wealth management fees increased by 17.6% to $25.6 million for the six months ended June 30, 2021, compared to $21.7 million for the same period in 2020. First Busey’s Wealth Management division ended the second quarter of 2021 with $12.3 billion in assets under care, compared to $10.2 billion as of December 31, 2020, a 20.3% increase. The increase in assets under care was comprised of $0.8 billion in organic and market related growth with an additional $1.3 billion obtained in the acquisition of CAC.</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Fees for customer services increased by 22.6% to $8.6 million for the three months ended June 30, 2021, compared to</w:t>
      </w:r>
    </w:p>
    <w:p>
      <w:pPr>
        <w:spacing w:after="0" w:line="35" w:lineRule="exact"/>
        <w:rPr>
          <w:sz w:val="20"/>
          <w:szCs w:val="20"/>
          <w:color w:val="auto"/>
        </w:rPr>
      </w:pPr>
    </w:p>
    <w:p>
      <w:pPr>
        <w:ind w:left="60" w:right="99"/>
        <w:spacing w:after="0" w:line="277" w:lineRule="auto"/>
        <w:rPr>
          <w:sz w:val="20"/>
          <w:szCs w:val="20"/>
          <w:color w:val="auto"/>
        </w:rPr>
      </w:pPr>
      <w:r>
        <w:rPr>
          <w:rFonts w:ascii="Arial" w:cs="Arial" w:eastAsia="Arial" w:hAnsi="Arial"/>
          <w:sz w:val="16"/>
          <w:szCs w:val="16"/>
          <w:color w:val="auto"/>
        </w:rPr>
        <w:t>$7.0 million for the same period in 2020. Fees for customer services increased by 8.2% to $16.6 million for the six months ended June 30, 2021, compared to $15.4 million for the same period in 2020. Fees for customer services have been impacted since March 2020 due to changing customer behaviors resulting from COVID-19 and related government stimulus programs, and continue to rebound with improving economic conditions and customer activity levels.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79"/>
        <w:spacing w:after="0" w:line="274" w:lineRule="auto"/>
        <w:rPr>
          <w:sz w:val="20"/>
          <w:szCs w:val="20"/>
          <w:color w:val="auto"/>
        </w:rPr>
      </w:pPr>
      <w:r>
        <w:rPr>
          <w:rFonts w:ascii="Arial" w:cs="Arial" w:eastAsia="Arial" w:hAnsi="Arial"/>
          <w:sz w:val="16"/>
          <w:szCs w:val="16"/>
          <w:color w:val="auto"/>
        </w:rPr>
        <w:t>Remittance processing revenue relates to our payment processing company, FirsTech. Remittance processing revenue increased by 17.0% to $4.3 million for the three months ended June 30, 2021, compared to $3.7 million for the same period in 2020. Remittance processing revenue increased by 17.3% to $8.8 million for the six months ended June 30, 2021, compared to $7.5 million for the same period in 2020. Fluctuations in remittance processing revenue were primarily the result of increased payment and volume activity at FirsTech. Remittance processing adds important diversity to our revenue stream while widening our array of service offerings to larger commercial clients both within our footprint and nationally. The Company is currently making strategic investments in FirsTech to further enhance future growth.</w:t>
      </w:r>
    </w:p>
    <w:p>
      <w:pPr>
        <w:spacing w:after="0" w:line="150"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Mortgage revenue decreased 35.4% to $1.7 million for the three months ended June 30, 2021, compared to $2.7 million for the same period in 2020, primarily as a result of declines in sold-loan mortgage volume. Mortgage revenue increased 8.0% to $4.4 million for the six months ended June 30, 2021, compared to $4.1 million for the same period in 2020. General economic conditions and interest rate volatility may impact fees in future quarters.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Income on bank owned life insurance decreased 35.3%, to $1.5 million for the three months ended June 30, 2021,</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compared to $2.3 million for the same period in 2020. Income on bank owned life insurance decreased 26.9%, to</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7"/>
          <w:szCs w:val="17"/>
          <w:color w:val="auto"/>
        </w:rPr>
        <w:t>$2.4 million for the six months ended June 30, 2021, compared to $3.3 million for the same period in 2020. Decreases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primarily resulted from a $0.8 million decline in earnings on death proceeds for the three and six months ended June 30,</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182"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Other income increased 69.6% to $2.9 million for the three months ended June 30, 2021, compared to $1.7 million for the same period in 2020. Other income increased 59.4% to $4.1 million for the six months ended June 30, 2021, compared to $2.5 million for the same period in 2020. Other income variances are primarily driven by fluctuations in income generated from swap origination fees, commercial loan sales gains, and gains and losses on fixed asset disposal.</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Changes in non-interest expense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2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3"/>
            <w:vMerge w:val="restart"/>
          </w:tcPr>
          <w:p>
            <w:pPr>
              <w:jc w:val="right"/>
              <w:ind w:right="9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5"/>
        </w:trPr>
        <w:tc>
          <w:tcPr>
            <w:tcW w:w="4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Salaries, wages, and employee benefits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34,889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28,555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6,334</w:t>
            </w: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Data processing</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4,819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4,051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768</w:t>
            </w:r>
          </w:p>
        </w:tc>
        <w:tc>
          <w:tcPr>
            <w:tcW w:w="16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occupancy expense of premises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(202)</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Furniture and equipment expenses</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2,066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2,537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(471)</w:t>
            </w: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2,650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2,519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16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Interchange expense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10,202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7,774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2,428</w:t>
            </w:r>
          </w:p>
        </w:tc>
        <w:tc>
          <w:tcPr>
            <w:tcW w:w="16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non-interest expense</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62,625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53,068</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9,557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6,862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2240" w:type="dxa"/>
            <w:vAlign w:val="bottom"/>
          </w:tcPr>
          <w:p>
            <w:pPr>
              <w:ind w:left="20"/>
              <w:spacing w:after="0" w:line="202" w:lineRule="exact"/>
              <w:rPr>
                <w:sz w:val="20"/>
                <w:szCs w:val="20"/>
                <w:color w:val="auto"/>
              </w:rPr>
            </w:pPr>
            <w:r>
              <w:rPr>
                <w:rFonts w:ascii="Arial" w:cs="Arial" w:eastAsia="Arial" w:hAnsi="Arial"/>
                <w:sz w:val="18"/>
                <w:szCs w:val="18"/>
                <w:color w:val="auto"/>
              </w:rPr>
              <w:t>Effective income tax rate</w:t>
            </w:r>
          </w:p>
        </w:tc>
        <w:tc>
          <w:tcPr>
            <w:tcW w:w="40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18.7 %</w:t>
            </w:r>
          </w:p>
        </w:tc>
        <w:tc>
          <w:tcPr>
            <w:tcW w:w="2620" w:type="dxa"/>
            <w:vAlign w:val="bottom"/>
          </w:tcPr>
          <w:p>
            <w:pPr>
              <w:jc w:val="right"/>
              <w:ind w:right="1710"/>
              <w:spacing w:after="0" w:line="202" w:lineRule="exact"/>
              <w:rPr>
                <w:sz w:val="20"/>
                <w:szCs w:val="20"/>
                <w:color w:val="auto"/>
              </w:rPr>
            </w:pPr>
            <w:r>
              <w:rPr>
                <w:rFonts w:ascii="Arial" w:cs="Arial" w:eastAsia="Arial" w:hAnsi="Arial"/>
                <w:sz w:val="18"/>
                <w:szCs w:val="18"/>
                <w:color w:val="auto"/>
              </w:rPr>
              <w:t>21.4 %</w:t>
            </w:r>
          </w:p>
        </w:tc>
      </w:tr>
      <w:tr>
        <w:trPr>
          <w:trHeight w:val="203"/>
        </w:trPr>
        <w:tc>
          <w:tcPr>
            <w:tcW w:w="224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r>
      <w:tr>
        <w:trPr>
          <w:trHeight w:val="203"/>
        </w:trPr>
        <w:tc>
          <w:tcPr>
            <w:tcW w:w="2240" w:type="dxa"/>
            <w:vAlign w:val="bottom"/>
          </w:tcPr>
          <w:p>
            <w:pPr>
              <w:ind w:left="20"/>
              <w:spacing w:after="0" w:line="202" w:lineRule="exact"/>
              <w:rPr>
                <w:sz w:val="20"/>
                <w:szCs w:val="20"/>
                <w:color w:val="auto"/>
              </w:rPr>
            </w:pPr>
            <w:r>
              <w:rPr>
                <w:rFonts w:ascii="Arial" w:cs="Arial" w:eastAsia="Arial" w:hAnsi="Arial"/>
                <w:sz w:val="16"/>
                <w:szCs w:val="16"/>
                <w:color w:val="auto"/>
              </w:rPr>
              <w:t xml:space="preserve">Efficiency ratio </w:t>
            </w:r>
            <w:r>
              <w:rPr>
                <w:rFonts w:ascii="Arial" w:cs="Arial" w:eastAsia="Arial" w:hAnsi="Arial"/>
                <w:sz w:val="23"/>
                <w:szCs w:val="23"/>
                <w:color w:val="auto"/>
                <w:vertAlign w:val="superscript"/>
              </w:rPr>
              <w:t>(1)</w:t>
            </w:r>
          </w:p>
        </w:tc>
        <w:tc>
          <w:tcPr>
            <w:tcW w:w="40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61.7 %</w:t>
            </w:r>
          </w:p>
        </w:tc>
        <w:tc>
          <w:tcPr>
            <w:tcW w:w="2620" w:type="dxa"/>
            <w:vAlign w:val="bottom"/>
          </w:tcPr>
          <w:p>
            <w:pPr>
              <w:jc w:val="right"/>
              <w:ind w:right="1710"/>
              <w:spacing w:after="0" w:line="202" w:lineRule="exact"/>
              <w:rPr>
                <w:sz w:val="20"/>
                <w:szCs w:val="20"/>
                <w:color w:val="auto"/>
              </w:rPr>
            </w:pPr>
            <w:r>
              <w:rPr>
                <w:rFonts w:ascii="Arial" w:cs="Arial" w:eastAsia="Arial" w:hAnsi="Arial"/>
                <w:sz w:val="18"/>
                <w:szCs w:val="18"/>
                <w:color w:val="auto"/>
              </w:rPr>
              <w:t>51.0 %</w:t>
            </w: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Adjusted efficiency ratio </w:t>
            </w:r>
            <w:r>
              <w:rPr>
                <w:rFonts w:ascii="Arial" w:cs="Arial" w:eastAsia="Arial" w:hAnsi="Arial"/>
                <w:sz w:val="23"/>
                <w:szCs w:val="23"/>
                <w:color w:val="auto"/>
                <w:vertAlign w:val="superscript"/>
              </w:rPr>
              <w:t>(1)</w:t>
            </w:r>
          </w:p>
        </w:tc>
        <w:tc>
          <w:tcPr>
            <w:tcW w:w="40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58.9 %</w:t>
            </w:r>
          </w:p>
        </w:tc>
        <w:tc>
          <w:tcPr>
            <w:tcW w:w="2620" w:type="dxa"/>
            <w:vAlign w:val="bottom"/>
            <w:shd w:val="clear" w:color="auto" w:fill="CCEEFF"/>
          </w:tcPr>
          <w:p>
            <w:pPr>
              <w:jc w:val="right"/>
              <w:ind w:right="1710"/>
              <w:spacing w:after="0" w:line="202" w:lineRule="exact"/>
              <w:rPr>
                <w:sz w:val="20"/>
                <w:szCs w:val="20"/>
                <w:color w:val="auto"/>
              </w:rPr>
            </w:pPr>
            <w:r>
              <w:rPr>
                <w:rFonts w:ascii="Arial" w:cs="Arial" w:eastAsia="Arial" w:hAnsi="Arial"/>
                <w:sz w:val="18"/>
                <w:szCs w:val="18"/>
                <w:color w:val="auto"/>
              </w:rPr>
              <w:t>50.5 %</w:t>
            </w:r>
          </w:p>
        </w:tc>
      </w:tr>
      <w:tr>
        <w:trPr>
          <w:trHeight w:val="115"/>
        </w:trPr>
        <w:tc>
          <w:tcPr>
            <w:tcW w:w="2240" w:type="dxa"/>
            <w:vAlign w:val="bottom"/>
            <w:tcBorders>
              <w:bottom w:val="single" w:sz="8" w:color="auto"/>
            </w:tcBorders>
          </w:tcPr>
          <w:p>
            <w:pPr>
              <w:spacing w:after="0"/>
              <w:rPr>
                <w:sz w:val="10"/>
                <w:szCs w:val="10"/>
                <w:color w:val="auto"/>
              </w:rPr>
            </w:pPr>
          </w:p>
        </w:tc>
        <w:tc>
          <w:tcPr>
            <w:tcW w:w="4040" w:type="dxa"/>
            <w:vAlign w:val="bottom"/>
          </w:tcPr>
          <w:p>
            <w:pPr>
              <w:spacing w:after="0"/>
              <w:rPr>
                <w:sz w:val="10"/>
                <w:szCs w:val="10"/>
                <w:color w:val="auto"/>
              </w:rPr>
            </w:pPr>
          </w:p>
        </w:tc>
        <w:tc>
          <w:tcPr>
            <w:tcW w:w="2620" w:type="dxa"/>
            <w:vAlign w:val="bottom"/>
          </w:tcPr>
          <w:p>
            <w:pPr>
              <w:spacing w:after="0"/>
              <w:rPr>
                <w:sz w:val="10"/>
                <w:szCs w:val="10"/>
                <w:color w:val="auto"/>
              </w:rPr>
            </w:pPr>
          </w:p>
        </w:tc>
      </w:tr>
    </w:tbl>
    <w:p>
      <w:pPr>
        <w:spacing w:after="0" w:line="62" w:lineRule="exact"/>
        <w:rPr>
          <w:sz w:val="20"/>
          <w:szCs w:val="20"/>
          <w:color w:val="auto"/>
        </w:rPr>
      </w:pPr>
    </w:p>
    <w:p>
      <w:pPr>
        <w:ind w:left="480" w:hanging="322"/>
        <w:spacing w:after="0"/>
        <w:tabs>
          <w:tab w:leader="none" w:pos="480" w:val="left"/>
        </w:tabs>
        <w:numPr>
          <w:ilvl w:val="0"/>
          <w:numId w:val="20"/>
        </w:numPr>
        <w:rPr>
          <w:rFonts w:ascii="Arial" w:cs="Arial" w:eastAsia="Arial" w:hAnsi="Arial"/>
          <w:sz w:val="13"/>
          <w:szCs w:val="13"/>
          <w:color w:val="auto"/>
        </w:rPr>
      </w:pPr>
      <w:r>
        <w:rPr>
          <w:rFonts w:ascii="Arial" w:cs="Arial" w:eastAsia="Arial" w:hAnsi="Arial"/>
          <w:sz w:val="14"/>
          <w:szCs w:val="14"/>
          <w:color w:val="auto"/>
        </w:rPr>
        <w:t>For a reconciliation of efficiency ratio and adjusted efficiency ratio, non-GAAP financial measures, see Non-GAAP Financial Information.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Six Months Ended June 30,</w:t>
            </w:r>
          </w:p>
        </w:tc>
        <w:tc>
          <w:tcPr>
            <w:tcW w:w="12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3"/>
            <w:vMerge w:val="restart"/>
          </w:tcPr>
          <w:p>
            <w:pPr>
              <w:jc w:val="right"/>
              <w:ind w:right="1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00" w:type="dxa"/>
            <w:vAlign w:val="bottom"/>
            <w:gridSpan w:val="2"/>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Salaries, wages, and employee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65,273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62,558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2,715</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Data processing</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9,099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8,446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653</w:t>
            </w:r>
          </w:p>
        </w:tc>
        <w:tc>
          <w:tcPr>
            <w:tcW w:w="100" w:type="dxa"/>
            <w:vAlign w:val="bottom"/>
          </w:tcPr>
          <w:p>
            <w:pPr>
              <w:spacing w:after="0"/>
              <w:rPr>
                <w:sz w:val="17"/>
                <w:szCs w:val="17"/>
                <w:color w:val="auto"/>
              </w:rPr>
            </w:pP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Net occupancy expense of premises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8,809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9,163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(354)</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Furniture and equipment expenses</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4,092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4,986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(894)</w:t>
            </w: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5,051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5,076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w:t>
            </w: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Interchange expense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17,618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17,176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442</w:t>
            </w:r>
          </w:p>
        </w:tc>
        <w:tc>
          <w:tcPr>
            <w:tcW w:w="100" w:type="dxa"/>
            <w:vAlign w:val="bottom"/>
          </w:tcPr>
          <w:p>
            <w:pPr>
              <w:spacing w:after="0"/>
              <w:rPr>
                <w:sz w:val="17"/>
                <w:szCs w:val="17"/>
                <w:color w:val="auto"/>
              </w:rPr>
            </w:pP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non-interest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117,124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113,582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17,681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10,868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6,813</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62.7 %</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Effective income tax rate</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20.7 %</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20.9 %</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Efficiency ratio </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58.2 %</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55.3 %</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Adjusted efficiency ratio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56.6 %</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55.0 %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Full-time equivalent employees as of period-end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hanging="322"/>
        <w:spacing w:after="0"/>
        <w:tabs>
          <w:tab w:leader="none" w:pos="480" w:val="left"/>
        </w:tabs>
        <w:numPr>
          <w:ilvl w:val="0"/>
          <w:numId w:val="21"/>
        </w:numPr>
        <w:rPr>
          <w:rFonts w:ascii="Arial" w:cs="Arial" w:eastAsia="Arial" w:hAnsi="Arial"/>
          <w:sz w:val="13"/>
          <w:szCs w:val="13"/>
          <w:color w:val="auto"/>
        </w:rPr>
      </w:pPr>
      <w:r>
        <w:rPr>
          <w:rFonts w:ascii="Arial" w:cs="Arial" w:eastAsia="Arial" w:hAnsi="Arial"/>
          <w:sz w:val="14"/>
          <w:szCs w:val="14"/>
          <w:color w:val="auto"/>
        </w:rPr>
        <w:t>For a reconciliation of efficiency ratio and adjusted efficiency ratio, non-GAAP financial measures, see Non-GAAP Financial Information.</w:t>
      </w:r>
    </w:p>
    <w:p>
      <w:pPr>
        <w:spacing w:after="0" w:line="208" w:lineRule="exact"/>
        <w:rPr>
          <w:sz w:val="20"/>
          <w:szCs w:val="20"/>
          <w:color w:val="auto"/>
        </w:rPr>
      </w:pPr>
    </w:p>
    <w:p>
      <w:pPr>
        <w:ind w:left="60" w:right="159"/>
        <w:spacing w:after="0" w:line="270" w:lineRule="auto"/>
        <w:rPr>
          <w:sz w:val="20"/>
          <w:szCs w:val="20"/>
          <w:color w:val="auto"/>
        </w:rPr>
      </w:pPr>
      <w:r>
        <w:rPr>
          <w:rFonts w:ascii="Arial" w:cs="Arial" w:eastAsia="Arial" w:hAnsi="Arial"/>
          <w:sz w:val="16"/>
          <w:szCs w:val="16"/>
          <w:color w:val="auto"/>
        </w:rPr>
        <w:t>Total non-interest expense increased by 18.0% to $62.6 million for the three months ended June 30, 2021, compared to $53.1 million for three months ended June 30, 2020. Total non-interest expense increased by 3.1% to $117.1 million for the six months ended June 30, 2021, compared to $113.6 million for six months ended June 30, 2020. Contributing to the increases, non-operating acquisition related expenses of $2.7 million and $3.0 million were included in total non-interest expense for the three and six months ended June 30, 2021, respectively, compared to $0.5 million and $0.6 million for the three and six months ended June 30, 2020, respectively. Deferral of origination costs on PPP loans lowered expenses by $0.4 million and $2.7 million for the three and six months ended June 30, 2021, respectively, compared to $4.9 million for the three and six months ended June 30, 2020. Results for the three and six months ended June 30, 2021, include one month of operating expenses for GSB totaling $2.5 million, excluding non-operating items, and the Company expects efficiencies associated with the acquisition of CAC to be realized after the banks merge.</w:t>
      </w:r>
    </w:p>
    <w:p>
      <w:pPr>
        <w:spacing w:after="0" w:line="158"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Salaries, wages, and employee benefits increased by 22.2% to $34.9 million for the three months ended June 30, 2021, compared to $28.6 million for the same period in 2020. Salaries, wages, and employee benefits increased by 4.3% to $65.3 million for the six months ended June 30, 2021, compared to $62.6 million for the same period in 2020. The increase was driven by the addition of 137 full-time equivalents from GSB. Results for the three and six months ended June 30, 2021, include $2.4 million of GSB expenses for salaries, wages, and employee benefits for the one month since acquisition, which included $1.1 million of non-operating acquisition related expenses. In addition, deferral of PPP loan origination costs lowered expenses for salaries, wages, and employee benefits by $0.3 million and $2.1 million for the three and six months ended June 30, 2021, respectively, compared to $3.8 million for the three and six months ended June 30, 2020.</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7"/>
          <w:szCs w:val="17"/>
          <w:color w:val="auto"/>
        </w:rPr>
        <w:t>Data processing expense increased by 19.0% to $4.8 million for the three months ended June 30, 2021, compared to</w:t>
      </w:r>
    </w:p>
    <w:p>
      <w:pPr>
        <w:spacing w:after="0" w:line="23" w:lineRule="exact"/>
        <w:rPr>
          <w:sz w:val="20"/>
          <w:szCs w:val="20"/>
          <w:color w:val="auto"/>
        </w:rPr>
      </w:pPr>
    </w:p>
    <w:p>
      <w:pPr>
        <w:jc w:val="both"/>
        <w:ind w:left="60" w:right="319"/>
        <w:spacing w:after="0" w:line="264" w:lineRule="auto"/>
        <w:rPr>
          <w:sz w:val="20"/>
          <w:szCs w:val="20"/>
          <w:color w:val="auto"/>
        </w:rPr>
      </w:pPr>
      <w:r>
        <w:rPr>
          <w:rFonts w:ascii="Arial" w:cs="Arial" w:eastAsia="Arial" w:hAnsi="Arial"/>
          <w:sz w:val="16"/>
          <w:szCs w:val="16"/>
          <w:color w:val="auto"/>
        </w:rPr>
        <w:t>$4.1 million for the same period in 2020. Data processing expense increased by 7.7% to $9.1 million for the six months ended June 30, 2021, compared to $8.4 million for the same period in 2020. Results for the three and six months ended June 30, 2021, include $0.2 million of GSB operating data processing expenses for the one month since acquisition.</w:t>
      </w:r>
    </w:p>
    <w:p>
      <w:pPr>
        <w:ind w:left="60" w:right="719"/>
        <w:spacing w:after="0" w:line="243" w:lineRule="auto"/>
        <w:rPr>
          <w:sz w:val="20"/>
          <w:szCs w:val="20"/>
          <w:color w:val="auto"/>
        </w:rPr>
      </w:pPr>
      <w:r>
        <w:rPr>
          <w:rFonts w:ascii="Arial" w:cs="Arial" w:eastAsia="Arial" w:hAnsi="Arial"/>
          <w:sz w:val="18"/>
          <w:szCs w:val="18"/>
          <w:color w:val="auto"/>
        </w:rPr>
        <w:t>Further, the Company recorded an additional $0.4 million of non-operating data processing expenses related to the acquisition.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119"/>
        <w:spacing w:after="0" w:line="254" w:lineRule="auto"/>
        <w:rPr>
          <w:sz w:val="20"/>
          <w:szCs w:val="20"/>
          <w:color w:val="auto"/>
        </w:rPr>
      </w:pPr>
      <w:r>
        <w:rPr>
          <w:rFonts w:ascii="Arial" w:cs="Arial" w:eastAsia="Arial" w:hAnsi="Arial"/>
          <w:sz w:val="17"/>
          <w:szCs w:val="17"/>
          <w:color w:val="auto"/>
        </w:rPr>
        <w:t>Combined, net occupancy expense of premises and furniture and equipment expense decreased by 9.6% to $6.3 million for the three months ended June 30, 2021, compared to $7.0 million for the same period in 2020. Combined, net occupancy expense of premises and furniture and equipment expense decreased by 8.8% to $12.9 million for the six months ended June 30, 2021, compared to $14.1 million for the same period in 2020. These decreases in 2021 were primarily related to savings achieved through the closure of 12 banking centers in October of 2020. On July 27, 2021, the Company announced its Personal Banking Transformation Plan to close and consolidate 15 Busey Bank banking centers as well as two GSB banking centers to be consolidated as part of the acquisition integration plan, with the banking center closures expected to occur in the fourth quarter of 2021.</w:t>
      </w:r>
    </w:p>
    <w:p>
      <w:pPr>
        <w:spacing w:after="0" w:line="167"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auto"/>
        </w:rPr>
        <w:t>Professional fees increased by 16.4% to $2.3 million for the three months ended June 30, 2021, compared to $2.0 million for the same period of 2020. Professional fees increased by 11.7% to $4.3 million for the six months ended June 30, 2021, compared to $3.8 million for the same period of 2020. Professional fee variances were largely influenced by acquisition expenses. Results for the three and six months ended June 30, 2021, include $0.9 million and $1.3 million, respectively, of non-operating professional fee expenses related to the acquisition.</w:t>
      </w:r>
    </w:p>
    <w:p>
      <w:pPr>
        <w:spacing w:after="0" w:line="160"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Amortization of intangible assets increased by 5.2% to $2.7 million for the three months ended June 30, 2021, compared to $2.5 million for the same period in 2020. Amortization of intangible assets was $5.1 million for the six months ended June 30, 2021 and 2020. Results for the three and six months ended June 30, 2021, include $0.3 million of amortization expense related to GSB.</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Interchange expense increased by 20.4% to $1.4 million for the three months ended June 30, 2021, compared to</w:t>
      </w:r>
    </w:p>
    <w:p>
      <w:pPr>
        <w:spacing w:after="0" w:line="23" w:lineRule="exact"/>
        <w:rPr>
          <w:sz w:val="20"/>
          <w:szCs w:val="20"/>
          <w:color w:val="auto"/>
        </w:rPr>
      </w:pPr>
    </w:p>
    <w:p>
      <w:pPr>
        <w:ind w:left="60" w:right="439"/>
        <w:spacing w:after="0" w:line="239" w:lineRule="auto"/>
        <w:rPr>
          <w:sz w:val="20"/>
          <w:szCs w:val="20"/>
          <w:color w:val="auto"/>
        </w:rPr>
      </w:pPr>
      <w:r>
        <w:rPr>
          <w:rFonts w:ascii="Arial" w:cs="Arial" w:eastAsia="Arial" w:hAnsi="Arial"/>
          <w:sz w:val="18"/>
          <w:szCs w:val="18"/>
          <w:color w:val="auto"/>
        </w:rPr>
        <w:t>$1.2 million for the same period in 2020. Interchange expense increased by 23.6% to $2.9 million for the six months ended June 30, 2021, compared to $2.4 million for the same period in 2020. Fluctuations in interchange expense were primarily the result of increased payment and volume activity at FirsTech.</w:t>
      </w:r>
    </w:p>
    <w:p>
      <w:pPr>
        <w:spacing w:after="0" w:line="176"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auto"/>
        </w:rPr>
        <w:t>Other expense increased by 31.2% to $10.2 million for the three months ended June 30, 2021, compared to $7.8 million for the same period in 2020. Other expense increased by 2.6% to $17.6 million for the six months ended June 30, 2021, compared to $17.2 million for the same period in 2020. Increases were across multiple expense categories, including New Market Tax Credit amortization and business development expenses, partially offset by lower MSR valuation impairment and provision for unfunded commitments. Also contributing to the increase, deferral of PPP loan origination costs lowered other expenses by $0.1 million and $0.6 million for the three and six months ended June 30, 2021, respectively, compared to $1.1 million during the three and six months ended June 30, 2020. Results for the three and six months ended June 30, 2021, include one month of other expenses for GSB totaling $0.4 million.</w:t>
      </w:r>
    </w:p>
    <w:p>
      <w:pPr>
        <w:spacing w:after="0" w:line="158" w:lineRule="exact"/>
        <w:rPr>
          <w:sz w:val="20"/>
          <w:szCs w:val="20"/>
          <w:color w:val="auto"/>
        </w:rPr>
      </w:pPr>
    </w:p>
    <w:p>
      <w:pPr>
        <w:ind w:left="60" w:right="119"/>
        <w:spacing w:after="0" w:line="236" w:lineRule="auto"/>
        <w:rPr>
          <w:rFonts w:ascii="Arial" w:cs="Arial" w:eastAsia="Arial" w:hAnsi="Arial"/>
          <w:sz w:val="17"/>
          <w:szCs w:val="17"/>
          <w:color w:val="auto"/>
        </w:rPr>
      </w:pPr>
      <w:r>
        <w:rPr>
          <w:rFonts w:ascii="Arial" w:cs="Arial" w:eastAsia="Arial" w:hAnsi="Arial"/>
          <w:sz w:val="17"/>
          <w:szCs w:val="17"/>
          <w:color w:val="auto"/>
        </w:rPr>
        <w:t>The efficiency ratio</w:t>
      </w:r>
      <w:r>
        <w:rPr>
          <w:rFonts w:ascii="Arial" w:cs="Arial" w:eastAsia="Arial" w:hAnsi="Arial"/>
          <w:sz w:val="25"/>
          <w:szCs w:val="25"/>
          <w:color w:val="auto"/>
          <w:vertAlign w:val="superscript"/>
        </w:rPr>
        <w:t>(</w:t>
      </w:r>
      <w:hyperlink w:anchor="page57">
        <w:r>
          <w:rPr>
            <w:rFonts w:ascii="Arial" w:cs="Arial" w:eastAsia="Arial" w:hAnsi="Arial"/>
            <w:sz w:val="25"/>
            <w:szCs w:val="25"/>
            <w:u w:val="single" w:color="auto"/>
            <w:color w:val="0000EE"/>
            <w:vertAlign w:val="superscript"/>
          </w:rPr>
          <w:t>1</w:t>
        </w:r>
      </w:hyperlink>
      <w:r>
        <w:rPr>
          <w:rFonts w:ascii="Arial" w:cs="Arial" w:eastAsia="Arial" w:hAnsi="Arial"/>
          <w:sz w:val="25"/>
          <w:szCs w:val="25"/>
          <w:color w:val="auto"/>
          <w:vertAlign w:val="superscript"/>
        </w:rPr>
        <w:t>)</w:t>
      </w:r>
      <w:r>
        <w:rPr>
          <w:rFonts w:ascii="Arial" w:cs="Arial" w:eastAsia="Arial" w:hAnsi="Arial"/>
          <w:sz w:val="17"/>
          <w:szCs w:val="17"/>
          <w:color w:val="auto"/>
        </w:rPr>
        <w:t>, which is a measure commonly used by management and the banking industry, measures the amount of expense incurred to generate a dollar of revenue. The efficiency ratio was 61.7% for the three months ended June 30, 2021, compared to 51.0% for the three months ended June 30, 2020. The efficiency ratio was 58.2% for the six months ended June 30, 2021, compared to 55.3% for the same period in 2020.</w:t>
      </w:r>
    </w:p>
    <w:p>
      <w:pPr>
        <w:spacing w:after="0" w:line="167" w:lineRule="exact"/>
        <w:rPr>
          <w:sz w:val="20"/>
          <w:szCs w:val="20"/>
          <w:color w:val="auto"/>
        </w:rPr>
      </w:pPr>
    </w:p>
    <w:p>
      <w:pPr>
        <w:ind w:left="60" w:right="219"/>
        <w:spacing w:after="0" w:line="228" w:lineRule="auto"/>
        <w:rPr>
          <w:sz w:val="20"/>
          <w:szCs w:val="20"/>
          <w:color w:val="auto"/>
        </w:rPr>
      </w:pPr>
      <w:r>
        <w:rPr>
          <w:rFonts w:ascii="Arial" w:cs="Arial" w:eastAsia="Arial" w:hAnsi="Arial"/>
          <w:sz w:val="17"/>
          <w:szCs w:val="17"/>
          <w:color w:val="auto"/>
        </w:rPr>
        <w:t>The adjusted efficiency ratio</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was 58.9% for the three months ended June 30, 2021, compared to 50.5% for the three months ended June 30, 2020. The adjusted efficiency ratio was 56.6% for the six months ended June 30, 2021, compared to 55.0% for the same period in 2020. The Company remains focused on expense discipline.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Income Taxes</w:t>
      </w:r>
    </w:p>
    <w:p>
      <w:pPr>
        <w:spacing w:after="0" w:line="198"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The effective income tax rates of 18.7% and 20.7% for the three and six months ended June 30, 2021, respectively, were lower than the combined federal and state statutory rate of approximately 28% due to tax exempt interest income, such as municipal bond interest and bank owned life insurance income, and investments in various federal and state tax credits, including an Illinois new market tax credit. The Company continues to monitor evolving federal and state tax legislation and its potential impact on operations on an ongoing basis. As of June 30, 2021, the Company was not under examination by any tax authority; however, Banc Ed, which the Company acquired on January 31, 2019, is under examination by the Illinois Department of Revenue for its 2009 to 2016 income tax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157480</wp:posOffset>
            </wp:positionV>
            <wp:extent cx="1414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2" w:lineRule="exact"/>
        <w:rPr>
          <w:sz w:val="20"/>
          <w:szCs w:val="20"/>
          <w:color w:val="auto"/>
        </w:rPr>
      </w:pPr>
    </w:p>
    <w:p>
      <w:pPr>
        <w:ind w:left="4420" w:right="1999" w:hanging="4370"/>
        <w:spacing w:after="0" w:line="708" w:lineRule="auto"/>
        <w:tabs>
          <w:tab w:leader="none" w:pos="259" w:val="left"/>
        </w:tabs>
        <w:numPr>
          <w:ilvl w:val="0"/>
          <w:numId w:val="22"/>
        </w:numPr>
        <w:rPr>
          <w:rFonts w:ascii="Arial" w:cs="Arial" w:eastAsia="Arial" w:hAnsi="Arial"/>
          <w:sz w:val="25"/>
          <w:szCs w:val="25"/>
          <w:color w:val="auto"/>
          <w:vertAlign w:val="superscript"/>
        </w:rPr>
      </w:pPr>
      <w:r>
        <w:rPr>
          <w:rFonts w:ascii="Arial" w:cs="Arial" w:eastAsia="Arial" w:hAnsi="Arial"/>
          <w:sz w:val="17"/>
          <w:szCs w:val="17"/>
          <w:color w:val="auto"/>
        </w:rPr>
        <w:t>A Non-GAAP financial measure. See “Non-GAAP Financial Information” for reconciliation.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Balance Sheet</w:t>
      </w:r>
    </w:p>
    <w:p>
      <w:pPr>
        <w:spacing w:after="0" w:line="198"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 xml:space="preserve">Changes in significant items included in our unaudited Consolidated Balance Sheets are summarized as follows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194"/>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000" w:type="dxa"/>
            <w:vAlign w:val="bottom"/>
            <w:gridSpan w:val="2"/>
          </w:tcPr>
          <w:p>
            <w:pPr>
              <w:jc w:val="right"/>
              <w:ind w:right="11"/>
              <w:spacing w:after="0" w:line="133"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31"/>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200"/>
              <w:spacing w:after="0" w:line="202" w:lineRule="exact"/>
              <w:rPr>
                <w:sz w:val="20"/>
                <w:szCs w:val="20"/>
                <w:color w:val="auto"/>
              </w:rPr>
            </w:pPr>
            <w:r>
              <w:rPr>
                <w:rFonts w:ascii="Arial" w:cs="Arial" w:eastAsia="Arial" w:hAnsi="Arial"/>
                <w:sz w:val="18"/>
                <w:szCs w:val="18"/>
                <w:color w:val="auto"/>
              </w:rPr>
              <w:t>Debt securities available for sale</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3,464,517</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2,261,187</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1,203,330</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53.2 %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Portfolio loans, net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7,090,240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6,713,129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377,111</w:t>
            </w:r>
          </w:p>
        </w:tc>
        <w:tc>
          <w:tcPr>
            <w:tcW w:w="9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12,415,449</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10,544,047</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1,871,402</w:t>
            </w:r>
          </w:p>
        </w:tc>
        <w:tc>
          <w:tcPr>
            <w:tcW w:w="9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200"/>
              <w:spacing w:after="0" w:line="202" w:lineRule="exact"/>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Noninterest-bearing</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3,186,650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2,552,039</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634,611</w:t>
            </w:r>
          </w:p>
        </w:tc>
        <w:tc>
          <w:tcPr>
            <w:tcW w:w="9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Borders>
              <w:bottom w:val="single" w:sz="8" w:color="CCEEFF"/>
            </w:tcBorders>
          </w:tcPr>
          <w:p>
            <w:pPr>
              <w:ind w:left="400"/>
              <w:spacing w:after="0" w:line="202" w:lineRule="exact"/>
              <w:rPr>
                <w:sz w:val="20"/>
                <w:szCs w:val="20"/>
                <w:color w:val="auto"/>
              </w:rPr>
            </w:pPr>
            <w:r>
              <w:rPr>
                <w:rFonts w:ascii="Arial" w:cs="Arial" w:eastAsia="Arial" w:hAnsi="Arial"/>
                <w:sz w:val="18"/>
                <w:szCs w:val="18"/>
                <w:color w:val="auto"/>
              </w:rPr>
              <w:t>Interest-bearing</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7,150,467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6,125,810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9"/>
              </w:rPr>
              <w:t>1,024,657</w:t>
            </w:r>
          </w:p>
        </w:tc>
        <w:tc>
          <w:tcPr>
            <w:tcW w:w="980" w:type="dxa"/>
            <w:vAlign w:val="bottom"/>
            <w:tcBorders>
              <w:bottom w:val="single" w:sz="8" w:color="CCEEFF"/>
            </w:tcBorders>
            <w:gridSpan w:val="3"/>
          </w:tcPr>
          <w:p>
            <w:pPr>
              <w:jc w:val="right"/>
              <w:ind w:right="20"/>
              <w:spacing w:after="0" w:line="202" w:lineRule="exact"/>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deposits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10,337,117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8,677,849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1,659,268</w:t>
            </w:r>
          </w:p>
        </w:tc>
        <w:tc>
          <w:tcPr>
            <w:tcW w:w="98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Securities sold under agreements to repurchase</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207,266</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175,614</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31,652</w:t>
            </w:r>
          </w:p>
        </w:tc>
        <w:tc>
          <w:tcPr>
            <w:tcW w:w="9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200"/>
              <w:spacing w:after="0" w:line="202" w:lineRule="exact"/>
              <w:rPr>
                <w:sz w:val="20"/>
                <w:szCs w:val="20"/>
                <w:color w:val="auto"/>
              </w:rPr>
            </w:pPr>
            <w:r>
              <w:rPr>
                <w:rFonts w:ascii="Arial" w:cs="Arial" w:eastAsia="Arial" w:hAnsi="Arial"/>
                <w:sz w:val="18"/>
                <w:szCs w:val="18"/>
                <w:color w:val="auto"/>
              </w:rPr>
              <w:t>Senior notes, net of unamortized issuance costs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39,876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39,809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5"/>
              </w:rPr>
              <w:t>Subordinated notes, net of unamortized issuance costs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182,503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182,226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w:t>
            </w:r>
          </w:p>
        </w:tc>
        <w:tc>
          <w:tcPr>
            <w:tcW w:w="9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200"/>
              <w:spacing w:after="0" w:line="202" w:lineRule="exact"/>
              <w:rPr>
                <w:sz w:val="20"/>
                <w:szCs w:val="20"/>
                <w:color w:val="auto"/>
              </w:rPr>
            </w:pPr>
            <w:r>
              <w:rPr>
                <w:rFonts w:ascii="Arial" w:cs="Arial" w:eastAsia="Arial" w:hAnsi="Arial"/>
                <w:sz w:val="18"/>
                <w:szCs w:val="18"/>
                <w:color w:val="auto"/>
                <w:w w:val="94"/>
              </w:rPr>
              <w:t>Junior subordinated debt owed to unconsolidated trusts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71,551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71,468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200"/>
              <w:spacing w:after="0" w:line="202" w:lineRule="exact"/>
              <w:rPr>
                <w:sz w:val="20"/>
                <w:szCs w:val="20"/>
                <w:color w:val="auto"/>
              </w:rPr>
            </w:pPr>
            <w:r>
              <w:rPr>
                <w:rFonts w:ascii="Arial" w:cs="Arial" w:eastAsia="Arial" w:hAnsi="Arial"/>
                <w:sz w:val="18"/>
                <w:szCs w:val="18"/>
                <w:color w:val="auto"/>
              </w:rPr>
              <w:t>Total liabilities</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11,069,758</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9,273,978</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1,795,780</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1,345,691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1,270,069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75,622</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GSB contributed $1.4 billion in assets, $422.4 million in portfolio loans, net of $8.0 million ACL, and $1.3 billion in total deposits as of June 30,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Loans</w:t>
      </w:r>
    </w:p>
    <w:p>
      <w:pPr>
        <w:spacing w:after="0" w:line="198"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The Company believes that making sound and profitable loans is a necessary and desirable means of employing funds available for investment. The Company maintains lending policies and procedures designed to focus lending efforts on the types, locations, and duration of loans most appropriate for its business model and markets. GSB’s policies are similar in nature to Busey Bank’s policies and the Company is migrating such loan production toward Busey Bank’s policies in advance of the merger of the banks. While not specifically limited, the Company attempts to focus its lending on short to intermediate-term (0-7 years) loans in geographic areas within 125 miles of its lending offices. Loans originated outside of these areas are generally residential mortgage loans originated for sale in the secondary market or loans to existing customers of the Banks. The Company attempts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172" w:lineRule="exact"/>
        <w:rPr>
          <w:sz w:val="20"/>
          <w:szCs w:val="20"/>
          <w:color w:val="auto"/>
        </w:rPr>
      </w:pPr>
    </w:p>
    <w:p>
      <w:pPr>
        <w:ind w:left="60" w:right="239"/>
        <w:spacing w:after="0" w:line="276" w:lineRule="auto"/>
        <w:rPr>
          <w:sz w:val="20"/>
          <w:szCs w:val="20"/>
          <w:color w:val="auto"/>
        </w:rPr>
      </w:pPr>
      <w:r>
        <w:rPr>
          <w:rFonts w:ascii="Arial" w:cs="Arial" w:eastAsia="Arial" w:hAnsi="Arial"/>
          <w:sz w:val="16"/>
          <w:szCs w:val="16"/>
          <w:color w:val="auto"/>
        </w:rPr>
        <w:t>Management reviews and approves the Company’s lending policies and procedures on a regular basis. Management routinely (at least quarterly) reviews the Company’s ACL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239"/>
        <w:spacing w:after="0" w:line="291" w:lineRule="auto"/>
        <w:rPr>
          <w:sz w:val="20"/>
          <w:szCs w:val="20"/>
          <w:color w:val="auto"/>
        </w:rPr>
      </w:pPr>
      <w:r>
        <w:rPr>
          <w:rFonts w:ascii="Arial" w:cs="Arial" w:eastAsia="Arial" w:hAnsi="Arial"/>
          <w:sz w:val="17"/>
          <w:szCs w:val="17"/>
          <w:color w:val="auto"/>
        </w:rPr>
        <w:t>sound and profitable cash flow basis, and the borrower’s character, include the quality of the borrower’s financial history, the liquidity of the underlying collateral, and the reliability of the valuation of the underlying collateral.</w:t>
      </w:r>
    </w:p>
    <w:p>
      <w:pPr>
        <w:spacing w:after="0" w:line="133"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As a matter of policy and practice, the Company limits the level of concentration exposure in any particular loan segment with the goal of maintaining a well-diversified loan portfolio. In anticipation of the potential risks associated with COVID-19, the Company took actions starting in early March 2020 to escalate the monitoring of susceptible industry sectors within its portfolio. The Company anticipates that organic loan growth will slow in future quarters as a result of COVID-19 and the related impact on economic conditions in the Company’s market areas.</w:t>
      </w:r>
    </w:p>
    <w:p>
      <w:pPr>
        <w:spacing w:after="0" w:line="160" w:lineRule="exact"/>
        <w:rPr>
          <w:sz w:val="20"/>
          <w:szCs w:val="20"/>
          <w:color w:val="auto"/>
        </w:rPr>
      </w:pPr>
    </w:p>
    <w:p>
      <w:pPr>
        <w:ind w:left="60" w:right="259"/>
        <w:spacing w:after="0" w:line="243" w:lineRule="auto"/>
        <w:rPr>
          <w:sz w:val="20"/>
          <w:szCs w:val="20"/>
          <w:color w:val="auto"/>
        </w:rPr>
      </w:pPr>
      <w:r>
        <w:rPr>
          <w:rFonts w:ascii="Arial" w:cs="Arial" w:eastAsia="Arial" w:hAnsi="Arial"/>
          <w:sz w:val="18"/>
          <w:szCs w:val="18"/>
          <w:color w:val="auto"/>
        </w:rPr>
        <w:t>At no time is a borrower’s total borrowing relationship permitted to exceed the Company’s regulatory lending limit.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174"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The Company maintains an independent loan review department that reviews loans for compliance with the Company’s loan policy on a periodic basis. In addition, the loan review department reviews risk assessments made by the Company’s credit department, lenders, and loan committees. Results of these reviews are presented to management and the audit committee at least quarterly.</w:t>
      </w:r>
    </w:p>
    <w:p>
      <w:pPr>
        <w:spacing w:after="0" w:line="174" w:lineRule="exact"/>
        <w:rPr>
          <w:sz w:val="20"/>
          <w:szCs w:val="20"/>
          <w:color w:val="auto"/>
        </w:rPr>
      </w:pPr>
    </w:p>
    <w:p>
      <w:pPr>
        <w:ind w:left="60" w:right="339"/>
        <w:spacing w:after="0" w:line="284" w:lineRule="auto"/>
        <w:rPr>
          <w:sz w:val="20"/>
          <w:szCs w:val="20"/>
          <w:color w:val="auto"/>
        </w:rPr>
      </w:pPr>
      <w:r>
        <w:rPr>
          <w:rFonts w:ascii="Arial" w:cs="Arial" w:eastAsia="Arial" w:hAnsi="Arial"/>
          <w:sz w:val="16"/>
          <w:szCs w:val="16"/>
          <w:color w:val="auto"/>
        </w:rPr>
        <w:t>The Company’s lending activities can be summarized into five primary areas: commercial loans, commercial real estate loans, real estate construction loans, retail real estate loans, and retail other loans. A description of each of the lending areas can be found in the Company’s 2020 Annual Report. The significant majority of the Company’s portfolio lending activity occurs in its Illinois and Missouri markets, with the remainder in the Indiana and Florida markets.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Geographic distributions of portfolio loans, based on originations, by category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June 30, 2021</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Portfolio loans</w:t>
            </w:r>
          </w:p>
        </w:tc>
        <w:tc>
          <w:tcPr>
            <w:tcW w:w="920" w:type="dxa"/>
            <w:vAlign w:val="bottom"/>
          </w:tcPr>
          <w:p>
            <w:pPr>
              <w:spacing w:after="0"/>
              <w:rPr>
                <w:sz w:val="13"/>
                <w:szCs w:val="13"/>
                <w:color w:val="auto"/>
              </w:rPr>
            </w:pPr>
          </w:p>
        </w:tc>
        <w:tc>
          <w:tcPr>
            <w:tcW w:w="920" w:type="dxa"/>
            <w:vAlign w:val="bottom"/>
          </w:tcPr>
          <w:p>
            <w:pPr>
              <w:jc w:val="right"/>
              <w:ind w:right="179"/>
              <w:spacing w:after="0" w:line="155" w:lineRule="exact"/>
              <w:rPr>
                <w:sz w:val="20"/>
                <w:szCs w:val="20"/>
                <w:color w:val="auto"/>
              </w:rPr>
            </w:pPr>
            <w:r>
              <w:rPr>
                <w:rFonts w:ascii="Arial" w:cs="Arial" w:eastAsia="Arial" w:hAnsi="Arial"/>
                <w:sz w:val="14"/>
                <w:szCs w:val="14"/>
                <w:b w:val="1"/>
                <w:bCs w:val="1"/>
                <w:color w:val="auto"/>
              </w:rPr>
              <w:t>Illinois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rPr>
              <w:t>Missouri</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Florida</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3"/>
                <w:szCs w:val="13"/>
                <w:color w:val="auto"/>
              </w:rPr>
            </w:pPr>
          </w:p>
        </w:tc>
        <w:tc>
          <w:tcPr>
            <w:tcW w:w="94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8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$ 1,408,607</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519,822</w:t>
            </w:r>
          </w:p>
        </w:tc>
        <w:tc>
          <w:tcPr>
            <w:tcW w:w="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76,572</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49,549</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$ 2,054,550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1,881,596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686,474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170,371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181,871</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2,920,312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256,990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135,879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63,476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44,254</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1,136,549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243,643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93,738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51,880</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1,525,810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other</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179,204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1,363</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184,379</w:t>
            </w:r>
          </w:p>
        </w:tc>
        <w:tc>
          <w:tcPr>
            <w:tcW w:w="0" w:type="dxa"/>
            <w:vAlign w:val="bottom"/>
          </w:tcPr>
          <w:p>
            <w:pPr>
              <w:spacing w:after="0"/>
              <w:rPr>
                <w:sz w:val="1"/>
                <w:szCs w:val="1"/>
                <w:color w:val="auto"/>
              </w:rPr>
            </w:pPr>
          </w:p>
        </w:tc>
      </w:tr>
      <w:tr>
        <w:trPr>
          <w:trHeight w:val="236"/>
        </w:trPr>
        <w:tc>
          <w:tcPr>
            <w:tcW w:w="28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portfolio loans</w:t>
            </w:r>
          </w:p>
        </w:tc>
        <w:tc>
          <w:tcPr>
            <w:tcW w:w="9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$ 4,862,946</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1,588,020</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405,767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328,917</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$ 7,185,650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8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ACL</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(95,410)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Portfolio loans, net</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$ 7,090,240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Portfolio loans</w:t>
            </w:r>
          </w:p>
        </w:tc>
        <w:tc>
          <w:tcPr>
            <w:tcW w:w="920" w:type="dxa"/>
            <w:vAlign w:val="bottom"/>
          </w:tcPr>
          <w:p>
            <w:pPr>
              <w:spacing w:after="0"/>
              <w:rPr>
                <w:sz w:val="13"/>
                <w:szCs w:val="13"/>
                <w:color w:val="auto"/>
              </w:rPr>
            </w:pPr>
          </w:p>
        </w:tc>
        <w:tc>
          <w:tcPr>
            <w:tcW w:w="920" w:type="dxa"/>
            <w:vAlign w:val="bottom"/>
          </w:tcPr>
          <w:p>
            <w:pPr>
              <w:jc w:val="right"/>
              <w:ind w:right="179"/>
              <w:spacing w:after="0" w:line="155" w:lineRule="exact"/>
              <w:rPr>
                <w:sz w:val="20"/>
                <w:szCs w:val="20"/>
                <w:color w:val="auto"/>
              </w:rPr>
            </w:pPr>
            <w:r>
              <w:rPr>
                <w:rFonts w:ascii="Arial" w:cs="Arial" w:eastAsia="Arial" w:hAnsi="Arial"/>
                <w:sz w:val="14"/>
                <w:szCs w:val="14"/>
                <w:b w:val="1"/>
                <w:bCs w:val="1"/>
                <w:color w:val="auto"/>
              </w:rPr>
              <w:t>Illinois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rPr>
              <w:t>Missouri</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Florida</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3"/>
                <w:szCs w:val="13"/>
                <w:color w:val="auto"/>
              </w:rPr>
            </w:pPr>
          </w:p>
        </w:tc>
        <w:tc>
          <w:tcPr>
            <w:tcW w:w="94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8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$ 1,386,587</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529,281</w:t>
            </w:r>
          </w:p>
        </w:tc>
        <w:tc>
          <w:tcPr>
            <w:tcW w:w="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50,878</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47,830</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$ 2,014,576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1,880,437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715,680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154,234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142,184</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2,892,535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192,971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115,227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57,381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96,207</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461,786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963,538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295,352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94,748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54,214</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1,407,852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other</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32,678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1,147</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37,428</w:t>
            </w:r>
          </w:p>
        </w:tc>
        <w:tc>
          <w:tcPr>
            <w:tcW w:w="0" w:type="dxa"/>
            <w:vAlign w:val="bottom"/>
          </w:tcPr>
          <w:p>
            <w:pPr>
              <w:spacing w:after="0"/>
              <w:rPr>
                <w:sz w:val="1"/>
                <w:szCs w:val="1"/>
                <w:color w:val="auto"/>
              </w:rPr>
            </w:pPr>
          </w:p>
        </w:tc>
      </w:tr>
      <w:tr>
        <w:trPr>
          <w:trHeight w:val="236"/>
        </w:trPr>
        <w:tc>
          <w:tcPr>
            <w:tcW w:w="28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portfolio loans</w:t>
            </w:r>
          </w:p>
        </w:tc>
        <w:tc>
          <w:tcPr>
            <w:tcW w:w="9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$ 4,456,211</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1,657,955</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358,429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341,582</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$ 6,814,177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8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ACL</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(101,048)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Portfolio loans, net</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$ 6,713,129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40" w:type="dxa"/>
            <w:vAlign w:val="bottom"/>
            <w:gridSpan w:val="2"/>
            <w:vMerge w:val="restart"/>
          </w:tcPr>
          <w:p>
            <w:pPr>
              <w:jc w:val="right"/>
              <w:ind w:right="79"/>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Portfolio loans increased by 5.5% to $7.2 billion as of June 30, 2021, compared to $6.8 billion as of December 31, 2020. Commercial balances (consisting of commercial, commercial real estate, and real estate construction loans), excluding PPP loans, increased $162.6 million since December 31, 2020. Retail real estate and retail other loans increased $264.9 million since December 31, 2020. As of June 30, 2021, loan balances included $144.3 million of GSB commercial loans and $286.1 million of GSB retail real estate and retail other loans.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Allowance and Provision for Credit Losses</w:t>
      </w:r>
    </w:p>
    <w:p>
      <w:pPr>
        <w:spacing w:after="0" w:line="198"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The ACL is a significant estimate in the Company’s unaudited consolidated financial statements, affecting both earnings and capital. The methodology adopted influences, and is influenced by, the Company’s overall credit risk management processes. The ACL is recorded in accordance with GAAP to provide an adequate reserve for expected credit losses that is reflective of management’s best estimate of what is expected to be collected. All estimates of credit losses should be based on a careful consideration of all significant factors affecting the collectability as of the evaluation date. The ACL is established through the provision for credit loss expense charged to income.</w:t>
      </w:r>
    </w:p>
    <w:p>
      <w:pPr>
        <w:spacing w:after="0" w:line="162"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Provision for credit loss expense decreased due to a reserve release of $1.7 million for the three months ended June 30, 2021, compared to a provision expense of $12.9 million for the same period in 2020. Provision for credit loss expense decreased due to a reserve release of $8.5 million for the six months ended June 30, 2021, compared to a provision expense of $30.1 million for the same period in 2020. Specifically, during the three and six months ended June 30, 2021, Busey Bank recorded a $5.5 million and $12.3 million negative provision for credit losses, respectively, amid improved US economic outlooks. Also, during the three and six months ended June 30, 2021, as a result of the acquisition, GSB recorded a Day 1 ACL of $4.2 million for PCD loans and a provision for credit losses of $3.8 million.</w:t>
      </w:r>
    </w:p>
    <w:p>
      <w:pPr>
        <w:spacing w:after="0" w:line="166"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color w:val="auto"/>
        </w:rPr>
        <w:t xml:space="preserve">The relationship between our portfolio loan balances and our ACL is summarized as follows,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March 31,</w:t>
            </w:r>
          </w:p>
        </w:tc>
        <w:tc>
          <w:tcPr>
            <w:tcW w:w="108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1"/>
                <w:szCs w:val="11"/>
                <w:color w:val="auto"/>
              </w:rPr>
            </w:pPr>
          </w:p>
        </w:tc>
        <w:tc>
          <w:tcPr>
            <w:tcW w:w="800" w:type="dxa"/>
            <w:vAlign w:val="bottom"/>
          </w:tcPr>
          <w:p>
            <w:pPr>
              <w:jc w:val="right"/>
              <w:ind w:right="136"/>
              <w:spacing w:after="0" w:line="133" w:lineRule="exact"/>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Portfolio loans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Portfolio loans, excluding PPP loans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6,795,255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6,257,196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6,367,774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6,384,916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6,499,734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PPP loans, amortized cost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390,395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522,104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446,403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736,395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729,286</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portfolio loans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7,185,650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6,779,300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6,814,177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7,121,311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7,229,020</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95,410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93,943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101,048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98,841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96,046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ACL to portfolio loans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1.33 %</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1.39 %</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1.48 %</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1.39 %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ACL to portfolio loans, excluding PPP loans</w:t>
            </w:r>
          </w:p>
        </w:tc>
        <w:tc>
          <w:tcPr>
            <w:tcW w:w="12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1.40 %</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1.50 %</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1.59 %</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1.55 %</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1.48 %</w:t>
            </w:r>
          </w:p>
        </w:tc>
      </w:tr>
      <w:tr>
        <w:trPr>
          <w:trHeight w:val="203"/>
        </w:trPr>
        <w:tc>
          <w:tcPr>
            <w:tcW w:w="3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ACL to non-performing loans</w:t>
            </w:r>
          </w:p>
        </w:tc>
        <w:tc>
          <w:tcPr>
            <w:tcW w:w="12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336.96 %</w:t>
            </w:r>
          </w:p>
        </w:tc>
        <w:tc>
          <w:tcPr>
            <w:tcW w:w="10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411.04 %</w:t>
            </w:r>
          </w:p>
        </w:tc>
        <w:tc>
          <w:tcPr>
            <w:tcW w:w="10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415.82 %</w:t>
            </w:r>
          </w:p>
        </w:tc>
        <w:tc>
          <w:tcPr>
            <w:tcW w:w="10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408.82 %</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378.43 %</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ACL to non-performing assets</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303.35 %</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346.05 %</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349.99 %</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339.02 %</w:t>
            </w:r>
          </w:p>
        </w:tc>
        <w:tc>
          <w:tcPr>
            <w:tcW w:w="900" w:type="dxa"/>
            <w:vAlign w:val="bottom"/>
          </w:tcPr>
          <w:p>
            <w:pPr>
              <w:jc w:val="right"/>
              <w:spacing w:after="0"/>
              <w:rPr>
                <w:sz w:val="20"/>
                <w:szCs w:val="20"/>
                <w:color w:val="auto"/>
              </w:rPr>
            </w:pPr>
            <w:r>
              <w:rPr>
                <w:rFonts w:ascii="Arial" w:cs="Arial" w:eastAsia="Arial" w:hAnsi="Arial"/>
                <w:sz w:val="18"/>
                <w:szCs w:val="18"/>
                <w:color w:val="auto"/>
              </w:rPr>
              <w:t>329.66 %</w:t>
            </w:r>
          </w:p>
        </w:tc>
      </w:tr>
    </w:tbl>
    <w:p>
      <w:pPr>
        <w:spacing w:after="0" w:line="160"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As of June 30, 2021, management believed the level of the ACL to be appropriate based upon the information available. However, additional losses may be identified in our loan portfolio as new information is obtained. The ongoing impacts of CECL will be dependent upon changes in economic conditions and forecasts, originated and acquired loan portfolio composition, credit performance trends, portfolio duration, and other factors.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Non-performing Loans and Non-performing Assets</w:t>
      </w:r>
    </w:p>
    <w:p>
      <w:pPr>
        <w:spacing w:after="0" w:line="198" w:lineRule="exact"/>
        <w:rPr>
          <w:sz w:val="20"/>
          <w:szCs w:val="20"/>
          <w:color w:val="auto"/>
        </w:rPr>
      </w:pPr>
    </w:p>
    <w:p>
      <w:pPr>
        <w:ind w:left="60" w:right="139"/>
        <w:spacing w:after="0" w:line="279"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179"/>
        <w:spacing w:after="0" w:line="270" w:lineRule="auto"/>
        <w:rPr>
          <w:sz w:val="20"/>
          <w:szCs w:val="20"/>
          <w:color w:val="auto"/>
        </w:rPr>
      </w:pPr>
      <w:r>
        <w:rPr>
          <w:rFonts w:ascii="Arial" w:cs="Arial" w:eastAsia="Arial" w:hAnsi="Arial"/>
          <w:sz w:val="17"/>
          <w:szCs w:val="17"/>
          <w:color w:val="auto"/>
        </w:rPr>
        <w:t>Typically, loans are secured by collateral. When a loan is classified as non-accrual and determined to be collateral dependent, it is appropriately reserved or charged down through the ACL to the fair value of our interest in the underlying collateral less estimated costs to sell. Our loan portfolio is collateralized primarily by real estate.</w:t>
      </w:r>
    </w:p>
    <w:p>
      <w:pPr>
        <w:spacing w:after="0" w:line="150"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 xml:space="preserve">The following table sets forth information concerning non-performing loans and performing restructured loans,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As of</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jc w:val="right"/>
              <w:ind w:right="32"/>
              <w:spacing w:after="0" w:line="133" w:lineRule="exact"/>
              <w:rPr>
                <w:sz w:val="20"/>
                <w:szCs w:val="20"/>
                <w:color w:val="auto"/>
              </w:rPr>
            </w:pPr>
            <w:r>
              <w:rPr>
                <w:rFonts w:ascii="Arial" w:cs="Arial" w:eastAsia="Arial" w:hAnsi="Arial"/>
                <w:sz w:val="14"/>
                <w:szCs w:val="14"/>
                <w:b w:val="1"/>
                <w:bCs w:val="1"/>
                <w:color w:val="auto"/>
                <w:w w:val="96"/>
              </w:rPr>
              <w:t>June 30,</w:t>
            </w:r>
          </w:p>
        </w:tc>
        <w:tc>
          <w:tcPr>
            <w:tcW w:w="160" w:type="dxa"/>
            <w:vAlign w:val="bottom"/>
          </w:tcPr>
          <w:p>
            <w:pPr>
              <w:spacing w:after="0"/>
              <w:rPr>
                <w:sz w:val="11"/>
                <w:szCs w:val="11"/>
                <w:color w:val="auto"/>
              </w:rPr>
            </w:pPr>
          </w:p>
        </w:tc>
        <w:tc>
          <w:tcPr>
            <w:tcW w:w="7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9"/>
              </w:rPr>
              <w:t>March 31,</w:t>
            </w:r>
          </w:p>
        </w:tc>
        <w:tc>
          <w:tcPr>
            <w:tcW w:w="100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3"/>
              <w:spacing w:after="0" w:line="13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Loans 30 – 89 days past due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3,888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9,929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7,578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5,166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Non-performing 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Non-performing loans: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Non-accrual loans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27,725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21,706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22,930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Borders>
              <w:bottom w:val="single" w:sz="8" w:color="CCEEFF"/>
            </w:tcBorders>
          </w:tcPr>
          <w:p>
            <w:pPr>
              <w:ind w:left="400"/>
              <w:spacing w:after="0" w:line="202" w:lineRule="exact"/>
              <w:rPr>
                <w:sz w:val="20"/>
                <w:szCs w:val="20"/>
                <w:color w:val="auto"/>
              </w:rPr>
            </w:pPr>
            <w:r>
              <w:rPr>
                <w:rFonts w:ascii="Arial" w:cs="Arial" w:eastAsia="Arial" w:hAnsi="Arial"/>
                <w:sz w:val="18"/>
                <w:szCs w:val="18"/>
                <w:color w:val="auto"/>
              </w:rPr>
              <w:t>Loans 90+ days past due and still accruing</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non-performing loans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28,315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22,855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24,301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24,177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25,380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OREO</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4,292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4,571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4,978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3,755</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non-performing 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31,452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27,147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28,872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29,155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29,135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Substandard (excludes 90+ days past due)</w:t>
            </w: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44,877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65,088</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68,924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77,939</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83,704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40" w:type="dxa"/>
            <w:vAlign w:val="bottom"/>
            <w:gridSpan w:val="2"/>
          </w:tcPr>
          <w:p>
            <w:pPr>
              <w:spacing w:after="0" w:line="196" w:lineRule="exact"/>
              <w:rPr>
                <w:sz w:val="20"/>
                <w:szCs w:val="20"/>
                <w:color w:val="auto"/>
              </w:rPr>
            </w:pPr>
            <w:r>
              <w:rPr>
                <w:rFonts w:ascii="Arial" w:cs="Arial" w:eastAsia="Arial" w:hAnsi="Arial"/>
                <w:sz w:val="18"/>
                <w:szCs w:val="18"/>
                <w:color w:val="auto"/>
              </w:rPr>
              <w:t>Classified assets</w:t>
            </w:r>
          </w:p>
        </w:tc>
        <w:tc>
          <w:tcPr>
            <w:tcW w:w="2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76,329</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92,235</w:t>
            </w:r>
          </w:p>
        </w:tc>
        <w:tc>
          <w:tcPr>
            <w:tcW w:w="160" w:type="dxa"/>
            <w:vAlign w:val="bottom"/>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97,796</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107,094</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112,839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9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w w:val="96"/>
              </w:rPr>
              <w:t>Performing TDRs (includes 30 – 89 days past due)</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2,518</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3,299</w:t>
            </w:r>
          </w:p>
        </w:tc>
        <w:tc>
          <w:tcPr>
            <w:tcW w:w="34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3,829</w:t>
            </w:r>
          </w:p>
        </w:tc>
        <w:tc>
          <w:tcPr>
            <w:tcW w:w="32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4,218</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4,316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Non-performing assets to total assets</w:t>
            </w:r>
          </w:p>
        </w:tc>
        <w:tc>
          <w:tcPr>
            <w:tcW w:w="9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0.25 %</w:t>
            </w:r>
          </w:p>
        </w:tc>
        <w:tc>
          <w:tcPr>
            <w:tcW w:w="9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0.25 %</w:t>
            </w: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0.27 %</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0.28 %</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0.27 %</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Non-performing loans to portfolio loans</w:t>
            </w:r>
          </w:p>
        </w:tc>
        <w:tc>
          <w:tcPr>
            <w:tcW w:w="9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0.39 %</w:t>
            </w:r>
          </w:p>
        </w:tc>
        <w:tc>
          <w:tcPr>
            <w:tcW w:w="9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0.34 %</w:t>
            </w:r>
          </w:p>
        </w:tc>
        <w:tc>
          <w:tcPr>
            <w:tcW w:w="10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0.36 %</w:t>
            </w:r>
          </w:p>
        </w:tc>
        <w:tc>
          <w:tcPr>
            <w:tcW w:w="9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0.34 %</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0.35 %</w:t>
            </w:r>
          </w:p>
        </w:tc>
      </w:tr>
      <w:tr>
        <w:trPr>
          <w:trHeight w:val="188"/>
        </w:trPr>
        <w:tc>
          <w:tcPr>
            <w:tcW w:w="4280" w:type="dxa"/>
            <w:vAlign w:val="bottom"/>
          </w:tcPr>
          <w:p>
            <w:pPr>
              <w:spacing w:after="0" w:line="189" w:lineRule="exact"/>
              <w:rPr>
                <w:sz w:val="20"/>
                <w:szCs w:val="20"/>
                <w:color w:val="auto"/>
              </w:rPr>
            </w:pPr>
            <w:r>
              <w:rPr>
                <w:rFonts w:ascii="Arial" w:cs="Arial" w:eastAsia="Arial" w:hAnsi="Arial"/>
                <w:sz w:val="18"/>
                <w:szCs w:val="18"/>
                <w:color w:val="auto"/>
                <w:w w:val="97"/>
              </w:rPr>
              <w:t>Non-performing loans to portfolio loans, excluding PPP</w:t>
            </w: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loans</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0.42 %</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0.37 %</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0.38 %</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0.38 %</w:t>
            </w:r>
          </w:p>
        </w:tc>
        <w:tc>
          <w:tcPr>
            <w:tcW w:w="800" w:type="dxa"/>
            <w:vAlign w:val="bottom"/>
          </w:tcPr>
          <w:p>
            <w:pPr>
              <w:jc w:val="right"/>
              <w:spacing w:after="0"/>
              <w:rPr>
                <w:sz w:val="20"/>
                <w:szCs w:val="20"/>
                <w:color w:val="auto"/>
              </w:rPr>
            </w:pPr>
            <w:r>
              <w:rPr>
                <w:rFonts w:ascii="Arial" w:cs="Arial" w:eastAsia="Arial" w:hAnsi="Arial"/>
                <w:sz w:val="18"/>
                <w:szCs w:val="18"/>
                <w:color w:val="auto"/>
              </w:rPr>
              <w:t>0.39 %</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Non-performing assets to portfolio loans and OREO</w:t>
            </w:r>
          </w:p>
        </w:tc>
        <w:tc>
          <w:tcPr>
            <w:tcW w:w="9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0.44 %</w:t>
            </w:r>
          </w:p>
        </w:tc>
        <w:tc>
          <w:tcPr>
            <w:tcW w:w="9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0.40 %</w:t>
            </w:r>
          </w:p>
        </w:tc>
        <w:tc>
          <w:tcPr>
            <w:tcW w:w="10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0.42 %</w:t>
            </w:r>
          </w:p>
        </w:tc>
        <w:tc>
          <w:tcPr>
            <w:tcW w:w="9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0.41 %</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0.40 %</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w w:val="99"/>
              </w:rPr>
              <w:t>Classified assets to the Banks Tier 1 Capital and ACL</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5.72 %</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7.76 %</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8.47 %</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9.58 %</w:t>
            </w:r>
          </w:p>
        </w:tc>
        <w:tc>
          <w:tcPr>
            <w:tcW w:w="800" w:type="dxa"/>
            <w:vAlign w:val="bottom"/>
          </w:tcPr>
          <w:p>
            <w:pPr>
              <w:jc w:val="right"/>
              <w:spacing w:after="0"/>
              <w:rPr>
                <w:sz w:val="20"/>
                <w:szCs w:val="20"/>
                <w:color w:val="auto"/>
              </w:rPr>
            </w:pPr>
            <w:r>
              <w:rPr>
                <w:rFonts w:ascii="Arial" w:cs="Arial" w:eastAsia="Arial" w:hAnsi="Arial"/>
                <w:sz w:val="18"/>
                <w:szCs w:val="18"/>
                <w:color w:val="auto"/>
              </w:rPr>
              <w:t>10.47 %</w:t>
            </w:r>
          </w:p>
        </w:tc>
      </w:tr>
    </w:tbl>
    <w:p>
      <w:pPr>
        <w:spacing w:after="0" w:line="16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Non-performing loan balances increased 16.5% to $28.3 million as of June 30, 2021, compared with $24.3 million as of December 31, 2020, primarily as a result of $4.4 million of acquired GSB non-performing loans. Continued disciplined credit management resulted in non-performing loans as a percentage of total loans of 0.39% as of June 30, 2021, compared to 0.34% as of March 31, 2021, and 0.35% as of June 30, 2020. Excluding the amortized cost of PPP loans, non-performing loans as a percentage of total loans was 0.42% as of June 30, 2021, compared to 0.37% as of March 31, 2021, and 0.39% as of June 30, 2020.</w:t>
      </w:r>
    </w:p>
    <w:p>
      <w:pPr>
        <w:spacing w:after="0" w:line="176"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Asset quality metrics remain dependent upon market-specific economic conditions, and specific measures may fluctuate from period to period. If economic conditions were to deteriorate as a result of COVID-19, the Company would expect the credit quality of our loan portfolio to decline and loan defaults to increase.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Potential Problem Loans</w:t>
      </w:r>
    </w:p>
    <w:p>
      <w:pPr>
        <w:spacing w:after="0" w:line="198" w:lineRule="exact"/>
        <w:rPr>
          <w:sz w:val="20"/>
          <w:szCs w:val="20"/>
          <w:color w:val="auto"/>
        </w:rPr>
      </w:pPr>
    </w:p>
    <w:p>
      <w:pPr>
        <w:ind w:left="60" w:right="99"/>
        <w:spacing w:after="0" w:line="272" w:lineRule="auto"/>
        <w:rPr>
          <w:sz w:val="20"/>
          <w:szCs w:val="20"/>
          <w:color w:val="auto"/>
        </w:rPr>
      </w:pPr>
      <w:r>
        <w:rPr>
          <w:rFonts w:ascii="Arial" w:cs="Arial" w:eastAsia="Arial" w:hAnsi="Arial"/>
          <w:sz w:val="16"/>
          <w:szCs w:val="16"/>
          <w:color w:val="auto"/>
        </w:rPr>
        <w:t>Potential problem loans are loans classified as substandard which are not categorized as impaired, restructured,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decreased by 34.9% to $44.8 million as of June 30, 2021, compared to $68.8 million as of December 31, 2020. Management continues to monitor these credits and anticipates that restructurings, guarantees, additional collateral, or other planned actions will result in full repayment of the debts. As of June 30, 2021, management identified no other loans that represent or result from trends or uncertainties which would be expected to materially impact future operating results, liquidity, or capital resources.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79"/>
        <w:spacing w:after="0" w:line="276" w:lineRule="auto"/>
        <w:rPr>
          <w:sz w:val="20"/>
          <w:szCs w:val="20"/>
          <w:color w:val="auto"/>
        </w:rPr>
      </w:pPr>
      <w:r>
        <w:rPr>
          <w:rFonts w:ascii="Arial" w:cs="Arial" w:eastAsia="Arial" w:hAnsi="Arial"/>
          <w:sz w:val="16"/>
          <w:szCs w:val="16"/>
          <w:color w:val="auto"/>
        </w:rPr>
        <w:t>To alleviate some of the financial hardships faced as a result of COVID-19, the Company offered a Financial Relief Program to qualifying customers. The program included options for short-term loan payment deferrals and certain fee waivers. As of June 30, 2021, the Company had 49 commercial loans on payment deferrals representing $143.5 million in loans. Of this balance, $10.4 million remained on full payment deferral, with the remaining $133.1 million on interest only modification. In addition, as of June 30, 2021, the Company had eight retail loans on payment deferrals representing $0.8 million in loans. As these deferrals expire, the Company will continue to monitor credits for potential problem loans.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Deposits</w:t>
      </w:r>
    </w:p>
    <w:p>
      <w:pPr>
        <w:spacing w:after="0" w:line="198"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Total deposits increased 19.1% to $10.3 billion as of June 30, 2021, compared to $8.7 billion as of December 31, 2020. GSB deposits accounted for $1.3 billion of the increase. We focus on deepening our relationships with customers to foster core deposit growth, allowing us to reduce our reliance on wholesale funding. Recent fluctuations in deposit balances can be attributed to the retention of PPP loan funding in customer deposit accounts, the impacts of economic stimulus payments to consumers, other core deposit growth, and the seasonality of public funds.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02"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Balances of these assets are dependent on the Company’s operating, investing, lending, and financing activities during any given period.</w:t>
      </w:r>
    </w:p>
    <w:p>
      <w:pPr>
        <w:spacing w:after="0" w:line="162" w:lineRule="exact"/>
        <w:rPr>
          <w:sz w:val="20"/>
          <w:szCs w:val="20"/>
          <w:color w:val="auto"/>
        </w:rPr>
      </w:pPr>
    </w:p>
    <w:p>
      <w:pPr>
        <w:ind w:left="60" w:right="159"/>
        <w:spacing w:after="0" w:line="269" w:lineRule="auto"/>
        <w:rPr>
          <w:sz w:val="20"/>
          <w:szCs w:val="20"/>
          <w:color w:val="auto"/>
        </w:rPr>
      </w:pPr>
      <w:r>
        <w:rPr>
          <w:rFonts w:ascii="Arial" w:cs="Arial" w:eastAsia="Arial" w:hAnsi="Arial"/>
          <w:sz w:val="16"/>
          <w:szCs w:val="16"/>
          <w:color w:val="auto"/>
        </w:rPr>
        <w:t>First Busey’s primary sources of funds consist of deposits, investment maturities and sales, loan principal repayments, and capital funds. Additional liquidity is provided by the ability to borrow from the FHLB, the Federal Reserve, First Busey’s revolving credit facility, or to utilize brokered deposits. As of June 30, 2021, the Company had additional capacity to borrow $1.2 billion from the FHLB and $476.5 million from the Federal Reserve. The Company has the ability to pledge</w:t>
      </w:r>
    </w:p>
    <w:p>
      <w:pPr>
        <w:spacing w:after="0" w:line="1" w:lineRule="exact"/>
        <w:rPr>
          <w:sz w:val="20"/>
          <w:szCs w:val="20"/>
          <w:color w:val="auto"/>
        </w:rPr>
      </w:pPr>
    </w:p>
    <w:p>
      <w:pPr>
        <w:ind w:left="60" w:right="479" w:hanging="10"/>
        <w:spacing w:after="0" w:line="271" w:lineRule="auto"/>
        <w:tabs>
          <w:tab w:leader="none" w:pos="405"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loans as collateral to either the FHLB or Federal Reserve Discount Window to increase the availability to borrow against any potential short-term funding needs.</w:t>
      </w:r>
    </w:p>
    <w:p>
      <w:pPr>
        <w:spacing w:after="0" w:line="150"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As of June 30, 2021,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OFF-BALANCE-SHEET ARRANGEMENTS</w:t>
      </w:r>
    </w:p>
    <w:p>
      <w:pPr>
        <w:spacing w:after="0" w:line="202" w:lineRule="exact"/>
        <w:rPr>
          <w:sz w:val="20"/>
          <w:szCs w:val="20"/>
          <w:color w:val="auto"/>
        </w:rPr>
      </w:pPr>
    </w:p>
    <w:p>
      <w:pPr>
        <w:ind w:left="60" w:right="179"/>
        <w:spacing w:after="0" w:line="257" w:lineRule="auto"/>
        <w:rPr>
          <w:sz w:val="20"/>
          <w:szCs w:val="20"/>
          <w:color w:val="auto"/>
        </w:rPr>
      </w:pPr>
      <w:r>
        <w:rPr>
          <w:rFonts w:ascii="Arial" w:cs="Arial" w:eastAsia="Arial" w:hAnsi="Arial"/>
          <w:sz w:val="17"/>
          <w:szCs w:val="17"/>
          <w:color w:val="auto"/>
        </w:rPr>
        <w:t>The Banks routinely enter into commitments to extend credit and standby letters of credit in the normal course of business to meet the financing needs of their customers. As of June 30, 2021, we had outstanding loan commitments and standby letters of credit of $1.8 billion, consistent with our December 31, 2020, balances. The balance of commitments to extend credit represents future cash requirements and some of these commitments may expire without being drawn upon. We anticipate we will have sufficient funds available to meet current loan commitments, including loan applications received and in process prior to the issuance of firm commitments.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2021, our reserve for unfunded commitments was $7.2 million, compared to $7.3 million as of</w:t>
      </w:r>
    </w:p>
    <w:p>
      <w:pPr>
        <w:spacing w:after="0" w:line="12" w:lineRule="exact"/>
        <w:rPr>
          <w:sz w:val="20"/>
          <w:szCs w:val="20"/>
          <w:color w:val="auto"/>
        </w:rPr>
      </w:pPr>
    </w:p>
    <w:p>
      <w:pPr>
        <w:ind w:left="60" w:right="199"/>
        <w:spacing w:after="0" w:line="274" w:lineRule="auto"/>
        <w:rPr>
          <w:sz w:val="20"/>
          <w:szCs w:val="20"/>
          <w:color w:val="auto"/>
        </w:rPr>
      </w:pPr>
      <w:r>
        <w:rPr>
          <w:rFonts w:ascii="Arial" w:cs="Arial" w:eastAsia="Arial" w:hAnsi="Arial"/>
          <w:sz w:val="16"/>
          <w:szCs w:val="16"/>
          <w:color w:val="auto"/>
        </w:rPr>
        <w:t>December 31, 2020. Provision expense for unfunded commitments decreased due to a reserve release of $0.5 million and $0.1 million for the three and six months ended June 30, 2021, respectively, compared to an expense of $0.6 million and $1.6 million for the three and six months ended June 30, 2020. During the three and six months ended June 30, 2021, Busey Bank recorded a $0.6 million negative provision, and a $0.2 million negative provision, respectively, which was partially offset by a Day 1 provision of $0.2 million recorded by GSB as a result of the acquisition.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with capital buffer and June 30, 2021, capital ratios for First Busey, Busey Bank, and GSB.</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Minimum Capital</w:t>
            </w:r>
          </w:p>
        </w:tc>
        <w:tc>
          <w:tcPr>
            <w:tcW w:w="18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5"/>
              </w:rPr>
              <w:t>As of June 30, 2021</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33"/>
        </w:trPr>
        <w:tc>
          <w:tcPr>
            <w:tcW w:w="4880" w:type="dxa"/>
            <w:vAlign w:val="bottom"/>
          </w:tcPr>
          <w:p>
            <w:pPr>
              <w:spacing w:after="0"/>
              <w:rPr>
                <w:sz w:val="11"/>
                <w:szCs w:val="11"/>
                <w:color w:val="auto"/>
              </w:rPr>
            </w:pPr>
          </w:p>
        </w:tc>
        <w:tc>
          <w:tcPr>
            <w:tcW w:w="14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Requirements with</w:t>
            </w:r>
          </w:p>
        </w:tc>
        <w:tc>
          <w:tcPr>
            <w:tcW w:w="1040" w:type="dxa"/>
            <w:vAlign w:val="bottom"/>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w w:val="91"/>
              </w:rPr>
              <w:t>First Busey</w:t>
            </w:r>
          </w:p>
        </w:tc>
        <w:tc>
          <w:tcPr>
            <w:tcW w:w="82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Busey</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85"/>
        </w:trPr>
        <w:tc>
          <w:tcPr>
            <w:tcW w:w="48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Capital Buffer</w:t>
            </w:r>
          </w:p>
        </w:tc>
        <w:tc>
          <w:tcPr>
            <w:tcW w:w="30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Corporation</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Bank</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GSB</w:t>
            </w:r>
          </w:p>
        </w:tc>
      </w:tr>
      <w:tr>
        <w:trPr>
          <w:trHeight w:val="20"/>
        </w:trPr>
        <w:tc>
          <w:tcPr>
            <w:tcW w:w="488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398"/>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 to Risk Weighted Assets</w:t>
            </w:r>
          </w:p>
        </w:tc>
        <w:tc>
          <w:tcPr>
            <w:tcW w:w="1480" w:type="dxa"/>
            <w:vAlign w:val="bottom"/>
            <w:gridSpan w:val="2"/>
            <w:shd w:val="clear" w:color="auto" w:fill="CCEEFF"/>
          </w:tcPr>
          <w:p>
            <w:pPr>
              <w:jc w:val="right"/>
              <w:ind w:right="160"/>
              <w:spacing w:after="0" w:line="398" w:lineRule="exact"/>
              <w:rPr>
                <w:sz w:val="20"/>
                <w:szCs w:val="20"/>
                <w:color w:val="auto"/>
              </w:rPr>
            </w:pPr>
            <w:r>
              <w:rPr>
                <w:rFonts w:ascii="Arial" w:cs="Arial" w:eastAsia="Arial" w:hAnsi="Arial"/>
                <w:sz w:val="18"/>
                <w:szCs w:val="18"/>
                <w:color w:val="auto"/>
              </w:rPr>
              <w:t xml:space="preserve">10.50 </w:t>
            </w:r>
            <w:r>
              <w:rPr>
                <w:rFonts w:ascii="Arial" w:cs="Arial" w:eastAsia="Arial" w:hAnsi="Arial"/>
                <w:sz w:val="35"/>
                <w:szCs w:val="35"/>
                <w:color w:val="auto"/>
                <w:vertAlign w:val="subscript"/>
              </w:rPr>
              <w:t>%</w:t>
            </w:r>
          </w:p>
        </w:tc>
        <w:tc>
          <w:tcPr>
            <w:tcW w:w="1040" w:type="dxa"/>
            <w:vAlign w:val="bottom"/>
            <w:gridSpan w:val="2"/>
            <w:shd w:val="clear" w:color="auto" w:fill="CCEEFF"/>
          </w:tcPr>
          <w:p>
            <w:pPr>
              <w:jc w:val="right"/>
              <w:ind w:right="140"/>
              <w:spacing w:after="0" w:line="398" w:lineRule="exact"/>
              <w:rPr>
                <w:sz w:val="20"/>
                <w:szCs w:val="20"/>
                <w:color w:val="auto"/>
              </w:rPr>
            </w:pPr>
            <w:r>
              <w:rPr>
                <w:rFonts w:ascii="Arial" w:cs="Arial" w:eastAsia="Arial" w:hAnsi="Arial"/>
                <w:sz w:val="18"/>
                <w:szCs w:val="18"/>
                <w:color w:val="auto"/>
              </w:rPr>
              <w:t xml:space="preserve">16.41 </w:t>
            </w:r>
            <w:r>
              <w:rPr>
                <w:rFonts w:ascii="Arial" w:cs="Arial" w:eastAsia="Arial" w:hAnsi="Arial"/>
                <w:sz w:val="35"/>
                <w:szCs w:val="35"/>
                <w:color w:val="auto"/>
                <w:vertAlign w:val="subscript"/>
              </w:rPr>
              <w:t>%</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16.22 %</w:t>
            </w:r>
          </w:p>
        </w:tc>
        <w:tc>
          <w:tcPr>
            <w:tcW w:w="680" w:type="dxa"/>
            <w:vAlign w:val="bottom"/>
            <w:gridSpan w:val="2"/>
            <w:shd w:val="clear" w:color="auto" w:fill="CCEEFF"/>
          </w:tcPr>
          <w:p>
            <w:pPr>
              <w:jc w:val="right"/>
              <w:spacing w:after="0" w:line="398" w:lineRule="exact"/>
              <w:rPr>
                <w:sz w:val="20"/>
                <w:szCs w:val="20"/>
                <w:color w:val="auto"/>
              </w:rPr>
            </w:pPr>
            <w:r>
              <w:rPr>
                <w:rFonts w:ascii="Arial" w:cs="Arial" w:eastAsia="Arial" w:hAnsi="Arial"/>
                <w:sz w:val="18"/>
                <w:szCs w:val="18"/>
                <w:color w:val="auto"/>
                <w:w w:val="93"/>
              </w:rPr>
              <w:t xml:space="preserve">18.20 </w:t>
            </w:r>
            <w:r>
              <w:rPr>
                <w:rFonts w:ascii="Arial" w:cs="Arial" w:eastAsia="Arial" w:hAnsi="Arial"/>
                <w:sz w:val="35"/>
                <w:szCs w:val="35"/>
                <w:color w:val="auto"/>
                <w:w w:val="93"/>
                <w:vertAlign w:val="subscript"/>
              </w:rPr>
              <w:t>%</w:t>
            </w:r>
          </w:p>
        </w:tc>
      </w:tr>
      <w:tr>
        <w:trPr>
          <w:trHeight w:val="405"/>
        </w:trPr>
        <w:tc>
          <w:tcPr>
            <w:tcW w:w="4880" w:type="dxa"/>
            <w:vAlign w:val="bottom"/>
          </w:tcPr>
          <w:p>
            <w:pPr>
              <w:ind w:left="20"/>
              <w:spacing w:after="0"/>
              <w:rPr>
                <w:sz w:val="20"/>
                <w:szCs w:val="20"/>
                <w:color w:val="auto"/>
              </w:rPr>
            </w:pPr>
            <w:r>
              <w:rPr>
                <w:rFonts w:ascii="Arial" w:cs="Arial" w:eastAsia="Arial" w:hAnsi="Arial"/>
                <w:sz w:val="18"/>
                <w:szCs w:val="18"/>
                <w:color w:val="auto"/>
              </w:rPr>
              <w:t>Tier 1 Capital to Risk Weighted Assets</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8.50 </w:t>
            </w:r>
            <w:r>
              <w:rPr>
                <w:rFonts w:ascii="Arial" w:cs="Arial" w:eastAsia="Arial" w:hAnsi="Arial"/>
                <w:sz w:val="35"/>
                <w:szCs w:val="35"/>
                <w:color w:val="auto"/>
                <w:vertAlign w:val="subscript"/>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13.18 </w:t>
            </w:r>
            <w:r>
              <w:rPr>
                <w:rFonts w:ascii="Arial" w:cs="Arial" w:eastAsia="Arial" w:hAnsi="Arial"/>
                <w:sz w:val="35"/>
                <w:szCs w:val="35"/>
                <w:color w:val="auto"/>
                <w:vertAlign w:val="subscript"/>
              </w:rPr>
              <w:t>%</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15.30 %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3"/>
              </w:rPr>
              <w:t xml:space="preserve">16.95 </w:t>
            </w:r>
            <w:r>
              <w:rPr>
                <w:rFonts w:ascii="Arial" w:cs="Arial" w:eastAsia="Arial" w:hAnsi="Arial"/>
                <w:sz w:val="35"/>
                <w:szCs w:val="35"/>
                <w:color w:val="auto"/>
                <w:w w:val="93"/>
                <w:vertAlign w:val="subscript"/>
              </w:rPr>
              <w:t>%</w:t>
            </w:r>
          </w:p>
        </w:tc>
      </w:tr>
      <w:tr>
        <w:trPr>
          <w:trHeight w:val="405"/>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Equity Tier 1 Capital to Risk Weighted Assets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xml:space="preserve">7.00 </w:t>
            </w:r>
            <w:r>
              <w:rPr>
                <w:rFonts w:ascii="Arial" w:cs="Arial" w:eastAsia="Arial" w:hAnsi="Arial"/>
                <w:sz w:val="35"/>
                <w:szCs w:val="35"/>
                <w:color w:val="auto"/>
                <w:vertAlign w:val="subscript"/>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12.26 </w:t>
            </w:r>
            <w:r>
              <w:rPr>
                <w:rFonts w:ascii="Arial" w:cs="Arial" w:eastAsia="Arial" w:hAnsi="Arial"/>
                <w:sz w:val="35"/>
                <w:szCs w:val="35"/>
                <w:color w:val="auto"/>
                <w:vertAlign w:val="subscript"/>
              </w:rPr>
              <w:t>%</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15.30 %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xml:space="preserve">16.95 </w:t>
            </w:r>
            <w:r>
              <w:rPr>
                <w:rFonts w:ascii="Arial" w:cs="Arial" w:eastAsia="Arial" w:hAnsi="Arial"/>
                <w:sz w:val="35"/>
                <w:szCs w:val="35"/>
                <w:color w:val="auto"/>
                <w:w w:val="93"/>
                <w:vertAlign w:val="subscript"/>
              </w:rPr>
              <w:t>%</w:t>
            </w:r>
          </w:p>
        </w:tc>
      </w:tr>
      <w:tr>
        <w:trPr>
          <w:trHeight w:val="471"/>
        </w:trPr>
        <w:tc>
          <w:tcPr>
            <w:tcW w:w="4880" w:type="dxa"/>
            <w:vAlign w:val="bottom"/>
          </w:tcPr>
          <w:p>
            <w:pPr>
              <w:ind w:left="20"/>
              <w:spacing w:after="0"/>
              <w:rPr>
                <w:sz w:val="20"/>
                <w:szCs w:val="20"/>
                <w:color w:val="auto"/>
              </w:rPr>
            </w:pPr>
            <w:r>
              <w:rPr>
                <w:rFonts w:ascii="Arial" w:cs="Arial" w:eastAsia="Arial" w:hAnsi="Arial"/>
                <w:sz w:val="18"/>
                <w:szCs w:val="18"/>
                <w:color w:val="auto"/>
              </w:rPr>
              <w:t>Tier 1 Capital to Average Assets</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9.62 </w:t>
            </w:r>
            <w:r>
              <w:rPr>
                <w:rFonts w:ascii="Arial" w:cs="Arial" w:eastAsia="Arial" w:hAnsi="Arial"/>
                <w:sz w:val="35"/>
                <w:szCs w:val="35"/>
                <w:color w:val="auto"/>
                <w:vertAlign w:val="subscript"/>
              </w:rPr>
              <w:t>%</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10.78 %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xml:space="preserve">7.35 </w:t>
            </w:r>
            <w:r>
              <w:rPr>
                <w:rFonts w:ascii="Arial" w:cs="Arial" w:eastAsia="Arial" w:hAnsi="Arial"/>
                <w:sz w:val="35"/>
                <w:szCs w:val="35"/>
                <w:color w:val="auto"/>
                <w:vertAlign w:val="subscript"/>
              </w:rPr>
              <w:t>%</w:t>
            </w:r>
          </w:p>
        </w:tc>
      </w:tr>
    </w:tbl>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further discussion of capital resources and requirements, see “</w:t>
      </w:r>
      <w:r>
        <w:rPr>
          <w:rFonts w:ascii="Arial" w:cs="Arial" w:eastAsia="Arial" w:hAnsi="Arial"/>
          <w:sz w:val="18"/>
          <w:szCs w:val="18"/>
          <w:i w:val="1"/>
          <w:iCs w:val="1"/>
          <w:color w:val="auto"/>
        </w:rPr>
        <w:t>Note 7: Regulatory Capital.</w:t>
      </w:r>
      <w:r>
        <w:rPr>
          <w:rFonts w:ascii="Arial" w:cs="Arial" w:eastAsia="Arial" w:hAnsi="Arial"/>
          <w:sz w:val="18"/>
          <w:szCs w:val="18"/>
          <w:color w:val="auto"/>
        </w:rPr>
        <w:t>”</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INFORMATION</w:t>
      </w:r>
    </w:p>
    <w:p>
      <w:pPr>
        <w:spacing w:after="0" w:line="202" w:lineRule="exact"/>
        <w:rPr>
          <w:sz w:val="20"/>
          <w:szCs w:val="20"/>
          <w:color w:val="auto"/>
        </w:rPr>
      </w:pPr>
    </w:p>
    <w:p>
      <w:pPr>
        <w:ind w:left="60" w:right="159"/>
        <w:spacing w:after="0" w:line="276" w:lineRule="auto"/>
        <w:rPr>
          <w:sz w:val="20"/>
          <w:szCs w:val="20"/>
          <w:color w:val="auto"/>
        </w:rPr>
      </w:pPr>
      <w:r>
        <w:rPr>
          <w:rFonts w:ascii="Arial" w:cs="Arial" w:eastAsia="Arial" w:hAnsi="Arial"/>
          <w:sz w:val="16"/>
          <w:szCs w:val="16"/>
          <w:color w:val="auto"/>
        </w:rPr>
        <w:t>This Quarterly Report contains certain financial information determined by methods other than in accordance with GAAP. These measures include adjusted pre-provision net revenue, adjusted net income, adjusted diluted earnings per share, adjusted return on average assets, adjusted net interest margin, efficiency ratio, adjusted efficiency ratio, tangible common equity, tangible common equity to tangible assets, tangible book value per share, and return on average tangible common equity. Management uses these non-GAAP measures, together with the related GAAP measures, to analyze the Company’s performance and to make business decisions. Management also uses these measures for peer comparisons.</w:t>
      </w:r>
    </w:p>
    <w:p>
      <w:pPr>
        <w:spacing w:after="0" w:line="148"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A reconciliation to what management believes to be the most directly comparable GAAP financial measures – specifically net revenue in the case of adjusted pre-provision net revenue, net income in the case of adjusted net income, adjusted diluted earnings per share, and adjusted return on average assets; total net interest income in the case of adjusted net interest margin; total non-interest income and total non-interest expense in the case of efficiency ratio and adjusted efficiency ratio; and total stockholders’ equity in the case of tangible common equity, tangible common equity to tangible assets, tangible book value per share, and return on average tangible common equity – appears below. The Company believes the adjusted measures are useful for investors and management to understand the effects of certain non-recurring non-interest items and provides additional perspective on the Company’s performance over time as well as comparison to the Company’s peers.</w:t>
      </w:r>
    </w:p>
    <w:p>
      <w:pPr>
        <w:spacing w:after="0" w:line="170" w:lineRule="exact"/>
        <w:rPr>
          <w:sz w:val="20"/>
          <w:szCs w:val="20"/>
          <w:color w:val="auto"/>
        </w:rPr>
      </w:pPr>
    </w:p>
    <w:p>
      <w:pPr>
        <w:ind w:left="60" w:right="179"/>
        <w:spacing w:after="0" w:line="262" w:lineRule="auto"/>
        <w:rPr>
          <w:sz w:val="20"/>
          <w:szCs w:val="20"/>
          <w:color w:val="auto"/>
        </w:rPr>
      </w:pPr>
      <w:r>
        <w:rPr>
          <w:rFonts w:ascii="Arial" w:cs="Arial" w:eastAsia="Arial" w:hAnsi="Arial"/>
          <w:sz w:val="17"/>
          <w:szCs w:val="17"/>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Reconciliation of Non-GAAP Financial Measures — Adjusted Pre-Provision Net Revenue</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28"/>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73"/>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3"/>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Pre-provision net revenue</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129,435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140,246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Non-interest income</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33,011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31,445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27,964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64,456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55,481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Less net (gains) losses on sales of</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securities and unrealized (gains)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losses recognized on equity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03"/>
        </w:trPr>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Non-interest expense</w:t>
            </w:r>
          </w:p>
        </w:tc>
        <w:tc>
          <w:tcPr>
            <w:tcW w:w="120" w:type="dxa"/>
            <w:vAlign w:val="bottom"/>
          </w:tcPr>
          <w:p>
            <w:pPr>
              <w:spacing w:after="0"/>
              <w:rPr>
                <w:sz w:val="17"/>
                <w:szCs w:val="17"/>
                <w:color w:val="auto"/>
              </w:rPr>
            </w:pPr>
          </w:p>
        </w:tc>
        <w:tc>
          <w:tcPr>
            <w:tcW w:w="104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(62,625)</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(54,499)</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(53,068)</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(117,124)</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(113,582)</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pre-provision net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34,030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40,198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45,394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74,228</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81,243</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b w:val="1"/>
                <w:bCs w:val="1"/>
                <w:color w:val="auto"/>
              </w:rPr>
              <w:t>Adjustments to pre-provision net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40" w:type="dxa"/>
            <w:vAlign w:val="bottom"/>
          </w:tcPr>
          <w:p>
            <w:pPr>
              <w:ind w:left="220"/>
              <w:spacing w:after="0" w:line="189" w:lineRule="exact"/>
              <w:rPr>
                <w:sz w:val="20"/>
                <w:szCs w:val="20"/>
                <w:color w:val="auto"/>
              </w:rPr>
            </w:pPr>
            <w:r>
              <w:rPr>
                <w:rFonts w:ascii="Arial" w:cs="Arial" w:eastAsia="Arial" w:hAnsi="Arial"/>
                <w:sz w:val="18"/>
                <w:szCs w:val="18"/>
                <w:color w:val="auto"/>
              </w:rPr>
              <w:t>Acquisition and other restructuring</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4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Provision for unfunded</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40" w:type="dxa"/>
            <w:vAlign w:val="bottom"/>
          </w:tcPr>
          <w:p>
            <w:pPr>
              <w:ind w:left="220"/>
              <w:spacing w:after="0" w:line="189" w:lineRule="exact"/>
              <w:rPr>
                <w:sz w:val="20"/>
                <w:szCs w:val="20"/>
                <w:color w:val="auto"/>
              </w:rPr>
            </w:pPr>
            <w:r>
              <w:rPr>
                <w:rFonts w:ascii="Arial" w:cs="Arial" w:eastAsia="Arial" w:hAnsi="Arial"/>
                <w:sz w:val="18"/>
                <w:szCs w:val="18"/>
                <w:color w:val="auto"/>
              </w:rPr>
              <w:t>New Market Tax Credit</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4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Adjusted pre-provision net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37,486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42,753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46,448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80,239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84,659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Average 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11,398,655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10,594,245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10,374,820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10,998,672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10,031,499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04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b w:val="1"/>
                <w:bCs w:val="1"/>
                <w:color w:val="auto"/>
                <w:w w:val="95"/>
              </w:rPr>
              <w:t>Reported</w:t>
            </w:r>
            <w:r>
              <w:rPr>
                <w:rFonts w:ascii="Arial" w:cs="Arial" w:eastAsia="Arial" w:hAnsi="Arial"/>
                <w:sz w:val="18"/>
                <w:szCs w:val="18"/>
                <w:color w:val="auto"/>
                <w:w w:val="95"/>
              </w:rPr>
              <w:t>: Pre-provision net revenue to</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line="227" w:lineRule="exact"/>
              <w:rPr>
                <w:sz w:val="20"/>
                <w:szCs w:val="20"/>
                <w:color w:val="auto"/>
              </w:rPr>
            </w:pPr>
            <w:r>
              <w:rPr>
                <w:rFonts w:ascii="Arial" w:cs="Arial" w:eastAsia="Arial" w:hAnsi="Arial"/>
                <w:sz w:val="18"/>
                <w:szCs w:val="18"/>
                <w:color w:val="auto"/>
              </w:rPr>
              <w:t xml:space="preserve">average assets </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1.76 %</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1.36 %</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178"/>
        </w:trPr>
        <w:tc>
          <w:tcPr>
            <w:tcW w:w="3040" w:type="dxa"/>
            <w:vAlign w:val="bottom"/>
          </w:tcPr>
          <w:p>
            <w:pPr>
              <w:ind w:left="20"/>
              <w:spacing w:after="0" w:line="178" w:lineRule="exact"/>
              <w:rPr>
                <w:sz w:val="20"/>
                <w:szCs w:val="20"/>
                <w:color w:val="auto"/>
              </w:rPr>
            </w:pPr>
            <w:r>
              <w:rPr>
                <w:rFonts w:ascii="Arial" w:cs="Arial" w:eastAsia="Arial" w:hAnsi="Arial"/>
                <w:sz w:val="18"/>
                <w:szCs w:val="18"/>
                <w:b w:val="1"/>
                <w:bCs w:val="1"/>
                <w:color w:val="auto"/>
                <w:w w:val="95"/>
              </w:rPr>
              <w:t>Adjusted</w:t>
            </w:r>
            <w:r>
              <w:rPr>
                <w:rFonts w:ascii="Arial" w:cs="Arial" w:eastAsia="Arial" w:hAnsi="Arial"/>
                <w:sz w:val="18"/>
                <w:szCs w:val="18"/>
                <w:color w:val="auto"/>
                <w:w w:val="95"/>
              </w:rPr>
              <w:t>: Pre-provision net revenue to</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3"/>
        </w:trPr>
        <w:tc>
          <w:tcPr>
            <w:tcW w:w="3040" w:type="dxa"/>
            <w:vAlign w:val="bottom"/>
          </w:tcPr>
          <w:p>
            <w:pPr>
              <w:ind w:left="20"/>
              <w:spacing w:after="0"/>
              <w:rPr>
                <w:sz w:val="20"/>
                <w:szCs w:val="20"/>
                <w:color w:val="auto"/>
              </w:rPr>
            </w:pPr>
            <w:r>
              <w:rPr>
                <w:rFonts w:ascii="Arial" w:cs="Arial" w:eastAsia="Arial" w:hAnsi="Arial"/>
                <w:sz w:val="18"/>
                <w:szCs w:val="18"/>
                <w:color w:val="auto"/>
              </w:rPr>
              <w:t xml:space="preserve">average assets </w:t>
            </w:r>
            <w:r>
              <w:rPr>
                <w:rFonts w:ascii="Arial" w:cs="Arial" w:eastAsia="Arial" w:hAnsi="Arial"/>
                <w:sz w:val="26"/>
                <w:szCs w:val="26"/>
                <w:color w:val="auto"/>
                <w:vertAlign w:val="superscript"/>
              </w:rPr>
              <w:t>(1)</w:t>
            </w:r>
          </w:p>
        </w:tc>
        <w:tc>
          <w:tcPr>
            <w:tcW w:w="1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1.32 %</w:t>
            </w:r>
          </w:p>
        </w:tc>
        <w:tc>
          <w:tcPr>
            <w:tcW w:w="1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1.64 %</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1.80 %</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1.47 %</w:t>
            </w:r>
          </w:p>
        </w:tc>
        <w:tc>
          <w:tcPr>
            <w:tcW w:w="1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-10795</wp:posOffset>
            </wp:positionV>
            <wp:extent cx="1414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51"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Reconciliation of Non-GAAP Financial Measures — Adjusted Net Income, Adjusted Diluted Earnings Per Share, and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Adjusted Return on Average Assets</w:t>
      </w:r>
    </w:p>
    <w:p>
      <w:pPr>
        <w:jc w:val="center"/>
        <w:ind w:right="19"/>
        <w:spacing w:after="0"/>
        <w:rPr>
          <w:sz w:val="20"/>
          <w:szCs w:val="20"/>
          <w:color w:val="auto"/>
        </w:rPr>
      </w:pPr>
      <w:r>
        <w:rPr>
          <w:rFonts w:ascii="Arial" w:cs="Arial" w:eastAsia="Arial" w:hAnsi="Arial"/>
          <w:sz w:val="18"/>
          <w:szCs w:val="18"/>
          <w:i w:val="1"/>
          <w:iCs w:val="1"/>
          <w:color w:val="auto"/>
        </w:rPr>
        <w:t>(unaudited, dollars in thousands, except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28"/>
              <w:spacing w:after="0" w:line="133" w:lineRule="exact"/>
              <w:rPr>
                <w:sz w:val="20"/>
                <w:szCs w:val="20"/>
                <w:color w:val="auto"/>
              </w:rPr>
            </w:pPr>
            <w:r>
              <w:rPr>
                <w:rFonts w:ascii="Arial" w:cs="Arial" w:eastAsia="Arial" w:hAnsi="Arial"/>
                <w:sz w:val="14"/>
                <w:szCs w:val="14"/>
                <w:b w:val="1"/>
                <w:bCs w:val="1"/>
                <w:color w:val="auto"/>
              </w:rPr>
              <w:t>June 30,</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9"/>
              </w:rPr>
              <w:t>March 31,</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52"/>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72"/>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29,766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37,816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25,806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67,582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41,170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Adjustments to net income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Acquisition expenses: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w w:val="99"/>
              </w:rPr>
              <w:t>Salaries, wages, and employee</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benefits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Data processing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w w:val="91"/>
              </w:rPr>
              <w:t>Professional fees, occupancy, and</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Other restructuring costs: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w w:val="99"/>
              </w:rPr>
              <w:t>Salaries, wages, and employee</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benefits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Borders>
              <w:bottom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Related tax benefit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net income</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31,921</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38,065</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26,191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69,986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41,670</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9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Dilutive average common shares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55,730,883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55,035,806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54,705,273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55,384,942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54,807,170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6"/>
              </w:rPr>
              <w:t xml:space="preserve">Reported: </w:t>
            </w:r>
            <w:r>
              <w:rPr>
                <w:rFonts w:ascii="Arial" w:cs="Arial" w:eastAsia="Arial" w:hAnsi="Arial"/>
                <w:sz w:val="18"/>
                <w:szCs w:val="18"/>
                <w:color w:val="auto"/>
                <w:w w:val="96"/>
              </w:rPr>
              <w:t>Diluted earnings per share</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0.53</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97"/>
              </w:rPr>
              <w:t xml:space="preserve">Adjusted: </w:t>
            </w:r>
            <w:r>
              <w:rPr>
                <w:rFonts w:ascii="Arial" w:cs="Arial" w:eastAsia="Arial" w:hAnsi="Arial"/>
                <w:sz w:val="18"/>
                <w:szCs w:val="18"/>
                <w:color w:val="auto"/>
                <w:w w:val="97"/>
              </w:rPr>
              <w:t>Diluted earnings per share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0.69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0.76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tcPr>
          <w:p>
            <w:pPr>
              <w:spacing w:after="0" w:line="202" w:lineRule="exact"/>
              <w:rPr>
                <w:sz w:val="20"/>
                <w:szCs w:val="20"/>
                <w:color w:val="auto"/>
              </w:rPr>
            </w:pPr>
            <w:r>
              <w:rPr>
                <w:rFonts w:ascii="Arial" w:cs="Arial" w:eastAsia="Arial" w:hAnsi="Arial"/>
                <w:sz w:val="18"/>
                <w:szCs w:val="18"/>
                <w:color w:val="auto"/>
              </w:rPr>
              <w:t>Average total assets</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11,398,655</w:t>
            </w:r>
          </w:p>
        </w:tc>
        <w:tc>
          <w:tcPr>
            <w:tcW w:w="14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10,594,245</w:t>
            </w:r>
          </w:p>
        </w:tc>
        <w:tc>
          <w:tcPr>
            <w:tcW w:w="14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10,374,820</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10,998,672</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10,031,499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40" w:type="dxa"/>
            <w:vAlign w:val="bottom"/>
            <w:gridSpan w:val="2"/>
          </w:tcPr>
          <w:p>
            <w:pPr>
              <w:spacing w:after="0" w:line="202" w:lineRule="exact"/>
              <w:rPr>
                <w:sz w:val="20"/>
                <w:szCs w:val="20"/>
                <w:color w:val="auto"/>
              </w:rPr>
            </w:pPr>
            <w:r>
              <w:rPr>
                <w:rFonts w:ascii="Arial" w:cs="Arial" w:eastAsia="Arial" w:hAnsi="Arial"/>
                <w:sz w:val="16"/>
                <w:szCs w:val="16"/>
                <w:b w:val="1"/>
                <w:bCs w:val="1"/>
                <w:color w:val="auto"/>
              </w:rPr>
              <w:t xml:space="preserve">Reported: </w:t>
            </w:r>
            <w:r>
              <w:rPr>
                <w:rFonts w:ascii="Arial" w:cs="Arial" w:eastAsia="Arial" w:hAnsi="Arial"/>
                <w:sz w:val="16"/>
                <w:szCs w:val="16"/>
                <w:color w:val="auto"/>
              </w:rPr>
              <w:t>Return on average assets</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1.00 %</w:t>
            </w: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1.24 %</w:t>
            </w: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0.83 %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6"/>
                <w:szCs w:val="16"/>
                <w:color w:val="auto"/>
              </w:rPr>
              <w:t>Return on average assets</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1.12 %</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1.02 %</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1.28 %</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0.84 %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Reconciliation of Non-GAAP Financial Measures — Adjusted Net Interest Margin</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ind w:left="8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March 31,</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15"/>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35"/>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interest income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64,542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64,893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70,813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129,435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140,246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Adjustments to net interest income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ind w:left="200"/>
              <w:spacing w:after="0" w:line="202" w:lineRule="exact"/>
              <w:rPr>
                <w:sz w:val="20"/>
                <w:szCs w:val="20"/>
                <w:color w:val="auto"/>
              </w:rPr>
            </w:pPr>
            <w:r>
              <w:rPr>
                <w:rFonts w:ascii="Arial" w:cs="Arial" w:eastAsia="Arial" w:hAnsi="Arial"/>
                <w:sz w:val="18"/>
                <w:szCs w:val="18"/>
                <w:color w:val="auto"/>
              </w:rPr>
              <w:t>Tax-equivalent adjustment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1,447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3"/>
              </w:rPr>
              <w:t>Acquisition-related purchase accounting</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20" w:type="dxa"/>
            <w:vAlign w:val="bottom"/>
            <w:gridSpan w:val="2"/>
          </w:tcPr>
          <w:p>
            <w:pPr>
              <w:spacing w:after="0" w:line="196" w:lineRule="exact"/>
              <w:rPr>
                <w:sz w:val="20"/>
                <w:szCs w:val="20"/>
                <w:color w:val="auto"/>
              </w:rPr>
            </w:pPr>
            <w:r>
              <w:rPr>
                <w:rFonts w:ascii="Arial" w:cs="Arial" w:eastAsia="Arial" w:hAnsi="Arial"/>
                <w:sz w:val="18"/>
                <w:szCs w:val="18"/>
                <w:color w:val="auto"/>
              </w:rPr>
              <w:t>Adjusted net interest income</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63,395</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63,337</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69,053</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126,732</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136,389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00" w:type="dxa"/>
            <w:vAlign w:val="bottom"/>
          </w:tcPr>
          <w:p>
            <w:pPr>
              <w:spacing w:after="0" w:line="202" w:lineRule="exact"/>
              <w:rPr>
                <w:sz w:val="20"/>
                <w:szCs w:val="20"/>
                <w:color w:val="auto"/>
              </w:rPr>
            </w:pPr>
            <w:r>
              <w:rPr>
                <w:rFonts w:ascii="Arial" w:cs="Arial" w:eastAsia="Arial" w:hAnsi="Arial"/>
                <w:sz w:val="18"/>
                <w:szCs w:val="18"/>
                <w:color w:val="auto"/>
              </w:rPr>
              <w:t>Average interest-earning assets</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10,448,417</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9,752,294</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9"/>
              </w:rPr>
              <w:t>9,485,200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10,102,278</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9,151,372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00" w:type="dxa"/>
            <w:vAlign w:val="bottom"/>
            <w:gridSpan w:val="3"/>
          </w:tcPr>
          <w:p>
            <w:pPr>
              <w:ind w:left="20"/>
              <w:spacing w:after="0" w:line="214" w:lineRule="exact"/>
              <w:rPr>
                <w:sz w:val="20"/>
                <w:szCs w:val="20"/>
                <w:color w:val="auto"/>
              </w:rPr>
            </w:pPr>
            <w:r>
              <w:rPr>
                <w:rFonts w:ascii="Arial" w:cs="Arial" w:eastAsia="Arial" w:hAnsi="Arial"/>
                <w:sz w:val="17"/>
                <w:szCs w:val="17"/>
                <w:b w:val="1"/>
                <w:bCs w:val="1"/>
                <w:color w:val="auto"/>
              </w:rPr>
              <w:t>Reported</w:t>
            </w:r>
            <w:r>
              <w:rPr>
                <w:rFonts w:ascii="Arial" w:cs="Arial" w:eastAsia="Arial" w:hAnsi="Arial"/>
                <w:sz w:val="17"/>
                <w:szCs w:val="17"/>
                <w:color w:val="auto"/>
              </w:rPr>
              <w:t>: Net interest margin</w:t>
            </w:r>
            <w:r>
              <w:rPr>
                <w:rFonts w:ascii="Arial" w:cs="Arial" w:eastAsia="Arial" w:hAnsi="Arial"/>
                <w:sz w:val="17"/>
                <w:szCs w:val="17"/>
                <w:b w:val="1"/>
                <w:bCs w:val="1"/>
                <w:color w:val="auto"/>
              </w:rPr>
              <w:t xml:space="preserve"> </w:t>
            </w:r>
            <w:r>
              <w:rPr>
                <w:rFonts w:ascii="Arial" w:cs="Arial" w:eastAsia="Arial" w:hAnsi="Arial"/>
                <w:sz w:val="24"/>
                <w:szCs w:val="24"/>
                <w:color w:val="auto"/>
                <w:vertAlign w:val="superscript"/>
              </w:rPr>
              <w:t>(1)</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2.50 %</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2.72 %</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3.03 %</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2.61 %</w:t>
            </w:r>
          </w:p>
        </w:tc>
        <w:tc>
          <w:tcPr>
            <w:tcW w:w="820" w:type="dxa"/>
            <w:vAlign w:val="bottom"/>
          </w:tcPr>
          <w:p>
            <w:pPr>
              <w:jc w:val="right"/>
              <w:spacing w:after="0"/>
              <w:rPr>
                <w:sz w:val="20"/>
                <w:szCs w:val="20"/>
                <w:color w:val="auto"/>
              </w:rPr>
            </w:pPr>
            <w:r>
              <w:rPr>
                <w:rFonts w:ascii="Arial" w:cs="Arial" w:eastAsia="Arial" w:hAnsi="Arial"/>
                <w:sz w:val="18"/>
                <w:szCs w:val="18"/>
                <w:color w:val="auto"/>
              </w:rPr>
              <w:t>3.11 %</w:t>
            </w:r>
          </w:p>
        </w:tc>
      </w:tr>
      <w:tr>
        <w:trPr>
          <w:trHeight w:val="203"/>
        </w:trPr>
        <w:tc>
          <w:tcPr>
            <w:tcW w:w="20" w:type="dxa"/>
            <w:vAlign w:val="bottom"/>
          </w:tcPr>
          <w:p>
            <w:pPr>
              <w:spacing w:after="0"/>
              <w:rPr>
                <w:sz w:val="17"/>
                <w:szCs w:val="17"/>
                <w:color w:val="auto"/>
              </w:rPr>
            </w:pPr>
          </w:p>
        </w:tc>
        <w:tc>
          <w:tcPr>
            <w:tcW w:w="31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Net Interest margin</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(1)</w:t>
            </w:r>
          </w:p>
        </w:tc>
        <w:tc>
          <w:tcPr>
            <w:tcW w:w="15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2.43 %</w:t>
            </w:r>
          </w:p>
        </w:tc>
        <w:tc>
          <w:tcPr>
            <w:tcW w:w="1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2.63 %</w:t>
            </w:r>
          </w:p>
        </w:tc>
        <w:tc>
          <w:tcPr>
            <w:tcW w:w="11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2.93 %</w:t>
            </w:r>
          </w:p>
        </w:tc>
        <w:tc>
          <w:tcPr>
            <w:tcW w:w="11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2.53 %</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3.00 %</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spacing w:after="0" w:line="62"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Annualized measure.</w:t>
      </w:r>
    </w:p>
    <w:p>
      <w:pPr>
        <w:spacing w:after="0" w:line="208" w:lineRule="exact"/>
        <w:rPr>
          <w:sz w:val="20"/>
          <w:szCs w:val="20"/>
          <w:color w:val="auto"/>
        </w:rPr>
      </w:pPr>
    </w:p>
    <w:p>
      <w:pPr>
        <w:jc w:val="center"/>
        <w:ind w:left="40" w:right="59"/>
        <w:spacing w:after="0" w:line="261" w:lineRule="auto"/>
        <w:rPr>
          <w:sz w:val="20"/>
          <w:szCs w:val="20"/>
          <w:color w:val="auto"/>
        </w:rPr>
      </w:pPr>
      <w:r>
        <w:rPr>
          <w:rFonts w:ascii="Arial" w:cs="Arial" w:eastAsia="Arial" w:hAnsi="Arial"/>
          <w:sz w:val="18"/>
          <w:szCs w:val="18"/>
          <w:u w:val="single" w:color="auto"/>
          <w:color w:val="auto"/>
        </w:rPr>
        <w:t xml:space="preserve">Reconciliation of Non-GAAP Financial Measures — Efficiency Ratio and Adjusted Efficiency Ratio </w:t>
      </w:r>
      <w:r>
        <w:rPr>
          <w:rFonts w:ascii="Arial" w:cs="Arial" w:eastAsia="Arial" w:hAnsi="Arial"/>
          <w:sz w:val="18"/>
          <w:szCs w:val="18"/>
          <w:i w:val="1"/>
          <w:iCs w:val="1"/>
          <w:color w:val="auto"/>
        </w:rPr>
        <w:t>(unaudited, dollars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17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rPr>
              <w:t>June 30,</w:t>
            </w:r>
          </w:p>
        </w:tc>
        <w:tc>
          <w:tcPr>
            <w:tcW w:w="840" w:type="dxa"/>
            <w:vAlign w:val="bottom"/>
            <w:tcBorders>
              <w:top w:val="single" w:sz="8" w:color="auto"/>
            </w:tcBorders>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52"/>
              <w:spacing w:after="0" w:line="133"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78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6"/>
                <w:szCs w:val="16"/>
                <w:color w:val="auto"/>
              </w:rPr>
            </w:pPr>
          </w:p>
        </w:tc>
        <w:tc>
          <w:tcPr>
            <w:tcW w:w="7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interest income</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$ 64,542</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$ 64,893</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$ 70,813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129,435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140,246</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Tax-equivalent adjustment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579</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601</w:t>
            </w:r>
          </w:p>
        </w:tc>
        <w:tc>
          <w:tcPr>
            <w:tcW w:w="14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1,447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Tax-equivalent interest income</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$ 65,121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$ 65,494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$ 71,530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130,615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141,693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Non-interest income</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33,011</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31,445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27,964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64,456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55,481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Less net (gains) losses on sales of securities and</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w w:val="91"/>
              </w:rPr>
              <w:t>unrealized (gains) losses recognized on equity securities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(1,641)</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non-interest income</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$ 32,113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$ 29,804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$ 27,649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61,917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54,579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Non-interest expense</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62,625</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54,499</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53,068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117,124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113,582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(2,650)</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(2,401)</w:t>
            </w:r>
          </w:p>
        </w:tc>
        <w:tc>
          <w:tcPr>
            <w:tcW w:w="14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(5,051)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(5,076)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Non-operating adjustments: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Salaries, wages, and employee benefits</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(1,125)</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(346)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Data processing</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Lease or fixed asset impairment</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Professional fees and other</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Adjusted non-interest expense</w:t>
            </w:r>
          </w:p>
        </w:tc>
        <w:tc>
          <w:tcPr>
            <w:tcW w:w="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5"/>
              </w:rPr>
              <w:t>$ 57,262</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$ 51,778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5"/>
              </w:rPr>
              <w:t>$ 50,062</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109,040</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107,874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gridSpan w:val="2"/>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Efficiency ratio</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(1)</w:t>
            </w:r>
          </w:p>
        </w:tc>
        <w:tc>
          <w:tcPr>
            <w:tcW w:w="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61.68 %</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54.67 %</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50.97 %</w:t>
            </w:r>
          </w:p>
        </w:tc>
        <w:tc>
          <w:tcPr>
            <w:tcW w:w="12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58.21 %</w:t>
            </w:r>
          </w:p>
        </w:tc>
        <w:tc>
          <w:tcPr>
            <w:tcW w:w="1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55.28 %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Efficiency ratio</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(2)</w:t>
            </w:r>
          </w:p>
        </w:tc>
        <w:tc>
          <w:tcPr>
            <w:tcW w:w="9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58.89 %</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54.33 %</w:t>
            </w: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50.48 %</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56.63 %</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54.96 %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right="79" w:hanging="322"/>
        <w:spacing w:after="0" w:line="250" w:lineRule="auto"/>
        <w:tabs>
          <w:tab w:leader="none" w:pos="480" w:val="left"/>
        </w:tabs>
        <w:numPr>
          <w:ilvl w:val="0"/>
          <w:numId w:val="24"/>
        </w:numPr>
        <w:rPr>
          <w:rFonts w:ascii="Arial" w:cs="Arial" w:eastAsia="Arial" w:hAnsi="Arial"/>
          <w:sz w:val="13"/>
          <w:szCs w:val="13"/>
          <w:color w:val="auto"/>
        </w:rPr>
      </w:pPr>
      <w:r>
        <w:rPr>
          <w:rFonts w:ascii="Arial" w:cs="Arial" w:eastAsia="Arial" w:hAnsi="Arial"/>
          <w:sz w:val="14"/>
          <w:szCs w:val="14"/>
          <w:color w:val="auto"/>
        </w:rPr>
        <w:t>Calculated as total non-interest expense, less amortization charges, as a percentage of tax-equivalent net interest income, plus non-interest income, less security gains and losses.</w:t>
      </w:r>
    </w:p>
    <w:p>
      <w:pPr>
        <w:ind w:left="480" w:right="79" w:hanging="322"/>
        <w:spacing w:after="0" w:line="255" w:lineRule="auto"/>
        <w:tabs>
          <w:tab w:leader="none" w:pos="480" w:val="left"/>
        </w:tabs>
        <w:numPr>
          <w:ilvl w:val="0"/>
          <w:numId w:val="24"/>
        </w:numPr>
        <w:rPr>
          <w:rFonts w:ascii="Arial" w:cs="Arial" w:eastAsia="Arial" w:hAnsi="Arial"/>
          <w:sz w:val="13"/>
          <w:szCs w:val="13"/>
          <w:color w:val="auto"/>
        </w:rPr>
      </w:pPr>
      <w:r>
        <w:rPr>
          <w:rFonts w:ascii="Arial" w:cs="Arial" w:eastAsia="Arial" w:hAnsi="Arial"/>
          <w:sz w:val="14"/>
          <w:szCs w:val="14"/>
          <w:color w:val="auto"/>
        </w:rPr>
        <w:t>Calculated as adjusted non-interest expense, as a percentage of tax-equivalent net interest income plus non-interest income, less security gains and losses.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left="1500" w:right="180"/>
        <w:spacing w:after="0" w:line="248" w:lineRule="auto"/>
        <w:rPr>
          <w:sz w:val="20"/>
          <w:szCs w:val="20"/>
          <w:color w:val="auto"/>
        </w:rPr>
      </w:pPr>
      <w:r>
        <w:rPr>
          <w:rFonts w:ascii="Arial" w:cs="Arial" w:eastAsia="Arial" w:hAnsi="Arial"/>
          <w:sz w:val="18"/>
          <w:szCs w:val="18"/>
          <w:u w:val="single" w:color="auto"/>
          <w:color w:val="auto"/>
        </w:rPr>
        <w:t xml:space="preserve">Reconciliation of Non-GAAP Financial Measures — Tangible Common Equity, Tangible Common Equity to Tangible Assets, Tangible Book Value per Share, and Return on Average Tangible Common Equity </w:t>
      </w:r>
      <w:r>
        <w:rPr>
          <w:rFonts w:ascii="Arial" w:cs="Arial" w:eastAsia="Arial" w:hAnsi="Arial"/>
          <w:sz w:val="18"/>
          <w:szCs w:val="18"/>
          <w:i w:val="1"/>
          <w:iCs w:val="1"/>
          <w:color w:val="auto"/>
        </w:rPr>
        <w:t>(unaudited, dollars 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13"/>
          </w:tcPr>
          <w:p>
            <w:pPr>
              <w:jc w:val="right"/>
              <w:ind w:right="700"/>
              <w:spacing w:after="0"/>
              <w:rPr>
                <w:sz w:val="20"/>
                <w:szCs w:val="20"/>
                <w:color w:val="auto"/>
              </w:rPr>
            </w:pPr>
            <w:r>
              <w:rPr>
                <w:rFonts w:ascii="Arial" w:cs="Arial" w:eastAsia="Arial" w:hAnsi="Arial"/>
                <w:sz w:val="14"/>
                <w:szCs w:val="14"/>
                <w:b w:val="1"/>
                <w:bCs w:val="1"/>
                <w:color w:val="auto"/>
              </w:rPr>
              <w:t>As of and for the Three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rPr>
              <w:t>June 30,</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360"/>
              <w:spacing w:after="0" w:line="133" w:lineRule="exact"/>
              <w:rPr>
                <w:sz w:val="20"/>
                <w:szCs w:val="20"/>
                <w:color w:val="auto"/>
              </w:rPr>
            </w:pPr>
            <w:r>
              <w:rPr>
                <w:rFonts w:ascii="Arial" w:cs="Arial" w:eastAsia="Arial" w:hAnsi="Arial"/>
                <w:sz w:val="14"/>
                <w:szCs w:val="14"/>
                <w:b w:val="1"/>
                <w:bCs w:val="1"/>
                <w:color w:val="auto"/>
              </w:rPr>
              <w:t>March 31,</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88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12,415,449</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10,759,563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10,835,965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Goodwill and other intangible assets, net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(381,795)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(361,120)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(368,053)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Tax effect of other intangible assets, net</w:t>
            </w:r>
          </w:p>
        </w:tc>
        <w:tc>
          <w:tcPr>
            <w:tcW w:w="5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17,997</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13,883</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15,825</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Tangible assets</w:t>
            </w:r>
          </w:p>
        </w:tc>
        <w:tc>
          <w:tcPr>
            <w:tcW w:w="5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12,051,651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10,412,326</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10,483,737</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CCEEFF"/>
            </w:tcBorders>
            <w:shd w:val="clear" w:color="auto" w:fill="CCEEFF"/>
          </w:tcPr>
          <w:p>
            <w:pPr>
              <w:spacing w:after="0"/>
              <w:rPr>
                <w:sz w:val="15"/>
                <w:szCs w:val="15"/>
                <w:color w:val="auto"/>
              </w:rPr>
            </w:pPr>
          </w:p>
        </w:tc>
        <w:tc>
          <w:tcPr>
            <w:tcW w:w="25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3"/>
          </w:tcPr>
          <w:p>
            <w:pPr>
              <w:spacing w:after="0" w:line="202" w:lineRule="exact"/>
              <w:rPr>
                <w:sz w:val="20"/>
                <w:szCs w:val="20"/>
                <w:color w:val="auto"/>
              </w:rPr>
            </w:pPr>
            <w:r>
              <w:rPr>
                <w:rFonts w:ascii="Arial" w:cs="Arial" w:eastAsia="Arial" w:hAnsi="Arial"/>
                <w:sz w:val="18"/>
                <w:szCs w:val="18"/>
                <w:color w:val="auto"/>
              </w:rPr>
              <w:t>Total stockholders’ equity</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1,345,691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1,265,822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1,236,084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Goodwill and other intangible assets, net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(381,795)</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(361,120)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(368,053)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bottom w:val="single" w:sz="8" w:color="CCEEFF"/>
            </w:tcBorders>
            <w:gridSpan w:val="3"/>
          </w:tcPr>
          <w:p>
            <w:pPr>
              <w:ind w:left="220"/>
              <w:spacing w:after="0" w:line="202" w:lineRule="exact"/>
              <w:rPr>
                <w:sz w:val="20"/>
                <w:szCs w:val="20"/>
                <w:color w:val="auto"/>
              </w:rPr>
            </w:pPr>
            <w:r>
              <w:rPr>
                <w:rFonts w:ascii="Arial" w:cs="Arial" w:eastAsia="Arial" w:hAnsi="Arial"/>
                <w:sz w:val="18"/>
                <w:szCs w:val="18"/>
                <w:color w:val="auto"/>
              </w:rPr>
              <w:t>Tax effect of other intangible assets, net</w:t>
            </w: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17,997</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13,883</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15,825</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bottom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Tangible common equity</w:t>
            </w: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981,893</w:t>
            </w: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918,585</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883,856</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Ending number of common shares outstanding</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56,330,616</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54,345,379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54,516,000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gridSpan w:val="2"/>
          </w:tcPr>
          <w:p>
            <w:pPr>
              <w:spacing w:after="0"/>
              <w:rPr>
                <w:sz w:val="17"/>
                <w:szCs w:val="17"/>
                <w:color w:val="auto"/>
              </w:rPr>
            </w:pPr>
          </w:p>
        </w:tc>
        <w:tc>
          <w:tcPr>
            <w:tcW w:w="2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Tangible common equity to tangible assets </w:t>
            </w:r>
            <w:r>
              <w:rPr>
                <w:rFonts w:ascii="Arial" w:cs="Arial" w:eastAsia="Arial" w:hAnsi="Arial"/>
                <w:sz w:val="23"/>
                <w:szCs w:val="23"/>
                <w:color w:val="auto"/>
                <w:vertAlign w:val="superscript"/>
              </w:rPr>
              <w:t>(1)</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8.15 %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8.82 %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8.43 %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tcPr>
          <w:p>
            <w:pPr>
              <w:spacing w:after="0" w:line="202" w:lineRule="exact"/>
              <w:rPr>
                <w:sz w:val="20"/>
                <w:szCs w:val="20"/>
                <w:color w:val="auto"/>
              </w:rPr>
            </w:pPr>
            <w:r>
              <w:rPr>
                <w:rFonts w:ascii="Arial" w:cs="Arial" w:eastAsia="Arial" w:hAnsi="Arial"/>
                <w:sz w:val="18"/>
                <w:szCs w:val="18"/>
                <w:color w:val="auto"/>
              </w:rPr>
              <w:t>Tangible book value per share</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17.11</w:t>
            </w:r>
          </w:p>
        </w:tc>
        <w:tc>
          <w:tcPr>
            <w:tcW w:w="20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16.65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15.92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gridSpan w:val="2"/>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3"/>
          </w:tcPr>
          <w:p>
            <w:pPr>
              <w:spacing w:after="0" w:line="202" w:lineRule="exact"/>
              <w:rPr>
                <w:sz w:val="20"/>
                <w:szCs w:val="20"/>
                <w:color w:val="auto"/>
              </w:rPr>
            </w:pPr>
            <w:r>
              <w:rPr>
                <w:rFonts w:ascii="Arial" w:cs="Arial" w:eastAsia="Arial" w:hAnsi="Arial"/>
                <w:sz w:val="18"/>
                <w:szCs w:val="18"/>
                <w:color w:val="auto"/>
              </w:rPr>
              <w:t>Average common equity</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1,342,771</w:t>
            </w:r>
          </w:p>
        </w:tc>
        <w:tc>
          <w:tcPr>
            <w:tcW w:w="20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1,275,694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1,233,270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Average goodwill and other intangible assets, net</w:t>
            </w:r>
          </w:p>
        </w:tc>
        <w:tc>
          <w:tcPr>
            <w:tcW w:w="5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(368,709)</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(362,693)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(369,699)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Average tangible common equity</w:t>
            </w:r>
          </w:p>
        </w:tc>
        <w:tc>
          <w:tcPr>
            <w:tcW w:w="5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974,062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913,001</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863,571</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CCEEFF"/>
            </w:tcBorders>
            <w:shd w:val="clear" w:color="auto" w:fill="CCEEFF"/>
          </w:tcPr>
          <w:p>
            <w:pPr>
              <w:spacing w:after="0"/>
              <w:rPr>
                <w:sz w:val="15"/>
                <w:szCs w:val="15"/>
                <w:color w:val="auto"/>
              </w:rPr>
            </w:pPr>
          </w:p>
        </w:tc>
        <w:tc>
          <w:tcPr>
            <w:tcW w:w="25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3"/>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Return on average tangible common equity</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12.26 %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16.80 %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12.02 %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Return on average tangible common equity</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(2), (3)</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13.14 %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16.91 %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12.20 %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2"/>
          </w:tcPr>
          <w:p>
            <w:pPr>
              <w:spacing w:after="0"/>
              <w:rPr>
                <w:sz w:val="10"/>
                <w:szCs w:val="10"/>
                <w:color w:val="auto"/>
              </w:rPr>
            </w:pPr>
          </w:p>
        </w:tc>
        <w:tc>
          <w:tcPr>
            <w:tcW w:w="2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gridSpan w:val="3"/>
          </w:tcPr>
          <w:p>
            <w:pPr>
              <w:ind w:left="10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4"/>
                <w:szCs w:val="14"/>
                <w:color w:val="auto"/>
              </w:rPr>
              <w:t>Tax-effected measure, 28% estimated deferred tax rate.</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60" w:type="dxa"/>
            <w:vAlign w:val="bottom"/>
            <w:gridSpan w:val="2"/>
          </w:tcPr>
          <w:p>
            <w:pPr>
              <w:ind w:left="120"/>
              <w:spacing w:after="0"/>
              <w:rPr>
                <w:sz w:val="20"/>
                <w:szCs w:val="20"/>
                <w:color w:val="auto"/>
              </w:rPr>
            </w:pPr>
            <w:r>
              <w:rPr>
                <w:rFonts w:ascii="Arial" w:cs="Arial" w:eastAsia="Arial" w:hAnsi="Arial"/>
                <w:sz w:val="13"/>
                <w:szCs w:val="13"/>
                <w:color w:val="auto"/>
              </w:rPr>
              <w:t>(2)</w:t>
            </w:r>
          </w:p>
        </w:tc>
        <w:tc>
          <w:tcPr>
            <w:tcW w:w="4460" w:type="dxa"/>
            <w:vAlign w:val="bottom"/>
            <w:gridSpan w:val="2"/>
          </w:tcPr>
          <w:p>
            <w:pPr>
              <w:ind w:left="80"/>
              <w:spacing w:after="0"/>
              <w:rPr>
                <w:sz w:val="20"/>
                <w:szCs w:val="20"/>
                <w:color w:val="auto"/>
              </w:rPr>
            </w:pPr>
            <w:r>
              <w:rPr>
                <w:rFonts w:ascii="Arial" w:cs="Arial" w:eastAsia="Arial" w:hAnsi="Arial"/>
                <w:sz w:val="14"/>
                <w:szCs w:val="14"/>
                <w:color w:val="auto"/>
              </w:rPr>
              <w:t>Annualized measure.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gridSpan w:val="3"/>
          </w:tcPr>
          <w:p>
            <w:pPr>
              <w:ind w:left="10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4"/>
                <w:szCs w:val="14"/>
                <w:color w:val="auto"/>
              </w:rPr>
              <w:t>Calculated using adjusted net income.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33" w:lineRule="exact"/>
              <w:rPr>
                <w:sz w:val="20"/>
                <w:szCs w:val="20"/>
                <w:color w:val="auto"/>
              </w:rPr>
            </w:pPr>
            <w:r>
              <w:rPr>
                <w:rFonts w:ascii="Arial" w:cs="Arial" w:eastAsia="Arial" w:hAnsi="Arial"/>
                <w:sz w:val="14"/>
                <w:szCs w:val="14"/>
                <w:b w:val="1"/>
                <w:bCs w:val="1"/>
                <w:color w:val="auto"/>
              </w:rPr>
              <w:t>June 30,</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73"/>
              <w:spacing w:after="0" w:line="133" w:lineRule="exact"/>
              <w:rPr>
                <w:sz w:val="20"/>
                <w:szCs w:val="20"/>
                <w:color w:val="auto"/>
              </w:rPr>
            </w:pPr>
            <w:r>
              <w:rPr>
                <w:rFonts w:ascii="Arial" w:cs="Arial" w:eastAsia="Arial" w:hAnsi="Arial"/>
                <w:sz w:val="14"/>
                <w:szCs w:val="14"/>
                <w:b w:val="1"/>
                <w:bCs w:val="1"/>
                <w:color w:val="auto"/>
              </w:rPr>
              <w:t>June 30,</w:t>
            </w:r>
          </w:p>
        </w:tc>
        <w:tc>
          <w:tcPr>
            <w:tcW w:w="20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88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rPr>
              <w:t>Average stockholders’ common equity</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1,309,418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1,225,715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Average goodwill and other intangible assets, net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(365,718)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(370,969)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bottom w:val="single" w:sz="8" w:color="CCEEFF"/>
            </w:tcBorders>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rPr>
              <w:t>Average tangible stockholders’ common equity</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943,700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854,746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Return on average tangible common equity</w:t>
            </w:r>
            <w:r>
              <w:rPr>
                <w:rFonts w:ascii="Arial" w:cs="Arial" w:eastAsia="Arial" w:hAnsi="Arial"/>
                <w:sz w:val="23"/>
                <w:szCs w:val="23"/>
                <w:color w:val="auto"/>
                <w:vertAlign w:val="superscript"/>
              </w:rPr>
              <w:t>(1)</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14.44 %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9.69 %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820" w:type="dxa"/>
            <w:vAlign w:val="bottom"/>
            <w:gridSpan w:val="4"/>
          </w:tcPr>
          <w:p>
            <w:pPr>
              <w:ind w:left="20"/>
              <w:spacing w:after="0"/>
              <w:rPr>
                <w:sz w:val="20"/>
                <w:szCs w:val="20"/>
                <w:color w:val="auto"/>
              </w:rPr>
            </w:pPr>
            <w:r>
              <w:rPr>
                <w:rFonts w:ascii="Arial" w:cs="Arial" w:eastAsia="Arial" w:hAnsi="Arial"/>
                <w:sz w:val="18"/>
                <w:szCs w:val="18"/>
                <w:b w:val="1"/>
                <w:bCs w:val="1"/>
                <w:color w:val="auto"/>
                <w:w w:val="98"/>
              </w:rPr>
              <w:t>Adjusted</w:t>
            </w:r>
            <w:r>
              <w:rPr>
                <w:rFonts w:ascii="Arial" w:cs="Arial" w:eastAsia="Arial" w:hAnsi="Arial"/>
                <w:sz w:val="18"/>
                <w:szCs w:val="18"/>
                <w:color w:val="auto"/>
                <w:w w:val="98"/>
              </w:rPr>
              <w:t>: Return on average tangible common equity</w:t>
            </w:r>
            <w:r>
              <w:rPr>
                <w:rFonts w:ascii="Arial" w:cs="Arial" w:eastAsia="Arial" w:hAnsi="Arial"/>
                <w:sz w:val="26"/>
                <w:szCs w:val="26"/>
                <w:color w:val="auto"/>
                <w:w w:val="98"/>
                <w:vertAlign w:val="superscript"/>
              </w:rPr>
              <w:t>(1), (2)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14.96 %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9.80 %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color w:val="auto"/>
              </w:rPr>
              <w:t>(1)</w:t>
            </w:r>
          </w:p>
        </w:tc>
        <w:tc>
          <w:tcPr>
            <w:tcW w:w="18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Annualized measure.</w:t>
            </w:r>
          </w:p>
        </w:tc>
        <w:tc>
          <w:tcPr>
            <w:tcW w:w="2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60"/>
        <w:spacing w:after="0"/>
        <w:tabs>
          <w:tab w:leader="none" w:pos="46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4"/>
          <w:szCs w:val="14"/>
          <w:color w:val="auto"/>
        </w:rPr>
        <w:t>Calculated using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left="60" w:right="119"/>
        <w:spacing w:after="0" w:line="265" w:lineRule="auto"/>
        <w:rPr>
          <w:sz w:val="20"/>
          <w:szCs w:val="20"/>
          <w:color w:val="auto"/>
        </w:rPr>
      </w:pPr>
      <w:r>
        <w:rPr>
          <w:rFonts w:ascii="Arial" w:cs="Arial" w:eastAsia="Arial" w:hAnsi="Arial"/>
          <w:sz w:val="16"/>
          <w:szCs w:val="16"/>
          <w:color w:val="auto"/>
        </w:rPr>
        <w:t>Statements made in this document,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the Company.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the Company undertakes no obligation to update any statement in light of new information or future events. A number of factors, many of which are beyond the Company’s ability to control or predict, could cause actual results to differ materially from those in the Company’s forward-looking statements. These factors include, among others, the following: (i) the strength of the local, state, national, and international economy (including the impact of the current presidential administration); (ii) the economic impact of any future terrorist threats or attacks, widespread disease or pandemics (including the COVID-19 pandemic), or other adverse external events that could cause economic deterioration or instability in credit markets; (iii) changes in state and federal laws, regulations, and governmental policies concerning the Company’s general business; (iv) changes in accounting policies and practices, including FASB’s CECL impairment standards; (v) changes in interest rates and prepayment rates of the Company’s assets (including the impact of the LIBOR phase-out); (vi) increased competition in the financial services sector and the inability to attract new customers;</w:t>
      </w:r>
    </w:p>
    <w:p>
      <w:pPr>
        <w:spacing w:after="0" w:line="5" w:lineRule="exact"/>
        <w:rPr>
          <w:sz w:val="20"/>
          <w:szCs w:val="20"/>
          <w:color w:val="auto"/>
        </w:rPr>
      </w:pPr>
    </w:p>
    <w:p>
      <w:pPr>
        <w:ind w:left="60" w:right="119" w:hanging="10"/>
        <w:spacing w:after="0" w:line="269" w:lineRule="auto"/>
        <w:tabs>
          <w:tab w:leader="none" w:pos="4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technology and the ability to develop and maintain secure and reliable electronic systems; (viii) the loss of key executives or associates; (ix) changes in consumer spending; (x) unexpected results of current and/or future acquisitions, which may include failure to realize the anticipated benefits of any acquisition and the possibility that transaction costs may be greater than anticipated; (xi) unexpected outcomes of existing or new litigation involving the Company; and (xii) 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the Company and its business, including additional factors that could materially affect its financial results, is included in the Company’s filings with the SEC.</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jc w:val="both"/>
        <w:ind w:left="60" w:right="579"/>
        <w:spacing w:after="0" w:line="248" w:lineRule="auto"/>
        <w:rPr>
          <w:sz w:val="20"/>
          <w:szCs w:val="20"/>
          <w:color w:val="auto"/>
        </w:rPr>
      </w:pPr>
      <w:r>
        <w:rPr>
          <w:rFonts w:ascii="Arial" w:cs="Arial" w:eastAsia="Arial" w:hAnsi="Arial"/>
          <w:sz w:val="18"/>
          <w:szCs w:val="18"/>
          <w:color w:val="auto"/>
        </w:rPr>
        <w:t>First Busey has established various accounting policies that govern the application of GAAP in the preparation of its unaudited Consolidated Financial Statements. Significant accounting policies are described in “</w:t>
      </w:r>
      <w:r>
        <w:rPr>
          <w:rFonts w:ascii="Arial" w:cs="Arial" w:eastAsia="Arial" w:hAnsi="Arial"/>
          <w:sz w:val="18"/>
          <w:szCs w:val="18"/>
          <w:i w:val="1"/>
          <w:iCs w:val="1"/>
          <w:color w:val="auto"/>
        </w:rPr>
        <w:t>Note 1.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of the Company’s 2020 Annual Report.</w:t>
      </w:r>
    </w:p>
    <w:p>
      <w:pPr>
        <w:spacing w:after="0" w:line="168"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 The following policies could be deemed critical:</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Debt Securities Available for Sale</w:t>
      </w:r>
    </w:p>
    <w:p>
      <w:pPr>
        <w:spacing w:after="0" w:line="198"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The fair values of debt securities available for sale are measurements from an independent 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76"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auto"/>
        </w:rPr>
        <w:t>Realized securities gains or losses are reported in the Consolidated Statements of Income. The cost of securities sold is based on the specific identification method.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Debt securities available for sale are not within the scope of CECL; however, the accounting for credit losses on these securities is affected by ASC 326-30. A debt security available for sale is impaired if the fair value of the security declines below its amortized cost basis. To determine the appropriate accounting, the Company must first determine if it intends to sell the security or if it is more likely than not that it will be required to sell the security before the fair value increases to at least the amortized cost basis. If either of those selling events is expected, the Company will write down the amortized cost basis of the security to its fair value. This is achieved by writing off any previously recorded ACL balance related to the debt security, if applicable, and recognizing any incremental impairment through earnings. If the Company does not intend to sell the security, nor believes it more likely than not will be required to sell the security before the fair value recovers to the amortized cost basis, the Company must determine whether any of the decline in fair value has resulted from a credit loss, or if it is entirely the result of noncredit factors.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considers the following factors in assessing whether the decline is due to a credit loss:</w:t>
      </w:r>
    </w:p>
    <w:p>
      <w:pPr>
        <w:spacing w:after="0" w:line="198" w:lineRule="exact"/>
        <w:rPr>
          <w:sz w:val="20"/>
          <w:szCs w:val="20"/>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11" w:lineRule="exact"/>
        <w:rPr>
          <w:rFonts w:ascii="Arial" w:cs="Arial" w:eastAsia="Arial" w:hAnsi="Arial"/>
          <w:sz w:val="18"/>
          <w:szCs w:val="18"/>
          <w:color w:val="auto"/>
        </w:rPr>
      </w:pPr>
    </w:p>
    <w:p>
      <w:pPr>
        <w:jc w:val="both"/>
        <w:ind w:left="720" w:right="139" w:hanging="319"/>
        <w:spacing w:after="0" w:line="234"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2" w:lineRule="exact"/>
        <w:rPr>
          <w:rFonts w:ascii="Arial" w:cs="Arial" w:eastAsia="Arial" w:hAnsi="Arial"/>
          <w:sz w:val="18"/>
          <w:szCs w:val="18"/>
          <w:color w:val="auto"/>
        </w:rPr>
      </w:pPr>
    </w:p>
    <w:p>
      <w:pPr>
        <w:ind w:left="720" w:right="199" w:hanging="319"/>
        <w:spacing w:after="0" w:line="234"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w:t>
      </w: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182"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Impairment related to a credit loss must be measured using the discounted cash flow method. Credit loss recognition is limited to the fair value of the security. The impairment is recognized by establishing an ACL balance for the debt security through the provision for credit losses. Impairment related to noncredit factors is recognized in accumulated other comprehensive income, net of applicable taxes.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Assets Acquired and Liabilities Assumed in Business Combinations</w:t>
      </w:r>
    </w:p>
    <w:p>
      <w:pPr>
        <w:spacing w:after="0" w:line="198"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820 as “the price that would be received to sell an asset or paid to transfer a liability in an orderly transaction between market participants at the measurement date.”</w:t>
      </w:r>
    </w:p>
    <w:p>
      <w:pPr>
        <w:spacing w:after="0" w:line="142" w:lineRule="exact"/>
        <w:rPr>
          <w:sz w:val="20"/>
          <w:szCs w:val="20"/>
          <w:color w:val="auto"/>
        </w:rPr>
      </w:pPr>
    </w:p>
    <w:p>
      <w:pPr>
        <w:ind w:left="60" w:right="199"/>
        <w:spacing w:after="0" w:line="276" w:lineRule="auto"/>
        <w:rPr>
          <w:sz w:val="20"/>
          <w:szCs w:val="20"/>
          <w:color w:val="auto"/>
        </w:rPr>
      </w:pPr>
      <w:r>
        <w:rPr>
          <w:rFonts w:ascii="Arial" w:cs="Arial" w:eastAsia="Arial" w:hAnsi="Arial"/>
          <w:sz w:val="16"/>
          <w:szCs w:val="16"/>
          <w:color w:val="auto"/>
        </w:rPr>
        <w:t>The fair value of a loan portfolio acquired in a business combination generally requires greater levels of management estimates and judgment than other assets acquired or liabilities assumed. Acquired loans are in the scope of ASC 326-30. However, the offset to record the ACL at the date of acquisition on acquired loans depends on whether or not the loan is classified as PCD. The ACL for PCD loans is recorded through a gross-up effect, while the ACL for acquired non-PCD loans is recorded through provision expense, consistent with originated loans. Thus, the determination of which loans are PCD and non-PCD can have a significant effect on the accounting for these loans.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Goodwill represents the excess of purchase price over the fair value of net assets acquired using the acquisition method of accounting. Determining the fair value often involves estimates based on third-party valuations, such as appraisals, or internal valuations based on discounted cash flow analyses or other valuation techniques. Goodwill is not amortized, instead, the Company assess the potential for impairment on an annual basis or more frequently if events and circumstances indicate that goodwill might be impaired. The Company will continue to monitor events around COVID-19 and its potential impact on goodwill.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Company estimates income tax expense based on amounts expected to be owed to federal and state tax jurisdictions. Estimated income tax expense is reported in the unaudited Consolidated Statements of Income. Accrued and deferred taxes, as reported in other assets or other liabilities in the unaudited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98"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 calculates the ACL at each reporting date. The Company recognizes an ACL for the lifetime expected credit losses for the amount the Company does not expect to collect. The measurement of expected credit losses is based on relevant information about past events, including historical experience, current conditions and reasonable and supportable forecasts that affect the collectability of the reported book value. The calculation also contemplates that the Company may not be able to make or obtain such forecasts for the entire life of the financial assets and requires a reversion to historical credit loss information.</w:t>
      </w:r>
    </w:p>
    <w:p>
      <w:pPr>
        <w:spacing w:after="0" w:line="176" w:lineRule="exact"/>
        <w:rPr>
          <w:sz w:val="20"/>
          <w:szCs w:val="20"/>
          <w:color w:val="auto"/>
        </w:rPr>
      </w:pPr>
    </w:p>
    <w:p>
      <w:pPr>
        <w:ind w:left="60" w:right="279"/>
        <w:spacing w:after="0" w:line="243" w:lineRule="auto"/>
        <w:rPr>
          <w:sz w:val="20"/>
          <w:szCs w:val="20"/>
          <w:color w:val="auto"/>
        </w:rPr>
      </w:pPr>
      <w:r>
        <w:rPr>
          <w:rFonts w:ascii="Arial" w:cs="Arial" w:eastAsia="Arial" w:hAnsi="Arial"/>
          <w:sz w:val="18"/>
          <w:szCs w:val="18"/>
          <w:color w:val="auto"/>
        </w:rPr>
        <w:t>In determining the ACL, management relies predominantly on a disciplined credit review and approval process that extends to the full range of the Company’s credit exposure. The ACL must be determined on a collective (pool) basis when similar risk characteristics exists. On a case-by-case basis, the Company may conclude a loan should be evaluated on an individual basis based on the disparate risk characteristics.</w:t>
      </w:r>
    </w:p>
    <w:p>
      <w:pPr>
        <w:spacing w:after="0" w:line="174" w:lineRule="exact"/>
        <w:rPr>
          <w:sz w:val="20"/>
          <w:szCs w:val="20"/>
          <w:color w:val="auto"/>
        </w:rPr>
      </w:pPr>
    </w:p>
    <w:p>
      <w:pPr>
        <w:ind w:left="60" w:right="339"/>
        <w:spacing w:after="0" w:line="284" w:lineRule="auto"/>
        <w:rPr>
          <w:sz w:val="20"/>
          <w:szCs w:val="20"/>
          <w:color w:val="auto"/>
        </w:rPr>
      </w:pPr>
      <w:r>
        <w:rPr>
          <w:rFonts w:ascii="Arial" w:cs="Arial" w:eastAsia="Arial" w:hAnsi="Arial"/>
          <w:sz w:val="16"/>
          <w:szCs w:val="16"/>
          <w:color w:val="auto"/>
        </w:rPr>
        <w:t>Loans deemed uncollectible are charged against and reduce the ACL. A provision for credit losses is charged to current expense and acts to replenish the ACL in order to maintain the ACL at a level that management deems adequate. Determining the ACL involves significant judgments and assumptions by management. Because of the nature of the judgments and assumptions made by management, actual results may differ from these judgments and assumptions.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42" w:lineRule="exact"/>
        <w:rPr>
          <w:sz w:val="20"/>
          <w:szCs w:val="20"/>
          <w:color w:val="auto"/>
        </w:rPr>
      </w:pPr>
    </w:p>
    <w:p>
      <w:pPr>
        <w:ind w:left="60" w:right="139"/>
        <w:spacing w:after="0" w:line="248"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spacing w:after="0" w:line="168"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and +300 basis points. Due to the current low interest rate environment, a downward adjustment in federal fund rates was not meaningful as of June 30, 2021 or December 31, 2020.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199"/>
        <w:spacing w:after="0" w:line="296" w:lineRule="auto"/>
        <w:rPr>
          <w:sz w:val="20"/>
          <w:szCs w:val="20"/>
          <w:color w:val="auto"/>
        </w:rPr>
      </w:pPr>
      <w:r>
        <w:rPr>
          <w:rFonts w:ascii="Arial" w:cs="Arial" w:eastAsia="Arial" w:hAnsi="Arial"/>
          <w:sz w:val="15"/>
          <w:szCs w:val="15"/>
          <w:color w:val="auto"/>
        </w:rPr>
        <w:t>The interest rate risk of First Busey as a result of immediate and sustained changes in interest rates, expressed as a change in net interest income as a percentage of the net interest income calculated in the constant base model, was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5680" w:type="dxa"/>
            <w:vAlign w:val="bottom"/>
          </w:tcPr>
          <w:p>
            <w:pPr>
              <w:spacing w:after="0"/>
              <w:rPr>
                <w:sz w:val="14"/>
                <w:szCs w:val="14"/>
                <w:color w:val="auto"/>
              </w:rPr>
            </w:pPr>
          </w:p>
        </w:tc>
        <w:tc>
          <w:tcPr>
            <w:tcW w:w="3220" w:type="dxa"/>
            <w:vAlign w:val="bottom"/>
            <w:gridSpan w:val="6"/>
          </w:tcPr>
          <w:p>
            <w:pPr>
              <w:jc w:val="center"/>
              <w:ind w:right="190"/>
              <w:spacing w:after="0"/>
              <w:rPr>
                <w:sz w:val="20"/>
                <w:szCs w:val="20"/>
                <w:color w:val="auto"/>
              </w:rPr>
            </w:pPr>
            <w:r>
              <w:rPr>
                <w:rFonts w:ascii="Arial" w:cs="Arial" w:eastAsia="Arial" w:hAnsi="Arial"/>
                <w:sz w:val="14"/>
                <w:szCs w:val="14"/>
                <w:b w:val="1"/>
                <w:bCs w:val="1"/>
                <w:color w:val="auto"/>
                <w:w w:val="90"/>
              </w:rPr>
              <w:t>Year-One: Basis Point Changes</w:t>
            </w:r>
          </w:p>
        </w:tc>
      </w:tr>
      <w:tr>
        <w:trPr>
          <w:trHeight w:val="156"/>
        </w:trPr>
        <w:tc>
          <w:tcPr>
            <w:tcW w:w="568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+100</w:t>
            </w:r>
          </w:p>
        </w:tc>
        <w:tc>
          <w:tcPr>
            <w:tcW w:w="24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+200</w:t>
            </w:r>
          </w:p>
        </w:tc>
        <w:tc>
          <w:tcPr>
            <w:tcW w:w="24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+300</w:t>
            </w:r>
          </w:p>
        </w:tc>
        <w:tc>
          <w:tcPr>
            <w:tcW w:w="260" w:type="dxa"/>
            <w:vAlign w:val="bottom"/>
            <w:tcBorders>
              <w:bottom w:val="single" w:sz="8" w:color="CCEEFF"/>
            </w:tcBorders>
          </w:tcPr>
          <w:p>
            <w:pPr>
              <w:spacing w:after="0"/>
              <w:rPr>
                <w:sz w:val="13"/>
                <w:szCs w:val="13"/>
                <w:color w:val="auto"/>
              </w:rPr>
            </w:pP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June 30, 2021</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7.07</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12.86</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17.90</w:t>
            </w:r>
          </w:p>
        </w:tc>
        <w:tc>
          <w:tcPr>
            <w:tcW w:w="2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4"/>
              </w:rPr>
              <w:t>%</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December 31, 2020</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7.40 %</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14.16 %</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20.20 %</w:t>
            </w:r>
          </w:p>
        </w:tc>
      </w:tr>
      <w:tr>
        <w:trPr>
          <w:trHeight w:val="350"/>
        </w:trPr>
        <w:tc>
          <w:tcPr>
            <w:tcW w:w="5680" w:type="dxa"/>
            <w:vAlign w:val="bottom"/>
          </w:tcPr>
          <w:p>
            <w:pPr>
              <w:spacing w:after="0"/>
              <w:rPr>
                <w:sz w:val="24"/>
                <w:szCs w:val="24"/>
                <w:color w:val="auto"/>
              </w:rPr>
            </w:pPr>
          </w:p>
        </w:tc>
        <w:tc>
          <w:tcPr>
            <w:tcW w:w="3220" w:type="dxa"/>
            <w:vAlign w:val="bottom"/>
            <w:gridSpan w:val="6"/>
          </w:tcPr>
          <w:p>
            <w:pPr>
              <w:jc w:val="center"/>
              <w:ind w:right="190"/>
              <w:spacing w:after="0"/>
              <w:rPr>
                <w:sz w:val="20"/>
                <w:szCs w:val="20"/>
                <w:color w:val="auto"/>
              </w:rPr>
            </w:pPr>
            <w:r>
              <w:rPr>
                <w:rFonts w:ascii="Arial" w:cs="Arial" w:eastAsia="Arial" w:hAnsi="Arial"/>
                <w:sz w:val="14"/>
                <w:szCs w:val="14"/>
                <w:b w:val="1"/>
                <w:bCs w:val="1"/>
                <w:color w:val="auto"/>
                <w:w w:val="91"/>
              </w:rPr>
              <w:t>Year-Two: Basis Point Changes</w:t>
            </w:r>
          </w:p>
        </w:tc>
      </w:tr>
      <w:tr>
        <w:trPr>
          <w:trHeight w:val="155"/>
        </w:trPr>
        <w:tc>
          <w:tcPr>
            <w:tcW w:w="568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+100</w:t>
            </w:r>
          </w:p>
        </w:tc>
        <w:tc>
          <w:tcPr>
            <w:tcW w:w="24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+200</w:t>
            </w:r>
          </w:p>
        </w:tc>
        <w:tc>
          <w:tcPr>
            <w:tcW w:w="24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+300</w:t>
            </w:r>
          </w:p>
        </w:tc>
        <w:tc>
          <w:tcPr>
            <w:tcW w:w="260" w:type="dxa"/>
            <w:vAlign w:val="bottom"/>
            <w:tcBorders>
              <w:bottom w:val="single" w:sz="8" w:color="CCEEFF"/>
            </w:tcBorders>
          </w:tcPr>
          <w:p>
            <w:pPr>
              <w:spacing w:after="0"/>
              <w:rPr>
                <w:sz w:val="13"/>
                <w:szCs w:val="13"/>
                <w:color w:val="auto"/>
              </w:rPr>
            </w:pP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June 30, 2021</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8.81</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15.72</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21.63</w:t>
            </w:r>
          </w:p>
        </w:tc>
        <w:tc>
          <w:tcPr>
            <w:tcW w:w="2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4"/>
              </w:rPr>
              <w:t>%</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December 31, 2020</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9.59 %</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17.95 %</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25.40 %</w:t>
            </w:r>
          </w:p>
        </w:tc>
      </w:tr>
    </w:tbl>
    <w:p>
      <w:pPr>
        <w:spacing w:after="0" w:line="160" w:lineRule="exact"/>
        <w:rPr>
          <w:sz w:val="20"/>
          <w:szCs w:val="20"/>
          <w:color w:val="auto"/>
        </w:rPr>
      </w:pPr>
    </w:p>
    <w:p>
      <w:pPr>
        <w:ind w:left="60" w:right="239"/>
        <w:spacing w:after="0" w:line="262" w:lineRule="auto"/>
        <w:rPr>
          <w:sz w:val="20"/>
          <w:szCs w:val="20"/>
          <w:color w:val="auto"/>
        </w:rPr>
      </w:pPr>
      <w:r>
        <w:rPr>
          <w:rFonts w:ascii="Arial" w:cs="Arial" w:eastAsia="Arial" w:hAnsi="Arial"/>
          <w:sz w:val="17"/>
          <w:szCs w:val="17"/>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5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left="60" w:right="99"/>
        <w:spacing w:after="0" w:line="268" w:lineRule="auto"/>
        <w:rPr>
          <w:sz w:val="20"/>
          <w:szCs w:val="20"/>
          <w:color w:val="auto"/>
        </w:rPr>
      </w:pPr>
      <w:r>
        <w:rPr>
          <w:rFonts w:ascii="Arial" w:cs="Arial" w:eastAsia="Arial" w:hAnsi="Arial"/>
          <w:sz w:val="16"/>
          <w:szCs w:val="16"/>
          <w:color w:val="auto"/>
        </w:rPr>
        <w:t>An evaluation of our disclosure controls and procedures, as defined in Rule 13a-15(e) under the Exchange Act, was carried out as of June 30, 2021, under the supervision and with the participation of our Chief Executive Officer, Chief Financial Officer, and several other members of our senior management. Based on this evaluation, our Chief Executive Officer and Chief Financial Officer concluded that, as of June 30, 2021, our disclosure controls and procedures were effective in ensuring that the information we are required to disclose in the reports we file or submit under the Exchange Act was</w:t>
      </w:r>
    </w:p>
    <w:p>
      <w:pPr>
        <w:spacing w:after="0" w:line="1" w:lineRule="exact"/>
        <w:rPr>
          <w:sz w:val="20"/>
          <w:szCs w:val="20"/>
          <w:color w:val="auto"/>
        </w:rPr>
      </w:pPr>
    </w:p>
    <w:p>
      <w:pPr>
        <w:ind w:left="60" w:right="99" w:hanging="10"/>
        <w:spacing w:after="0" w:line="239" w:lineRule="auto"/>
        <w:tabs>
          <w:tab w:leader="none" w:pos="2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left="60" w:right="659"/>
        <w:spacing w:after="0" w:line="324" w:lineRule="auto"/>
        <w:rPr>
          <w:sz w:val="20"/>
          <w:szCs w:val="20"/>
          <w:color w:val="auto"/>
        </w:rPr>
      </w:pPr>
      <w:r>
        <w:rPr>
          <w:rFonts w:ascii="Arial" w:cs="Arial" w:eastAsia="Arial" w:hAnsi="Arial"/>
          <w:sz w:val="16"/>
          <w:szCs w:val="16"/>
          <w:color w:val="auto"/>
        </w:rPr>
        <w:t>During the quarter ended June 30, 2021, no change occurred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As part of the ordinary course of business, First Busey and its subsidiaries are parties to litigation that is incidental to their regular business activities.</w:t>
      </w:r>
    </w:p>
    <w:p>
      <w:pPr>
        <w:spacing w:after="0" w:line="157"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color w:val="auto"/>
        </w:rPr>
        <w:t>There have been no material changes to the risk factors disclosed in Item 1A of Part 1 of the Company’s 2020 Annual Report.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On May 22, 2019, First Busey’s board of directors approved an amendment to increase the authorized shares under the repurchase program by 1,000,000 shares, and on February 5, 2020, First Busey’s board of directors approved another amendment to increase the authorized shares under the repurchase program by an additional 2,000,000 shares. During the second quarter of 2021, the company purchased 221,000 shares under the plan. As of June 30, 2021, the Company had 1,578,824 shares that may still be purchased under the plan.</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r>
      <w:tr>
        <w:trPr>
          <w:trHeight w:val="162"/>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 as Part of</w:t>
            </w:r>
          </w:p>
        </w:tc>
        <w:tc>
          <w:tcPr>
            <w:tcW w:w="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Shares That May Yet</w:t>
            </w:r>
          </w:p>
        </w:tc>
      </w:tr>
      <w:tr>
        <w:trPr>
          <w:trHeight w:val="162"/>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Average Price Paid per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Publicly Announced</w:t>
            </w:r>
          </w:p>
        </w:tc>
        <w:tc>
          <w:tcPr>
            <w:tcW w:w="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Be Purchased Under</w:t>
            </w:r>
          </w:p>
        </w:tc>
      </w:tr>
      <w:tr>
        <w:trPr>
          <w:trHeight w:val="185"/>
        </w:trPr>
        <w:tc>
          <w:tcPr>
            <w:tcW w:w="27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Shares Purchased</w:t>
            </w: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 Share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1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the Plans or Programs</w:t>
            </w:r>
          </w:p>
        </w:tc>
      </w:tr>
      <w:tr>
        <w:trPr>
          <w:trHeight w:val="196"/>
        </w:trPr>
        <w:tc>
          <w:tcPr>
            <w:tcW w:w="2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April 1-30, 2021</w:t>
            </w:r>
          </w:p>
        </w:tc>
        <w:tc>
          <w:tcPr>
            <w:tcW w:w="1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65,000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25.64</w:t>
            </w:r>
          </w:p>
        </w:tc>
        <w:tc>
          <w:tcPr>
            <w:tcW w:w="1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65,000</w:t>
            </w:r>
          </w:p>
        </w:tc>
        <w:tc>
          <w:tcPr>
            <w:tcW w:w="1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1,734,824</w:t>
            </w:r>
          </w:p>
        </w:tc>
      </w:tr>
      <w:tr>
        <w:trPr>
          <w:trHeight w:val="203"/>
        </w:trPr>
        <w:tc>
          <w:tcPr>
            <w:tcW w:w="27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May 1-31, 2021</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39,000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25.64</w:t>
            </w: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39,000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1,695,824</w:t>
            </w:r>
          </w:p>
        </w:tc>
      </w:tr>
      <w:tr>
        <w:trPr>
          <w:trHeight w:val="203"/>
        </w:trPr>
        <w:tc>
          <w:tcPr>
            <w:tcW w:w="27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June 1-30, 2021</w:t>
            </w: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26.26</w:t>
            </w:r>
          </w:p>
        </w:tc>
        <w:tc>
          <w:tcPr>
            <w:tcW w:w="14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117,000</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1,578,824</w:t>
            </w:r>
          </w:p>
        </w:tc>
      </w:tr>
      <w:tr>
        <w:trPr>
          <w:trHeight w:val="196"/>
        </w:trPr>
        <w:tc>
          <w:tcPr>
            <w:tcW w:w="27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221,000</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25.97</w:t>
            </w:r>
          </w:p>
        </w:tc>
        <w:tc>
          <w:tcPr>
            <w:tcW w:w="14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221,000</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100" w:type="dxa"/>
            <w:vAlign w:val="bottom"/>
            <w:gridSpan w:val="8"/>
          </w:tcPr>
          <w:p>
            <w:pPr>
              <w:ind w:left="1860"/>
              <w:spacing w:after="0"/>
              <w:rPr>
                <w:sz w:val="20"/>
                <w:szCs w:val="20"/>
                <w:color w:val="auto"/>
              </w:rPr>
            </w:pPr>
            <w:r>
              <w:rPr>
                <w:rFonts w:ascii="Arial" w:cs="Arial" w:eastAsia="Arial" w:hAnsi="Arial"/>
                <w:sz w:val="18"/>
                <w:szCs w:val="18"/>
                <w:b w:val="1"/>
                <w:bCs w:val="1"/>
                <w:color w:val="auto"/>
              </w:rPr>
              <w:t>ITEM 6. EXHIBITS</w:t>
            </w:r>
          </w:p>
        </w:tc>
      </w:tr>
      <w:tr>
        <w:trPr>
          <w:trHeight w:val="342"/>
        </w:trPr>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980" w:type="dxa"/>
            <w:vAlign w:val="bottom"/>
          </w:tcPr>
          <w:p>
            <w:pPr>
              <w:spacing w:after="0"/>
              <w:rPr>
                <w:sz w:val="16"/>
                <w:szCs w:val="16"/>
                <w:color w:val="auto"/>
              </w:rPr>
            </w:pPr>
          </w:p>
        </w:tc>
        <w:tc>
          <w:tcPr>
            <w:tcW w:w="7100" w:type="dxa"/>
            <w:vAlign w:val="bottom"/>
            <w:gridSpan w:val="8"/>
          </w:tcPr>
          <w:p>
            <w:pPr>
              <w:ind w:left="2380"/>
              <w:spacing w:after="0"/>
              <w:rPr>
                <w:sz w:val="20"/>
                <w:szCs w:val="20"/>
                <w:color w:val="auto"/>
              </w:rPr>
            </w:pPr>
            <w:r>
              <w:rPr>
                <w:rFonts w:ascii="Arial" w:cs="Arial" w:eastAsia="Arial" w:hAnsi="Arial"/>
                <w:sz w:val="14"/>
                <w:szCs w:val="14"/>
                <w:b w:val="1"/>
                <w:bCs w:val="1"/>
                <w:color w:val="auto"/>
              </w:rPr>
              <w:t>Description of Exhibit</w:t>
            </w:r>
          </w:p>
        </w:tc>
      </w:tr>
      <w:tr>
        <w:trPr>
          <w:trHeight w:val="169"/>
        </w:trPr>
        <w:tc>
          <w:tcPr>
            <w:tcW w:w="7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10.34</w:t>
            </w:r>
          </w:p>
        </w:tc>
        <w:tc>
          <w:tcPr>
            <w:tcW w:w="100" w:type="dxa"/>
            <w:vAlign w:val="bottom"/>
          </w:tcPr>
          <w:p>
            <w:pPr>
              <w:spacing w:after="0"/>
              <w:rPr>
                <w:sz w:val="14"/>
                <w:szCs w:val="14"/>
                <w:color w:val="auto"/>
              </w:rPr>
            </w:pPr>
          </w:p>
        </w:tc>
        <w:tc>
          <w:tcPr>
            <w:tcW w:w="8080" w:type="dxa"/>
            <w:vAlign w:val="bottom"/>
            <w:tcBorders>
              <w:top w:val="single" w:sz="8" w:color="auto"/>
            </w:tcBorders>
            <w:gridSpan w:val="9"/>
          </w:tcPr>
          <w:p>
            <w:pPr>
              <w:spacing w:after="0" w:line="169" w:lineRule="exact"/>
              <w:rPr>
                <w:rFonts w:ascii="Arial" w:cs="Arial" w:eastAsia="Arial" w:hAnsi="Arial"/>
                <w:sz w:val="18"/>
                <w:szCs w:val="18"/>
                <w:color w:val="0000EE"/>
                <w:w w:val="95"/>
              </w:rPr>
            </w:pPr>
            <w:hyperlink r:id="rId78">
              <w:r>
                <w:rPr>
                  <w:rFonts w:ascii="Arial" w:cs="Arial" w:eastAsia="Arial" w:hAnsi="Arial"/>
                  <w:sz w:val="18"/>
                  <w:szCs w:val="18"/>
                  <w:color w:val="0000EE"/>
                  <w:w w:val="95"/>
                </w:rPr>
                <w:t>Second Amended and Restated Credit Agreement, dated as of May 28, 2021, by and between First Busey</w:t>
              </w:r>
            </w:hyperlink>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tcBorders>
              <w:top w:val="single" w:sz="8" w:color="0000EE"/>
            </w:tcBorders>
            <w:gridSpan w:val="6"/>
          </w:tcPr>
          <w:p>
            <w:pPr>
              <w:spacing w:after="0" w:line="182"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Corporation and U.S. Bank National Association (filed as Exhibit 10.34 to the Company’s Form 8-K filed</w:t>
              </w:r>
            </w:hyperlink>
          </w:p>
        </w:tc>
        <w:tc>
          <w:tcPr>
            <w:tcW w:w="480" w:type="dxa"/>
            <w:vAlign w:val="bottom"/>
            <w:gridSpan w:val="3"/>
          </w:tcPr>
          <w:p>
            <w:pPr>
              <w:ind w:left="80"/>
              <w:spacing w:after="0" w:line="182" w:lineRule="exact"/>
              <w:rPr>
                <w:rFonts w:ascii="Arial" w:cs="Arial" w:eastAsia="Arial" w:hAnsi="Arial"/>
                <w:sz w:val="18"/>
                <w:szCs w:val="18"/>
                <w:color w:val="0000EE"/>
              </w:rPr>
            </w:pPr>
            <w:hyperlink r:id="rId78">
              <w:r>
                <w:rPr>
                  <w:rFonts w:ascii="Arial" w:cs="Arial" w:eastAsia="Arial" w:hAnsi="Arial"/>
                  <w:sz w:val="18"/>
                  <w:szCs w:val="18"/>
                  <w:color w:val="0000EE"/>
                </w:rPr>
                <w:t>on</w:t>
              </w:r>
            </w:hyperlink>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7"/>
              </w:rPr>
            </w:pPr>
            <w:hyperlink r:id="rId78">
              <w:r>
                <w:rPr>
                  <w:rFonts w:ascii="Arial" w:cs="Arial" w:eastAsia="Arial" w:hAnsi="Arial"/>
                  <w:sz w:val="18"/>
                  <w:szCs w:val="18"/>
                  <w:color w:val="0000EE"/>
                  <w:w w:val="87"/>
                </w:rPr>
                <w:t>June 2, 2021)</w:t>
              </w:r>
            </w:hyperlink>
          </w:p>
        </w:tc>
        <w:tc>
          <w:tcPr>
            <w:tcW w:w="6880" w:type="dxa"/>
            <w:vAlign w:val="bottom"/>
            <w:tcBorders>
              <w:top w:val="single" w:sz="8" w:color="0000EE"/>
            </w:tcBorders>
            <w:gridSpan w:val="6"/>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8080" w:type="dxa"/>
            <w:vAlign w:val="bottom"/>
            <w:gridSpan w:val="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Certification of Principal Executive Officer, pursuant to Rule 13a-14(a) and Rule 15d-14(a)</w:t>
              </w:r>
            </w:hyperlink>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65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Certification of Principal Financial Officer, pursuant to Rule 13a-14(a) and Rule 15d-14(a)</w:t>
              </w:r>
            </w:hyperlink>
          </w:p>
        </w:tc>
        <w:tc>
          <w:tcPr>
            <w:tcW w:w="40" w:type="dxa"/>
            <w:vAlign w:val="bottom"/>
            <w:tcBorders>
              <w:top w:val="single" w:sz="8" w:color="0000EE"/>
            </w:tcBorders>
          </w:tcPr>
          <w:p>
            <w:pPr>
              <w:spacing w:after="0"/>
              <w:rPr>
                <w:sz w:val="24"/>
                <w:szCs w:val="24"/>
                <w:color w:val="auto"/>
              </w:rPr>
            </w:pPr>
          </w:p>
        </w:tc>
        <w:tc>
          <w:tcPr>
            <w:tcW w:w="1500" w:type="dxa"/>
            <w:vAlign w:val="bottom"/>
            <w:gridSpan w:val="4"/>
          </w:tcPr>
          <w:p>
            <w:pPr>
              <w:spacing w:after="0"/>
              <w:rPr>
                <w:sz w:val="24"/>
                <w:szCs w:val="24"/>
                <w:color w:val="auto"/>
              </w:rPr>
            </w:pPr>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8080" w:type="dxa"/>
            <w:vAlign w:val="bottom"/>
            <w:gridSpan w:val="9"/>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Certification pursuant to 18 U.S.C. Section 1350, as adopted pursuant to Section 906 of the Sarbanes-Oxley Act</w:t>
              </w:r>
            </w:hyperlink>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of 2002, from First Busey’s Chief Executive Officer</w:t>
              </w:r>
            </w:hyperlink>
          </w:p>
        </w:tc>
        <w:tc>
          <w:tcPr>
            <w:tcW w:w="430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8080" w:type="dxa"/>
            <w:vAlign w:val="bottom"/>
            <w:gridSpan w:val="9"/>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Certification pursuant to 18 U.S.C. Section 1350, as adopted pursuant to Section 906 of the Sarbanes-Oxley Act</w:t>
              </w:r>
            </w:hyperlink>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of 2002, from First Busey’s Chief Financial Officer</w:t>
              </w:r>
            </w:hyperlink>
          </w:p>
        </w:tc>
        <w:tc>
          <w:tcPr>
            <w:tcW w:w="20" w:type="dxa"/>
            <w:vAlign w:val="bottom"/>
          </w:tcPr>
          <w:p>
            <w:pPr>
              <w:spacing w:after="0"/>
              <w:rPr>
                <w:sz w:val="15"/>
                <w:szCs w:val="15"/>
                <w:color w:val="auto"/>
              </w:rPr>
            </w:pPr>
          </w:p>
        </w:tc>
      </w:tr>
      <w:tr>
        <w:trPr>
          <w:trHeight w:val="426"/>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37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iXBRL Instance Document</w:t>
            </w:r>
          </w:p>
        </w:tc>
        <w:tc>
          <w:tcPr>
            <w:tcW w:w="4380" w:type="dxa"/>
            <w:vAlign w:val="bottom"/>
            <w:gridSpan w:val="7"/>
          </w:tcPr>
          <w:p>
            <w:pPr>
              <w:spacing w:after="0"/>
              <w:rPr>
                <w:sz w:val="24"/>
                <w:szCs w:val="24"/>
                <w:color w:val="auto"/>
              </w:rPr>
            </w:pPr>
          </w:p>
        </w:tc>
      </w:tr>
      <w:tr>
        <w:trPr>
          <w:trHeight w:val="40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8080" w:type="dxa"/>
            <w:vAlign w:val="bottom"/>
            <w:gridSpan w:val="9"/>
          </w:tcPr>
          <w:p>
            <w:pPr>
              <w:spacing w:after="0"/>
              <w:rPr>
                <w:sz w:val="20"/>
                <w:szCs w:val="20"/>
                <w:color w:val="auto"/>
              </w:rPr>
            </w:pPr>
            <w:r>
              <w:rPr>
                <w:rFonts w:ascii="Arial" w:cs="Arial" w:eastAsia="Arial" w:hAnsi="Arial"/>
                <w:sz w:val="18"/>
                <w:szCs w:val="18"/>
                <w:color w:val="auto"/>
              </w:rPr>
              <w:t>iXBRL Taxonomy Extension Schema</w:t>
            </w:r>
          </w:p>
        </w:tc>
      </w:tr>
      <w:tr>
        <w:trPr>
          <w:trHeight w:val="40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8080" w:type="dxa"/>
            <w:vAlign w:val="bottom"/>
            <w:gridSpan w:val="9"/>
          </w:tcPr>
          <w:p>
            <w:pPr>
              <w:spacing w:after="0"/>
              <w:rPr>
                <w:sz w:val="20"/>
                <w:szCs w:val="20"/>
                <w:color w:val="auto"/>
              </w:rPr>
            </w:pPr>
            <w:r>
              <w:rPr>
                <w:rFonts w:ascii="Arial" w:cs="Arial" w:eastAsia="Arial" w:hAnsi="Arial"/>
                <w:sz w:val="18"/>
                <w:szCs w:val="18"/>
                <w:color w:val="auto"/>
              </w:rPr>
              <w:t>iXBRL Taxonomy Extension Calculation Linkbase</w:t>
            </w:r>
          </w:p>
        </w:tc>
      </w:tr>
      <w:tr>
        <w:trPr>
          <w:trHeight w:val="40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8080" w:type="dxa"/>
            <w:vAlign w:val="bottom"/>
            <w:gridSpan w:val="9"/>
          </w:tcPr>
          <w:p>
            <w:pPr>
              <w:spacing w:after="0"/>
              <w:rPr>
                <w:sz w:val="20"/>
                <w:szCs w:val="20"/>
                <w:color w:val="auto"/>
              </w:rPr>
            </w:pPr>
            <w:r>
              <w:rPr>
                <w:rFonts w:ascii="Arial" w:cs="Arial" w:eastAsia="Arial" w:hAnsi="Arial"/>
                <w:sz w:val="18"/>
                <w:szCs w:val="18"/>
                <w:color w:val="auto"/>
              </w:rPr>
              <w:t>iXBRL Taxonomy Extension Label Linkbase</w:t>
            </w:r>
          </w:p>
        </w:tc>
      </w:tr>
      <w:tr>
        <w:trPr>
          <w:trHeight w:val="40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8080" w:type="dxa"/>
            <w:vAlign w:val="bottom"/>
            <w:gridSpan w:val="9"/>
          </w:tcPr>
          <w:p>
            <w:pPr>
              <w:spacing w:after="0"/>
              <w:rPr>
                <w:sz w:val="20"/>
                <w:szCs w:val="20"/>
                <w:color w:val="auto"/>
              </w:rPr>
            </w:pPr>
            <w:r>
              <w:rPr>
                <w:rFonts w:ascii="Arial" w:cs="Arial" w:eastAsia="Arial" w:hAnsi="Arial"/>
                <w:sz w:val="18"/>
                <w:szCs w:val="18"/>
                <w:color w:val="auto"/>
              </w:rPr>
              <w:t>iXBRL Taxonomy Extension Presentation Linkbase</w:t>
            </w:r>
          </w:p>
        </w:tc>
      </w:tr>
      <w:tr>
        <w:trPr>
          <w:trHeight w:val="40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8080" w:type="dxa"/>
            <w:vAlign w:val="bottom"/>
            <w:gridSpan w:val="9"/>
          </w:tcPr>
          <w:p>
            <w:pPr>
              <w:spacing w:after="0"/>
              <w:rPr>
                <w:sz w:val="20"/>
                <w:szCs w:val="20"/>
                <w:color w:val="auto"/>
              </w:rPr>
            </w:pPr>
            <w:r>
              <w:rPr>
                <w:rFonts w:ascii="Arial" w:cs="Arial" w:eastAsia="Arial" w:hAnsi="Arial"/>
                <w:sz w:val="18"/>
                <w:szCs w:val="18"/>
                <w:color w:val="auto"/>
              </w:rPr>
              <w:t>iXBRL Taxonomy Extension Definition Linkbase</w:t>
            </w:r>
          </w:p>
        </w:tc>
      </w:tr>
    </w:tbl>
    <w:p>
      <w:pPr>
        <w:spacing w:after="0" w:line="175" w:lineRule="exact"/>
        <w:rPr>
          <w:sz w:val="20"/>
          <w:szCs w:val="20"/>
          <w:color w:val="auto"/>
        </w:rPr>
      </w:pPr>
    </w:p>
    <w:p>
      <w:pPr>
        <w:ind w:left="860" w:right="279" w:hanging="810"/>
        <w:spacing w:after="0" w:line="261"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14141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1" w:lineRule="exact"/>
        <w:rPr>
          <w:sz w:val="20"/>
          <w:szCs w:val="20"/>
          <w:color w:val="auto"/>
        </w:rPr>
      </w:pPr>
    </w:p>
    <w:p>
      <w:pPr>
        <w:ind w:left="380" w:hanging="330"/>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57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p>
    <w:p>
      <w:pPr>
        <w:spacing w:after="0" w:line="1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6350</wp:posOffset>
            </wp:positionV>
            <wp:extent cx="25971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Van A. Dukeman</w:t>
      </w:r>
    </w:p>
    <w:p>
      <w:pPr>
        <w:ind w:left="4860"/>
        <w:spacing w:after="0"/>
        <w:rPr>
          <w:sz w:val="20"/>
          <w:szCs w:val="20"/>
          <w:color w:val="auto"/>
        </w:rPr>
      </w:pPr>
      <w:r>
        <w:rPr>
          <w:rFonts w:ascii="Arial" w:cs="Arial" w:eastAsia="Arial" w:hAnsi="Arial"/>
          <w:sz w:val="16"/>
          <w:szCs w:val="16"/>
          <w:color w:val="auto"/>
        </w:rPr>
        <w:t>Chairman, President and Chief Executive Officer</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6350</wp:posOffset>
            </wp:positionV>
            <wp:extent cx="25971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Jeffrey D. Jones</w:t>
      </w:r>
    </w:p>
    <w:p>
      <w:pPr>
        <w:ind w:left="48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Financial Officer)</w:t>
      </w:r>
    </w:p>
    <w:p>
      <w:pPr>
        <w:spacing w:after="0" w:line="18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LYNETTE M. STRODE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6350</wp:posOffset>
            </wp:positionV>
            <wp:extent cx="25971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Lynette M. Strode</w:t>
      </w:r>
    </w:p>
    <w:p>
      <w:pPr>
        <w:ind w:left="4860"/>
        <w:spacing w:after="0"/>
        <w:rPr>
          <w:sz w:val="20"/>
          <w:szCs w:val="20"/>
          <w:color w:val="auto"/>
        </w:rPr>
      </w:pPr>
      <w:r>
        <w:rPr>
          <w:rFonts w:ascii="Arial" w:cs="Arial" w:eastAsia="Arial" w:hAnsi="Arial"/>
          <w:sz w:val="18"/>
          <w:szCs w:val="18"/>
          <w:color w:val="auto"/>
        </w:rPr>
        <w:t>Principal Accounting Officer</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Chairman,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right="22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16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311"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Arial" w:cs="Arial" w:eastAsia="Arial" w:hAnsi="Arial"/>
          <w:sz w:val="16"/>
          <w:szCs w:val="16"/>
          <w:color w:val="auto"/>
        </w:rPr>
      </w:pPr>
    </w:p>
    <w:p>
      <w:pPr>
        <w:ind w:left="660" w:right="240" w:hanging="328"/>
        <w:spacing w:after="0" w:line="286"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400" w:hanging="328"/>
        <w:spacing w:after="0" w:line="263"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3" w:lineRule="exact"/>
        <w:rPr>
          <w:rFonts w:ascii="Arial" w:cs="Arial" w:eastAsia="Arial" w:hAnsi="Arial"/>
          <w:sz w:val="18"/>
          <w:szCs w:val="18"/>
          <w:color w:val="auto"/>
        </w:rPr>
      </w:pPr>
    </w:p>
    <w:p>
      <w:pPr>
        <w:ind w:left="660" w:right="20" w:hanging="328"/>
        <w:spacing w:after="0" w:line="311"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right="22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16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311"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Arial" w:cs="Arial" w:eastAsia="Arial" w:hAnsi="Arial"/>
          <w:sz w:val="16"/>
          <w:szCs w:val="16"/>
          <w:color w:val="auto"/>
        </w:rPr>
      </w:pPr>
    </w:p>
    <w:p>
      <w:pPr>
        <w:ind w:left="660" w:right="240" w:hanging="328"/>
        <w:spacing w:after="0" w:line="286"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400" w:hanging="328"/>
        <w:spacing w:after="0" w:line="263"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3" w:lineRule="exact"/>
        <w:rPr>
          <w:rFonts w:ascii="Arial" w:cs="Arial" w:eastAsia="Arial" w:hAnsi="Arial"/>
          <w:sz w:val="18"/>
          <w:szCs w:val="18"/>
          <w:color w:val="auto"/>
        </w:rPr>
      </w:pPr>
    </w:p>
    <w:p>
      <w:pPr>
        <w:ind w:left="660" w:right="20" w:hanging="328"/>
        <w:spacing w:after="0" w:line="311"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6" w:name="page77"/>
    <w:bookmarkEnd w:id="76"/>
    <w:p>
      <w:pPr>
        <w:ind w:left="88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June 30, 2021,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7" w:name="page78"/>
    <w:bookmarkEnd w:id="77"/>
    <w:p>
      <w:pPr>
        <w:ind w:left="88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June 30, 2021,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upperLetter"/>
      <w:start w:val="68"/>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lowerRoman"/>
      <w:start w:val="7"/>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Roman"/>
      <w:start w:val="1"/>
    </w:lvl>
  </w:abstractNum>
  <w:abstractNum w:abstractNumId="27">
    <w:nsid w:val="3A95F874"/>
    <w:multiLevelType w:val="hybridMultilevel"/>
    <w:lvl w:ilvl="0">
      <w:lvlJc w:val="left"/>
      <w:lvlText w:val="%1"/>
      <w:numFmt w:val="decimal"/>
      <w:start w:val="104"/>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78" Type="http://schemas.openxmlformats.org/officeDocument/2006/relationships/hyperlink" Target="https://www.sec.gov/Archives/edgar/data/314489/000155837021007947/buse-20210528xex10d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2021-08-05T17:11:37Z</dcterms:created>
  <dcterms:modified xsi:type="dcterms:W3CDTF">2021-08-05T17:11:37Z</dcterms:modified>
</cp:coreProperties>
</file>