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First Busey Corporation</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Cummins-American Corp.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Number: 000-15950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January 19, 2021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January 19, 2021</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TO: GSB RETAIL &amp; Trust Customers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From: Paul A. Jones, Chairman of Glenview State Bank</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GSB Customer,</w:t>
      </w:r>
    </w:p>
    <w:p>
      <w:pPr>
        <w:spacing w:after="0" w:line="225" w:lineRule="exact"/>
        <w:rPr>
          <w:sz w:val="24"/>
          <w:szCs w:val="24"/>
          <w:color w:val="auto"/>
        </w:rPr>
      </w:pPr>
    </w:p>
    <w:p>
      <w:pPr>
        <w:ind w:right="60"/>
        <w:spacing w:after="0" w:line="257" w:lineRule="auto"/>
        <w:rPr>
          <w:sz w:val="20"/>
          <w:szCs w:val="20"/>
          <w:color w:val="auto"/>
        </w:rPr>
      </w:pPr>
      <w:r>
        <w:rPr>
          <w:rFonts w:ascii="Arial" w:cs="Arial" w:eastAsia="Arial" w:hAnsi="Arial"/>
          <w:sz w:val="18"/>
          <w:szCs w:val="18"/>
          <w:color w:val="auto"/>
        </w:rPr>
        <w:t>We wanted to share some very important news with our customers who have been such valued and supportive members of our bank family. We are pleased to announce that our holding company has entered into a merger agreement with First Busey Corporation, the holding company of Busey Bank, which will bring together two of the most dynamic and well-respected community banks headquartered and chartered in Illinois. Both banks have a history of over 100 years of continuous and successful operation as community banks. We believe this combination will enhance our product offerings and service to our valued customers and to our community.</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There will be a lot of information to share over the coming months, but at this time, we wanted to highlight the following:</w:t>
      </w:r>
    </w:p>
    <w:p>
      <w:pPr>
        <w:spacing w:after="0" w:line="225" w:lineRule="exact"/>
        <w:rPr>
          <w:sz w:val="24"/>
          <w:szCs w:val="24"/>
          <w:color w:val="auto"/>
        </w:rPr>
      </w:pPr>
    </w:p>
    <w:p>
      <w:pPr>
        <w:ind w:left="660" w:right="44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transaction is expected to be completed in the second quarter of 2021, subject to the satisfaction of certain customary closing conditions, including regulatory approvals.</w:t>
      </w:r>
    </w:p>
    <w:p>
      <w:pPr>
        <w:spacing w:after="0" w:line="1"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While the name of the bank may change, the customer service that makes Glenview State Bank the place you trust and treasure will not. In addition, you will receive access to new resources that we have always wanted to provide our customers.</w:t>
      </w:r>
    </w:p>
    <w:p>
      <w:pPr>
        <w:ind w:left="660" w:right="48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Busey Bank has acquired and integrated banks in many similar transactions, and we expect that the process will be completed in an efficient manner designed to minimize any disruption to your banking services.</w:t>
      </w:r>
    </w:p>
    <w:p>
      <w:pPr>
        <w:ind w:left="660" w:right="160" w:hanging="328"/>
        <w:spacing w:after="0" w:line="26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Glenview State Bank Chairman Paul Jones plans to remain with the bank throughout the transition period, working with the Busey Bank team to assure a successful transition and incorporation of GSB customers into the Busey Bank family.</w:t>
      </w:r>
    </w:p>
    <w:p>
      <w:pPr>
        <w:spacing w:after="0" w:line="181" w:lineRule="exact"/>
        <w:rPr>
          <w:sz w:val="24"/>
          <w:szCs w:val="24"/>
          <w:color w:val="auto"/>
        </w:rPr>
      </w:pPr>
    </w:p>
    <w:p>
      <w:pPr>
        <w:ind w:right="240"/>
        <w:spacing w:after="0" w:line="281" w:lineRule="auto"/>
        <w:rPr>
          <w:sz w:val="20"/>
          <w:szCs w:val="20"/>
          <w:color w:val="auto"/>
        </w:rPr>
      </w:pPr>
      <w:r>
        <w:rPr>
          <w:rFonts w:ascii="Arial" w:cs="Arial" w:eastAsia="Arial" w:hAnsi="Arial"/>
          <w:sz w:val="17"/>
          <w:szCs w:val="17"/>
          <w:b w:val="1"/>
          <w:bCs w:val="1"/>
          <w:color w:val="auto"/>
        </w:rPr>
        <w:t>Busey Bank, like GSB, is a local Illinois State chartered bank and in fact is one of the oldest chartered banks in the State of Illinois</w:t>
      </w:r>
      <w:r>
        <w:rPr>
          <w:rFonts w:ascii="Arial" w:cs="Arial" w:eastAsia="Arial" w:hAnsi="Arial"/>
          <w:sz w:val="17"/>
          <w:szCs w:val="17"/>
          <w:color w:val="auto"/>
        </w:rPr>
        <w:t>. Busey Bank,</w:t>
      </w:r>
      <w:r>
        <w:rPr>
          <w:rFonts w:ascii="Arial" w:cs="Arial" w:eastAsia="Arial" w:hAnsi="Arial"/>
          <w:sz w:val="17"/>
          <w:szCs w:val="17"/>
          <w:b w:val="1"/>
          <w:bCs w:val="1"/>
          <w:color w:val="auto"/>
        </w:rPr>
        <w:t xml:space="preserve"> </w:t>
      </w:r>
      <w:r>
        <w:rPr>
          <w:rFonts w:ascii="Arial" w:cs="Arial" w:eastAsia="Arial" w:hAnsi="Arial"/>
          <w:sz w:val="17"/>
          <w:szCs w:val="17"/>
          <w:color w:val="auto"/>
        </w:rPr>
        <w:t>which was founded in 1868, combines the benefits of a larger size bank with total assets of over $10.5 billion as of September 30, 2020, and a customer centric “Community Bank” approach to doing business. Senior management of GSB and our bank holding company have great confidence in this combination and will hold a significant investment in Busey Bank’s holding company after the transaction is completed.</w:t>
      </w:r>
    </w:p>
    <w:p>
      <w:pPr>
        <w:spacing w:after="0" w:line="169"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You will continue to receive the same level of “high touch” service you have come to expect, including having a live bank employee answer the phone when you call the bank. We believe the combination with Busey Bank will also enable us to be an industry leader in new technologies that we believe will help improve the customer experience.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We believe additional benefits of this merger include the following.</w:t>
      </w:r>
    </w:p>
    <w:p>
      <w:pPr>
        <w:spacing w:after="0" w:line="225" w:lineRule="exact"/>
        <w:rPr>
          <w:sz w:val="24"/>
          <w:szCs w:val="24"/>
          <w:color w:val="auto"/>
        </w:rPr>
      </w:pPr>
    </w:p>
    <w:p>
      <w:pPr>
        <w:ind w:left="980" w:right="500" w:hanging="324"/>
        <w:spacing w:after="0" w:line="258"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Busey’s size and financial strength will enhance retail customer services in important areas such as mobile banking and online banking, enabling us to offer broader financial services and products.</w:t>
      </w:r>
    </w:p>
    <w:p>
      <w:pPr>
        <w:spacing w:after="0" w:line="1" w:lineRule="exact"/>
        <w:rPr>
          <w:rFonts w:ascii="Arial" w:cs="Arial" w:eastAsia="Arial" w:hAnsi="Arial"/>
          <w:sz w:val="18"/>
          <w:szCs w:val="18"/>
          <w:color w:val="auto"/>
        </w:rPr>
      </w:pPr>
    </w:p>
    <w:p>
      <w:pPr>
        <w:ind w:left="980" w:right="34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a part of Busey Bank, we will enhance and expand the number of our financial services and product offerings. In addition, our lending limit is expected to increase significantly.</w:t>
      </w:r>
    </w:p>
    <w:p>
      <w:pPr>
        <w:ind w:left="98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Trust department has built the trust business to over $1 billion in assets under management. The combination with Busey will enable us to offer additional Trust and fiduciary products and services to you.</w:t>
      </w:r>
    </w:p>
    <w:p>
      <w:pPr>
        <w:ind w:left="980" w:right="100" w:hanging="324"/>
        <w:spacing w:after="0" w:line="290"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Although we are gaining the benefits of a larger scale by joining Busey, we will remain an Illinois-chartered bank with a community banking approach. In essence, we will offer our customers the best of both worlds: scale and community banking services.</w:t>
      </w:r>
    </w:p>
    <w:p>
      <w:pPr>
        <w:spacing w:after="0" w:line="161" w:lineRule="exact"/>
        <w:rPr>
          <w:sz w:val="24"/>
          <w:szCs w:val="24"/>
          <w:color w:val="auto"/>
        </w:rPr>
      </w:pPr>
    </w:p>
    <w:p>
      <w:pPr>
        <w:jc w:val="both"/>
        <w:ind w:right="100"/>
        <w:spacing w:after="0" w:line="259" w:lineRule="auto"/>
        <w:rPr>
          <w:sz w:val="20"/>
          <w:szCs w:val="20"/>
          <w:color w:val="auto"/>
        </w:rPr>
      </w:pPr>
      <w:r>
        <w:rPr>
          <w:rFonts w:ascii="Arial" w:cs="Arial" w:eastAsia="Arial" w:hAnsi="Arial"/>
          <w:sz w:val="18"/>
          <w:szCs w:val="18"/>
          <w:color w:val="auto"/>
        </w:rPr>
        <w:t>In joining Busey we will become part of one of the most dynamic Banks in the State of Illinois. Busey Bank maintains over 50 banking centers stretching from Champaign-Urbana north to Chicago’s south and western suburbs. The bank also maintains nearly 30 banking centers in the St. Louis metro area and a branch in Carmel, Indiana. Finally, to better serve our snowbird customers, Busey Bank maintains four banking centers and a wealth management office in Southwest Florida.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We are confident we have found a partner that shares the same philosophy of putting customers first AND supporting the communities it serves.</w:t>
      </w:r>
    </w:p>
    <w:p>
      <w:pPr>
        <w:spacing w:after="0" w:line="23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This announcement comes directly on the heels of our celebration of GSB’s 100-year anniversary. We are proud of this history of service to our communities and look forward to continuing that legacy going forward with Busey Bank.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will be more information to come, including through a dedicated section of our web site at </w:t>
      </w:r>
      <w:r>
        <w:rPr>
          <w:rFonts w:ascii="Arial" w:cs="Arial" w:eastAsia="Arial" w:hAnsi="Arial"/>
          <w:sz w:val="18"/>
          <w:szCs w:val="18"/>
          <w:u w:val="single" w:color="auto"/>
          <w:color w:val="auto"/>
        </w:rPr>
        <w:t>www.gsb.com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always, we appreciate your support of true community banking; community banking that will remain intact for years to 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Concerning 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may contain forward-looking statements within the meaning of the Private Securities Litigation Reform Act of 1995 with respect to the financial condition, results of operations, plans, objectives, future performance and business of First Busey Corporation (“First Busey”) and Cummins-American Corp. (“CAC”). Forward-looking statements, which may be based upon beliefs, expectations and assumptions of First Busey’s and CAC’s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neither First Busey nor CAC undertakes any obligation to update any statement in light of new information or future events. A number of factors, many of which are beyond the ability of First Busey and CAC to control or predict, could cause actual results to differ materially from those in its forward-looking statements. These factors include, among others, the following:</w:t>
      </w:r>
    </w:p>
    <w:p>
      <w:pPr>
        <w:spacing w:after="0" w:line="1" w:lineRule="exact"/>
        <w:rPr>
          <w:sz w:val="20"/>
          <w:szCs w:val="20"/>
          <w:color w:val="auto"/>
        </w:rPr>
      </w:pPr>
    </w:p>
    <w:p>
      <w:pPr>
        <w:ind w:right="180" w:firstLine="8"/>
        <w:spacing w:after="0" w:line="281" w:lineRule="auto"/>
        <w:tabs>
          <w:tab w:leader="none" w:pos="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possibility that any of the anticipated benefits of the proposed transaction between First Busey and CAC will not be realized or will not be realized within the expected time period; (ii) the risk that integration of operations of CAC with those of First Busey will be materially delayed or will be more costly or difficult than expected; (iii) the inability to complete the proposed transaction due to the failure of the required approval of CAC’s shareholders;</w:t>
      </w:r>
    </w:p>
    <w:p>
      <w:pPr>
        <w:spacing w:after="0" w:line="1" w:lineRule="exact"/>
        <w:rPr>
          <w:rFonts w:ascii="Arial" w:cs="Arial" w:eastAsia="Arial" w:hAnsi="Arial"/>
          <w:sz w:val="16"/>
          <w:szCs w:val="16"/>
          <w:color w:val="auto"/>
        </w:rPr>
      </w:pPr>
    </w:p>
    <w:p>
      <w:pPr>
        <w:ind w:firstLine="8"/>
        <w:spacing w:after="0" w:line="281" w:lineRule="auto"/>
        <w:tabs>
          <w:tab w:leader="none" w:pos="30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failure to satisfy other conditions to completion of the proposed transaction, including receipt of required regulatory and other approvals; (v) the failure of the proposed transaction to close for any other reason; (vi) the effect of the announcement of the transaction on customer relationships and operating results; (vii) the possibility that the transaction may be more expensive to complete than anticipated, including as a result of unexpected factors or events; (viii) the strength of the local, state, national and international economy (including the impact of tariffs, a U.S. withdrawal from or significant negotiation of trade agreements, trade wars and other changes in trade regulations); (ix) the economic impact of any future terrorist threats or attacks, widespread disease or pandemics (including the COVID-19 pandemic in the United States), or other adverse external events that could cause economic deterioration or instability in credit markets; (x) changes in state and federal laws, regulations and governmental policies concerning First Busey’s and CAC’s general business; (xi) changes in accounting policies and practices, including CECL, which changed how First Busey estimates credit losses; (xii) changes in interest rates and prepayment rates of First Busey’s and CAC’s assets (including the impact of the London Inter-bank Offered Rate phase-out);</w:t>
      </w:r>
    </w:p>
    <w:p>
      <w:pPr>
        <w:spacing w:after="0" w:line="5" w:lineRule="exact"/>
        <w:rPr>
          <w:rFonts w:ascii="Arial" w:cs="Arial" w:eastAsia="Arial" w:hAnsi="Arial"/>
          <w:sz w:val="16"/>
          <w:szCs w:val="16"/>
          <w:color w:val="auto"/>
        </w:rPr>
      </w:pPr>
    </w:p>
    <w:p>
      <w:pPr>
        <w:ind w:right="40" w:firstLine="8"/>
        <w:spacing w:after="0" w:line="281" w:lineRule="auto"/>
        <w:tabs>
          <w:tab w:leader="none" w:pos="40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increased competition in the financial services sector and the inability to attract new customers; (xiv) changes in technology and the ability to develop and maintain secure and reliable electronic systems; (xv) the loss of key executives or employees; (xvi) changes in consumer spending; (xvii) unexpected results of acquisitions, including the acquisition of CAC; (xviii) unexpected outcomes of existing or new litigation involving First Busey or CAC; and</w:t>
      </w:r>
    </w:p>
    <w:p>
      <w:pPr>
        <w:spacing w:after="0" w:line="1" w:lineRule="exact"/>
        <w:rPr>
          <w:rFonts w:ascii="Arial" w:cs="Arial" w:eastAsia="Arial" w:hAnsi="Arial"/>
          <w:sz w:val="16"/>
          <w:szCs w:val="16"/>
          <w:color w:val="auto"/>
        </w:rPr>
      </w:pPr>
    </w:p>
    <w:p>
      <w:pPr>
        <w:ind w:right="100" w:firstLine="8"/>
        <w:spacing w:after="0" w:line="260" w:lineRule="auto"/>
        <w:tabs>
          <w:tab w:leader="none" w:pos="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economic impact of exceptional weather occurrences such as tornadoes, hurricanes, floods, and blizzards. These risks and uncertainties should be considered in evaluating forward-looking statements and undue reliance should not be placed on such statements.</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 information concerning First Busey and its business, including additional factors that could materially affect First Busey’s financial results, are included in First Busey’s filings with the Securities and Exchange Commission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First Busey will file a registration statement on Form S-4 with the SEC in connection with the proposed transaction. The registration statement will include a proxy statement of CAC that also constitutes a prospectus of First Busey, which, when finalized, will be sent to the shareholders of CAC seeking their approval of the respective merger-related proposals. CAC’s shareholders are advised to read the Registration Statement on Form S-4 and the related proxy statement/prospectus, as well as any amendments or supplements to those documents and any other relevant documents filed or to be filed with the SEC in connection with the proposed transaction, when they become available because they will contain important information about First Busey, CAC and the proposed transaction. When filed, this document and other documents relating to the merger filed by First Busey and CAC can be obtained free of charge from the SEC’s website at www.sec.gov. These documents also can be obtained free of charge by accessing First Busey’s website at www.busey.com under the tab “Investors Relations” and then under “SEC Filings.” Alternatively, these documents, when available, can be obtained free of charge from First Busey upon written request to First Busey Corporation, Corporate Secretary, 100 W. University Avenue, Champaign, Illinois 61820 or by calling (217)</w:t>
      </w:r>
    </w:p>
    <w:p>
      <w:pPr>
        <w:spacing w:after="0" w:line="6"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365-4556, or from CAC, upon written request to Cummins-American Corp., 800 Waukegan Road, Glenview, Illinois 60025 Attn: Corporate Secretary, or by calling (847) 729-1900.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this Transaction</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First Busey, CAC and certain of their respective directors and executive officers may be deemed to be participants in the solicitation of proxies from shareholders of CAC in connection with the proposed transaction under the rules of the SEC. Information about First Busey’s directors and officers may be found in First Busey’s definitive proxy statement relating to its 2020 Annual Meeting of Stockholders filed with the SEC on April 9, 2020, a copy of which can be obtained free of charge from the sources indicated above. Additional information regarding the interests of these participants, including CAC’s officers and directors, will also be included in the proxy statement/prospectus regarding the proposed transaction when it becomes available.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communication does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4"/>
    </w:lvl>
  </w:abstractNum>
  <w:abstractNum w:abstractNumId="4">
    <w:nsid w:val="3D1B58BA"/>
    <w:multiLevelType w:val="hybridMultilevel"/>
    <w:lvl w:ilvl="0">
      <w:lvlJc w:val="left"/>
      <w:lvlText w:val="(%1)"/>
      <w:numFmt w:val="lowerRoman"/>
      <w:start w:val="13"/>
    </w:lvl>
  </w:abstractNum>
  <w:abstractNum w:abstractNumId="5">
    <w:nsid w:val="507ED7AB"/>
    <w:multiLevelType w:val="hybridMultilevel"/>
    <w:lvl w:ilvl="0">
      <w:lvlJc w:val="left"/>
      <w:lvlText w:val="(%1)"/>
      <w:numFmt w:val="lowerRoman"/>
      <w:start w:val="1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2021-01-20T05:14:57Z</dcterms:created>
  <dcterms:modified xsi:type="dcterms:W3CDTF">2021-01-20T05:14:57Z</dcterms:modified>
</cp:coreProperties>
</file>