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692150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2900" w:right="1680" w:hanging="2674"/>
        <w:spacing w:after="0" w:line="372" w:lineRule="auto"/>
        <w:tabs>
          <w:tab w:leader="none" w:pos="597"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 For the Quarterly Period Ended 6/30/2019</w:t>
      </w:r>
    </w:p>
    <w:p>
      <w:pPr>
        <w:spacing w:after="0" w:line="29" w:lineRule="exact"/>
        <w:rPr>
          <w:sz w:val="24"/>
          <w:szCs w:val="24"/>
          <w:color w:val="auto"/>
        </w:rPr>
      </w:pPr>
    </w:p>
    <w:p>
      <w:pPr>
        <w:ind w:left="3420" w:right="1640" w:hanging="3194"/>
        <w:spacing w:after="0" w:line="352" w:lineRule="auto"/>
        <w:tabs>
          <w:tab w:leader="none" w:pos="61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No. 0-15950</w:t>
      </w:r>
    </w:p>
    <w:p>
      <w:pPr>
        <w:jc w:val="center"/>
        <w:spacing w:after="0"/>
        <w:rPr>
          <w:sz w:val="20"/>
          <w:szCs w:val="20"/>
          <w:color w:val="auto"/>
        </w:rPr>
      </w:pPr>
      <w:r>
        <w:rPr>
          <w:rFonts w:ascii="Arial" w:cs="Arial" w:eastAsia="Arial" w:hAnsi="Arial"/>
          <w:sz w:val="29"/>
          <w:szCs w:val="29"/>
          <w:b w:val="1"/>
          <w:bCs w:val="1"/>
          <w:color w:val="auto"/>
        </w:rPr>
        <w:t>FIRST BUSEY CORPORATION</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3"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4020" w:type="dxa"/>
            <w:vAlign w:val="bottom"/>
          </w:tcPr>
          <w:p>
            <w:pPr>
              <w:jc w:val="center"/>
              <w:ind w:right="830"/>
              <w:spacing w:after="0"/>
              <w:rPr>
                <w:sz w:val="20"/>
                <w:szCs w:val="20"/>
                <w:color w:val="auto"/>
              </w:rPr>
            </w:pPr>
            <w:r>
              <w:rPr>
                <w:rFonts w:ascii="Arial" w:cs="Arial" w:eastAsia="Arial" w:hAnsi="Arial"/>
                <w:sz w:val="18"/>
                <w:szCs w:val="18"/>
                <w:b w:val="1"/>
                <w:bCs w:val="1"/>
                <w:color w:val="auto"/>
                <w:w w:val="90"/>
              </w:rPr>
              <w:t>Nevada</w:t>
            </w:r>
          </w:p>
        </w:tc>
        <w:tc>
          <w:tcPr>
            <w:tcW w:w="3520" w:type="dxa"/>
            <w:vAlign w:val="bottom"/>
          </w:tcPr>
          <w:p>
            <w:pPr>
              <w:jc w:val="right"/>
              <w:ind w:right="790"/>
              <w:spacing w:after="0"/>
              <w:rPr>
                <w:sz w:val="20"/>
                <w:szCs w:val="20"/>
                <w:color w:val="auto"/>
              </w:rPr>
            </w:pPr>
            <w:r>
              <w:rPr>
                <w:rFonts w:ascii="Arial" w:cs="Arial" w:eastAsia="Arial" w:hAnsi="Arial"/>
                <w:sz w:val="18"/>
                <w:szCs w:val="18"/>
                <w:b w:val="1"/>
                <w:bCs w:val="1"/>
                <w:color w:val="auto"/>
              </w:rPr>
              <w:t>37-1078406</w:t>
            </w:r>
          </w:p>
        </w:tc>
      </w:tr>
      <w:tr>
        <w:trPr>
          <w:trHeight w:val="203"/>
        </w:trPr>
        <w:tc>
          <w:tcPr>
            <w:tcW w:w="4020" w:type="dxa"/>
            <w:vAlign w:val="bottom"/>
          </w:tcPr>
          <w:p>
            <w:pPr>
              <w:jc w:val="center"/>
              <w:ind w:right="830"/>
              <w:spacing w:after="0" w:line="202" w:lineRule="exact"/>
              <w:rPr>
                <w:sz w:val="20"/>
                <w:szCs w:val="20"/>
                <w:color w:val="auto"/>
              </w:rPr>
            </w:pPr>
            <w:r>
              <w:rPr>
                <w:rFonts w:ascii="Arial" w:cs="Arial" w:eastAsia="Arial" w:hAnsi="Arial"/>
                <w:sz w:val="18"/>
                <w:szCs w:val="18"/>
                <w:color w:val="auto"/>
                <w:w w:val="92"/>
              </w:rPr>
              <w:t>(State or other jurisdiction of incorporation</w:t>
            </w:r>
          </w:p>
        </w:tc>
        <w:tc>
          <w:tcPr>
            <w:tcW w:w="3520" w:type="dxa"/>
            <w:vAlign w:val="bottom"/>
          </w:tcPr>
          <w:p>
            <w:pPr>
              <w:jc w:val="center"/>
              <w:ind w:left="810"/>
              <w:spacing w:after="0" w:line="202" w:lineRule="exact"/>
              <w:rPr>
                <w:sz w:val="20"/>
                <w:szCs w:val="20"/>
                <w:color w:val="auto"/>
              </w:rPr>
            </w:pPr>
            <w:r>
              <w:rPr>
                <w:rFonts w:ascii="Arial" w:cs="Arial" w:eastAsia="Arial" w:hAnsi="Arial"/>
                <w:sz w:val="18"/>
                <w:szCs w:val="18"/>
                <w:color w:val="auto"/>
                <w:w w:val="94"/>
              </w:rPr>
              <w:t>(I.R.S. Employer Identification No.)</w:t>
            </w:r>
          </w:p>
        </w:tc>
      </w:tr>
      <w:tr>
        <w:trPr>
          <w:trHeight w:val="212"/>
        </w:trPr>
        <w:tc>
          <w:tcPr>
            <w:tcW w:w="4020" w:type="dxa"/>
            <w:vAlign w:val="bottom"/>
          </w:tcPr>
          <w:p>
            <w:pPr>
              <w:jc w:val="center"/>
              <w:ind w:right="830"/>
              <w:spacing w:after="0"/>
              <w:rPr>
                <w:sz w:val="20"/>
                <w:szCs w:val="20"/>
                <w:color w:val="auto"/>
              </w:rPr>
            </w:pPr>
            <w:r>
              <w:rPr>
                <w:rFonts w:ascii="Arial" w:cs="Arial" w:eastAsia="Arial" w:hAnsi="Arial"/>
                <w:sz w:val="18"/>
                <w:szCs w:val="18"/>
                <w:color w:val="auto"/>
                <w:w w:val="91"/>
              </w:rPr>
              <w:t>or organization)</w:t>
            </w:r>
          </w:p>
        </w:tc>
        <w:tc>
          <w:tcPr>
            <w:tcW w:w="3520" w:type="dxa"/>
            <w:vAlign w:val="bottom"/>
          </w:tcPr>
          <w:p>
            <w:pPr>
              <w:spacing w:after="0"/>
              <w:rPr>
                <w:sz w:val="18"/>
                <w:szCs w:val="18"/>
                <w:color w:val="auto"/>
              </w:rPr>
            </w:pPr>
          </w:p>
        </w:tc>
      </w:tr>
      <w:tr>
        <w:trPr>
          <w:trHeight w:val="203"/>
        </w:trPr>
        <w:tc>
          <w:tcPr>
            <w:tcW w:w="4020" w:type="dxa"/>
            <w:vAlign w:val="bottom"/>
          </w:tcPr>
          <w:p>
            <w:pPr>
              <w:jc w:val="center"/>
              <w:ind w:right="830"/>
              <w:spacing w:after="0" w:line="202" w:lineRule="exact"/>
              <w:rPr>
                <w:sz w:val="20"/>
                <w:szCs w:val="20"/>
                <w:color w:val="auto"/>
              </w:rPr>
            </w:pPr>
            <w:r>
              <w:rPr>
                <w:rFonts w:ascii="Arial" w:cs="Arial" w:eastAsia="Arial" w:hAnsi="Arial"/>
                <w:sz w:val="18"/>
                <w:szCs w:val="18"/>
                <w:b w:val="1"/>
                <w:bCs w:val="1"/>
                <w:color w:val="auto"/>
                <w:w w:val="90"/>
              </w:rPr>
              <w:t>100 W. University Ave.</w:t>
            </w:r>
          </w:p>
        </w:tc>
        <w:tc>
          <w:tcPr>
            <w:tcW w:w="3520" w:type="dxa"/>
            <w:vAlign w:val="bottom"/>
          </w:tcPr>
          <w:p>
            <w:pPr>
              <w:spacing w:after="0"/>
              <w:rPr>
                <w:sz w:val="17"/>
                <w:szCs w:val="17"/>
                <w:color w:val="auto"/>
              </w:rPr>
            </w:pPr>
          </w:p>
        </w:tc>
      </w:tr>
      <w:tr>
        <w:trPr>
          <w:trHeight w:val="207"/>
        </w:trPr>
        <w:tc>
          <w:tcPr>
            <w:tcW w:w="4020" w:type="dxa"/>
            <w:vAlign w:val="bottom"/>
          </w:tcPr>
          <w:p>
            <w:pPr>
              <w:jc w:val="center"/>
              <w:ind w:right="810"/>
              <w:spacing w:after="0"/>
              <w:rPr>
                <w:sz w:val="20"/>
                <w:szCs w:val="20"/>
                <w:color w:val="auto"/>
              </w:rPr>
            </w:pPr>
            <w:r>
              <w:rPr>
                <w:rFonts w:ascii="Arial" w:cs="Arial" w:eastAsia="Arial" w:hAnsi="Arial"/>
                <w:sz w:val="18"/>
                <w:szCs w:val="18"/>
                <w:b w:val="1"/>
                <w:bCs w:val="1"/>
                <w:color w:val="auto"/>
                <w:w w:val="92"/>
              </w:rPr>
              <w:t>Champaign, Illinois</w:t>
            </w:r>
          </w:p>
        </w:tc>
        <w:tc>
          <w:tcPr>
            <w:tcW w:w="3520" w:type="dxa"/>
            <w:vAlign w:val="bottom"/>
          </w:tcPr>
          <w:p>
            <w:pPr>
              <w:jc w:val="right"/>
              <w:ind w:right="990"/>
              <w:spacing w:after="0"/>
              <w:rPr>
                <w:sz w:val="20"/>
                <w:szCs w:val="20"/>
                <w:color w:val="auto"/>
              </w:rPr>
            </w:pPr>
            <w:r>
              <w:rPr>
                <w:rFonts w:ascii="Arial" w:cs="Arial" w:eastAsia="Arial" w:hAnsi="Arial"/>
                <w:sz w:val="18"/>
                <w:szCs w:val="18"/>
                <w:b w:val="1"/>
                <w:bCs w:val="1"/>
                <w:color w:val="auto"/>
              </w:rPr>
              <w:t>61820</w:t>
            </w:r>
          </w:p>
        </w:tc>
      </w:tr>
      <w:tr>
        <w:trPr>
          <w:trHeight w:val="230"/>
        </w:trPr>
        <w:tc>
          <w:tcPr>
            <w:tcW w:w="4020" w:type="dxa"/>
            <w:vAlign w:val="bottom"/>
          </w:tcPr>
          <w:p>
            <w:pPr>
              <w:jc w:val="center"/>
              <w:ind w:right="830"/>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jc w:val="center"/>
              <w:ind w:left="810"/>
              <w:spacing w:after="0"/>
              <w:rPr>
                <w:sz w:val="20"/>
                <w:szCs w:val="20"/>
                <w:color w:val="auto"/>
              </w:rPr>
            </w:pPr>
            <w:r>
              <w:rPr>
                <w:rFonts w:ascii="Arial" w:cs="Arial" w:eastAsia="Arial" w:hAnsi="Arial"/>
                <w:sz w:val="18"/>
                <w:szCs w:val="18"/>
                <w:color w:val="auto"/>
                <w:w w:val="91"/>
              </w:rPr>
              <w:t>(Zip code)</w:t>
            </w:r>
          </w:p>
        </w:tc>
      </w:tr>
    </w:tbl>
    <w:p>
      <w:pPr>
        <w:spacing w:after="0" w:line="103" w:lineRule="exact"/>
        <w:rPr>
          <w:sz w:val="24"/>
          <w:szCs w:val="24"/>
          <w:color w:val="auto"/>
        </w:rPr>
      </w:pPr>
    </w:p>
    <w:p>
      <w:pPr>
        <w:ind w:left="20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104"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88" w:lineRule="exact"/>
        <w:rPr>
          <w:sz w:val="24"/>
          <w:szCs w:val="24"/>
          <w:color w:val="auto"/>
        </w:rPr>
      </w:pPr>
    </w:p>
    <w:p>
      <w:pPr>
        <w:ind w:right="140"/>
        <w:spacing w:after="0" w:line="21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1" w:lineRule="exact"/>
        <w:rPr>
          <w:sz w:val="24"/>
          <w:szCs w:val="24"/>
          <w:color w:val="auto"/>
        </w:rPr>
      </w:pPr>
    </w:p>
    <w:p>
      <w:pPr>
        <w:ind w:right="320"/>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1" w:lineRule="exact"/>
        <w:rPr>
          <w:sz w:val="24"/>
          <w:szCs w:val="24"/>
          <w:color w:val="auto"/>
        </w:rPr>
      </w:pPr>
    </w:p>
    <w:p>
      <w:pPr>
        <w:ind w:right="100"/>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1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92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1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92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1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920" w:type="dxa"/>
            <w:vAlign w:val="bottom"/>
          </w:tcPr>
          <w:p>
            <w:pPr>
              <w:spacing w:after="0"/>
              <w:rPr>
                <w:sz w:val="24"/>
                <w:szCs w:val="24"/>
                <w:color w:val="auto"/>
              </w:rPr>
            </w:pPr>
          </w:p>
        </w:tc>
      </w:tr>
    </w:tbl>
    <w:p>
      <w:pPr>
        <w:spacing w:after="0" w:line="87" w:lineRule="exact"/>
        <w:rPr>
          <w:sz w:val="24"/>
          <w:szCs w:val="24"/>
          <w:color w:val="auto"/>
        </w:rPr>
      </w:pPr>
    </w:p>
    <w:p>
      <w:pPr>
        <w:ind w:right="60"/>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 (s)</w:t>
            </w:r>
          </w:p>
        </w:tc>
        <w:tc>
          <w:tcPr>
            <w:tcW w:w="4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BUSE</w:t>
            </w:r>
          </w:p>
        </w:tc>
        <w:tc>
          <w:tcPr>
            <w:tcW w:w="4100" w:type="dxa"/>
            <w:vAlign w:val="bottom"/>
          </w:tcPr>
          <w:p>
            <w:pPr>
              <w:jc w:val="center"/>
              <w:ind w:right="10"/>
              <w:spacing w:after="0"/>
              <w:rPr>
                <w:sz w:val="20"/>
                <w:szCs w:val="20"/>
                <w:color w:val="auto"/>
              </w:rPr>
            </w:pPr>
            <w:r>
              <w:rPr>
                <w:rFonts w:ascii="Arial" w:cs="Arial" w:eastAsia="Arial" w:hAnsi="Arial"/>
                <w:sz w:val="18"/>
                <w:szCs w:val="18"/>
                <w:color w:val="auto"/>
                <w:w w:val="92"/>
              </w:rPr>
              <w:t>The Nasdaq Stock Market LLC</w:t>
            </w:r>
          </w:p>
        </w:tc>
      </w:tr>
    </w:tbl>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p>
        </w:tc>
        <w:tc>
          <w:tcPr>
            <w:tcW w:w="3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Class</w:t>
            </w:r>
          </w:p>
        </w:tc>
        <w:tc>
          <w:tcPr>
            <w:tcW w:w="44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9"/>
              </w:rPr>
              <w:t>Outstanding at August 7, 2019</w:t>
            </w:r>
          </w:p>
        </w:tc>
      </w:tr>
      <w:tr>
        <w:trPr>
          <w:trHeight w:val="237"/>
        </w:trPr>
        <w:tc>
          <w:tcPr>
            <w:tcW w:w="920" w:type="dxa"/>
            <w:vAlign w:val="bottom"/>
            <w:tcBorders>
              <w:bottom w:val="single" w:sz="8" w:color="auto"/>
            </w:tcBorders>
          </w:tcPr>
          <w:p>
            <w:pPr>
              <w:spacing w:after="0"/>
              <w:rPr>
                <w:sz w:val="20"/>
                <w:szCs w:val="20"/>
                <w:color w:val="auto"/>
              </w:rPr>
            </w:pPr>
          </w:p>
        </w:tc>
        <w:tc>
          <w:tcPr>
            <w:tcW w:w="3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Borders>
              <w:bottom w:val="single" w:sz="8" w:color="auto"/>
            </w:tcBorders>
          </w:tcPr>
          <w:p>
            <w:pPr>
              <w:spacing w:after="0"/>
              <w:rPr>
                <w:sz w:val="20"/>
                <w:szCs w:val="20"/>
                <w:color w:val="auto"/>
              </w:rPr>
            </w:pPr>
          </w:p>
        </w:tc>
        <w:tc>
          <w:tcPr>
            <w:tcW w:w="3520" w:type="dxa"/>
            <w:vAlign w:val="bottom"/>
            <w:tcBorders>
              <w:top w:val="single" w:sz="8" w:color="auto"/>
              <w:bottom w:val="single" w:sz="8" w:color="auto"/>
            </w:tcBorders>
          </w:tcPr>
          <w:p>
            <w:pPr>
              <w:jc w:val="right"/>
              <w:ind w:right="1270"/>
              <w:spacing w:after="0"/>
              <w:rPr>
                <w:sz w:val="20"/>
                <w:szCs w:val="20"/>
                <w:color w:val="auto"/>
              </w:rPr>
            </w:pPr>
            <w:r>
              <w:rPr>
                <w:rFonts w:ascii="Arial" w:cs="Arial" w:eastAsia="Arial" w:hAnsi="Arial"/>
                <w:sz w:val="18"/>
                <w:szCs w:val="18"/>
                <w:color w:val="auto"/>
              </w:rPr>
              <w:t>55,386,636</w:t>
            </w:r>
          </w:p>
        </w:tc>
        <w:tc>
          <w:tcPr>
            <w:tcW w:w="900" w:type="dxa"/>
            <w:vAlign w:val="bottom"/>
            <w:tcBorders>
              <w:bottom w:val="single" w:sz="8" w:color="auto"/>
            </w:tcBorders>
          </w:tcPr>
          <w:p>
            <w:pPr>
              <w:spacing w:after="0"/>
              <w:rPr>
                <w:sz w:val="20"/>
                <w:szCs w:val="20"/>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679" w:right="141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auto"/>
        </w:rPr>
        <w:t>FORM 10-Q</w:t>
      </w:r>
    </w:p>
    <w:p>
      <w:pPr>
        <w:jc w:val="center"/>
        <w:ind w:left="800"/>
        <w:spacing w:after="0"/>
        <w:rPr>
          <w:sz w:val="20"/>
          <w:szCs w:val="20"/>
          <w:color w:val="auto"/>
        </w:rPr>
      </w:pPr>
      <w:r>
        <w:rPr>
          <w:rFonts w:ascii="Arial" w:cs="Arial" w:eastAsia="Arial" w:hAnsi="Arial"/>
          <w:sz w:val="18"/>
          <w:szCs w:val="18"/>
          <w:b w:val="1"/>
          <w:bCs w:val="1"/>
          <w:color w:val="auto"/>
        </w:rPr>
        <w:t>June 30, 2019</w:t>
      </w:r>
    </w:p>
    <w:p>
      <w:pPr>
        <w:spacing w:after="0" w:line="209" w:lineRule="exact"/>
        <w:rPr>
          <w:sz w:val="20"/>
          <w:szCs w:val="20"/>
          <w:color w:val="auto"/>
        </w:rPr>
      </w:pPr>
    </w:p>
    <w:p>
      <w:pPr>
        <w:jc w:val="center"/>
        <w:ind w:left="800"/>
        <w:spacing w:after="0"/>
        <w:rPr>
          <w:sz w:val="20"/>
          <w:szCs w:val="20"/>
          <w:color w:val="auto"/>
        </w:rPr>
      </w:pPr>
      <w:r>
        <w:rPr>
          <w:rFonts w:ascii="Arial" w:cs="Arial" w:eastAsia="Arial" w:hAnsi="Arial"/>
          <w:sz w:val="18"/>
          <w:szCs w:val="18"/>
          <w:color w:val="auto"/>
        </w:rPr>
        <w:t>Table of Contents</w:t>
      </w:r>
    </w:p>
    <w:p>
      <w:pPr>
        <w:spacing w:after="0" w:line="235" w:lineRule="exact"/>
        <w:rPr>
          <w:sz w:val="20"/>
          <w:szCs w:val="20"/>
          <w:color w:val="auto"/>
        </w:rPr>
      </w:pPr>
    </w:p>
    <w:p>
      <w:pPr>
        <w:spacing w:after="0"/>
        <w:tabs>
          <w:tab w:leader="none" w:pos="740" w:val="left"/>
        </w:tabs>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3">
        <w:r>
          <w:rPr>
            <w:rFonts w:ascii="Arial" w:cs="Arial" w:eastAsia="Arial" w:hAnsi="Arial"/>
            <w:sz w:val="18"/>
            <w:szCs w:val="18"/>
            <w:b w:val="1"/>
            <w:bCs w:val="1"/>
            <w:u w:val="single" w:color="auto"/>
            <w:color w:val="0000EE"/>
          </w:rPr>
          <w:t>FINANCIAL INFORMATION</w:t>
        </w:r>
      </w:hyperlink>
    </w:p>
    <w:p>
      <w:pPr>
        <w:spacing w:after="0" w:line="256" w:lineRule="exact"/>
        <w:rPr>
          <w:sz w:val="20"/>
          <w:szCs w:val="20"/>
          <w:color w:val="auto"/>
        </w:rPr>
      </w:pPr>
    </w:p>
    <w:p>
      <w:pPr>
        <w:spacing w:after="0"/>
        <w:tabs>
          <w:tab w:leader="none" w:pos="740" w:val="left"/>
        </w:tabs>
        <w:rPr>
          <w:rFonts w:ascii="Arial" w:cs="Arial" w:eastAsia="Arial" w:hAnsi="Arial"/>
          <w:sz w:val="17"/>
          <w:szCs w:val="17"/>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
        <w:r>
          <w:rPr>
            <w:rFonts w:ascii="Arial" w:cs="Arial" w:eastAsia="Arial" w:hAnsi="Arial"/>
            <w:sz w:val="17"/>
            <w:szCs w:val="17"/>
            <w:u w:val="single" w:color="auto"/>
            <w:color w:val="0000EE"/>
          </w:rPr>
          <w:t>FINANCIAL STATEMENTS</w:t>
        </w:r>
      </w:hyperlink>
    </w:p>
    <w:p>
      <w:pPr>
        <w:spacing w:after="0" w:line="12" w:lineRule="exact"/>
        <w:rPr>
          <w:sz w:val="20"/>
          <w:szCs w:val="20"/>
          <w:color w:val="auto"/>
        </w:rPr>
      </w:pPr>
    </w:p>
    <w:p>
      <w:pPr>
        <w:ind w:left="7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w:t>
        </w:r>
      </w:hyperlink>
    </w:p>
    <w:p>
      <w:pPr>
        <w:spacing w:after="0" w:line="7" w:lineRule="exact"/>
        <w:rPr>
          <w:sz w:val="20"/>
          <w:szCs w:val="20"/>
          <w:color w:val="auto"/>
        </w:rPr>
      </w:pPr>
    </w:p>
    <w:p>
      <w:pPr>
        <w:ind w:left="7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INCOME</w:t>
        </w:r>
      </w:hyperlink>
    </w:p>
    <w:p>
      <w:pPr>
        <w:spacing w:after="0" w:line="23" w:lineRule="exact"/>
        <w:rPr>
          <w:sz w:val="20"/>
          <w:szCs w:val="20"/>
          <w:color w:val="auto"/>
        </w:rPr>
      </w:pPr>
    </w:p>
    <w:p>
      <w:pPr>
        <w:ind w:left="760" w:right="2360"/>
        <w:spacing w:after="0" w:line="281" w:lineRule="auto"/>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CONSOLIDATED STATEMENTS OF COMPREHENSIVE INCOME</w:t>
        </w:r>
      </w:hyperlink>
      <w:r>
        <w:rPr>
          <w:rFonts w:ascii="Arial" w:cs="Arial" w:eastAsia="Arial" w:hAnsi="Arial"/>
          <w:sz w:val="17"/>
          <w:szCs w:val="17"/>
          <w:u w:val="single" w:color="auto"/>
          <w:color w:val="0000EE"/>
        </w:rPr>
        <w:t xml:space="preserve"> </w:t>
      </w:r>
      <w:hyperlink w:anchor="page7">
        <w:r>
          <w:rPr>
            <w:rFonts w:ascii="Arial" w:cs="Arial" w:eastAsia="Arial" w:hAnsi="Arial"/>
            <w:sz w:val="17"/>
            <w:szCs w:val="17"/>
            <w:u w:val="single" w:color="auto"/>
            <w:color w:val="0000EE"/>
          </w:rPr>
          <w:t>CONSOLIDATED STATEMENTS OF STOCKHOLDERS’ EQUITY</w:t>
        </w:r>
      </w:hyperlink>
      <w:r>
        <w:rPr>
          <w:rFonts w:ascii="Arial" w:cs="Arial" w:eastAsia="Arial" w:hAnsi="Arial"/>
          <w:sz w:val="17"/>
          <w:szCs w:val="17"/>
          <w:u w:val="single" w:color="auto"/>
          <w:color w:val="0000EE"/>
        </w:rPr>
        <w:t xml:space="preserve"> </w:t>
      </w:r>
      <w:hyperlink w:anchor="page9">
        <w:r>
          <w:rPr>
            <w:rFonts w:ascii="Arial" w:cs="Arial" w:eastAsia="Arial" w:hAnsi="Arial"/>
            <w:sz w:val="17"/>
            <w:szCs w:val="17"/>
            <w:u w:val="single" w:color="auto"/>
            <w:color w:val="0000EE"/>
          </w:rPr>
          <w:t>CONSOLIDATED STATEMENTS OF CASH FLOWS</w:t>
        </w:r>
      </w:hyperlink>
    </w:p>
    <w:p>
      <w:pPr>
        <w:spacing w:after="0" w:line="2" w:lineRule="exact"/>
        <w:rPr>
          <w:rFonts w:ascii="Arial" w:cs="Arial" w:eastAsia="Arial" w:hAnsi="Arial"/>
          <w:sz w:val="17"/>
          <w:szCs w:val="17"/>
          <w:u w:val="single" w:color="auto"/>
          <w:color w:val="0000EE"/>
        </w:rPr>
      </w:pPr>
    </w:p>
    <w:p>
      <w:pPr>
        <w:ind w:left="7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UNAUDITED CONSOLIDATED FINANCIAL STATEMENTS</w:t>
        </w:r>
      </w:hyperlink>
    </w:p>
    <w:p>
      <w:pPr>
        <w:spacing w:after="0" w:line="23" w:lineRule="exact"/>
        <w:rPr>
          <w:rFonts w:ascii="Arial" w:cs="Arial" w:eastAsia="Arial" w:hAnsi="Arial"/>
          <w:sz w:val="17"/>
          <w:szCs w:val="17"/>
          <w:u w:val="single" w:color="auto"/>
          <w:color w:val="0000EE"/>
        </w:rPr>
      </w:pPr>
    </w:p>
    <w:p>
      <w:pPr>
        <w:ind w:left="760" w:hanging="755"/>
        <w:spacing w:after="0" w:line="243" w:lineRule="auto"/>
        <w:tabs>
          <w:tab w:leader="none" w:pos="740" w:val="left"/>
        </w:tabs>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39">
        <w:r>
          <w:rPr>
            <w:rFonts w:ascii="Arial" w:cs="Arial" w:eastAsia="Arial" w:hAnsi="Arial"/>
            <w:sz w:val="18"/>
            <w:szCs w:val="18"/>
            <w:u w:val="single" w:color="auto"/>
            <w:color w:val="0000EE"/>
          </w:rPr>
          <w:t>MANAGEMENT’S DISCUSSION AND ANALYSIS OF FINANCIAL CONDITION AND RESULTS</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OF OPERATIONS</w:t>
        </w:r>
      </w:hyperlink>
    </w:p>
    <w:p>
      <w:pPr>
        <w:spacing w:after="0" w:line="1" w:lineRule="exact"/>
        <w:rPr>
          <w:rFonts w:ascii="Arial" w:cs="Arial" w:eastAsia="Arial" w:hAnsi="Arial"/>
          <w:sz w:val="18"/>
          <w:szCs w:val="18"/>
          <w:u w:val="single" w:color="auto"/>
          <w:color w:val="0000EE"/>
        </w:rPr>
      </w:pPr>
    </w:p>
    <w:p>
      <w:pPr>
        <w:ind w:right="1360"/>
        <w:spacing w:after="0" w:line="243" w:lineRule="auto"/>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58">
        <w:r>
          <w:rPr>
            <w:rFonts w:ascii="Arial" w:cs="Arial" w:eastAsia="Arial" w:hAnsi="Arial"/>
            <w:sz w:val="18"/>
            <w:szCs w:val="18"/>
            <w:u w:val="single" w:color="auto"/>
            <w:color w:val="0000EE"/>
          </w:rPr>
          <w:t>Item 4. CONTROLS AND PROCEDURES</w:t>
        </w:r>
      </w:hyperlink>
    </w:p>
    <w:p>
      <w:pPr>
        <w:spacing w:after="0" w:line="196" w:lineRule="exact"/>
        <w:rPr>
          <w:sz w:val="20"/>
          <w:szCs w:val="20"/>
          <w:color w:val="auto"/>
        </w:rPr>
      </w:pPr>
    </w:p>
    <w:p>
      <w:pPr>
        <w:spacing w:after="0"/>
        <w:tabs>
          <w:tab w:leader="none" w:pos="740" w:val="left"/>
        </w:tabs>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u w:val="single" w:color="auto"/>
          <w:color w:val="0000EE"/>
        </w:rPr>
        <w:tab/>
      </w:r>
      <w:hyperlink w:anchor="page58">
        <w:r>
          <w:rPr>
            <w:rFonts w:ascii="Arial" w:cs="Arial" w:eastAsia="Arial" w:hAnsi="Arial"/>
            <w:sz w:val="18"/>
            <w:szCs w:val="18"/>
            <w:b w:val="1"/>
            <w:bCs w:val="1"/>
            <w:u w:val="single" w:color="auto"/>
            <w:color w:val="0000EE"/>
          </w:rPr>
          <w:t>OTHER INFORMATION</w:t>
        </w:r>
      </w:hyperlink>
    </w:p>
    <w:p>
      <w:pPr>
        <w:spacing w:after="0" w:line="256" w:lineRule="exact"/>
        <w:rPr>
          <w:sz w:val="20"/>
          <w:szCs w:val="20"/>
          <w:color w:val="auto"/>
        </w:rPr>
      </w:pPr>
    </w:p>
    <w:p>
      <w:pPr>
        <w:spacing w:after="0"/>
        <w:tabs>
          <w:tab w:leader="none" w:pos="740" w:val="left"/>
        </w:tabs>
        <w:rPr>
          <w:rFonts w:ascii="Arial" w:cs="Arial" w:eastAsia="Arial" w:hAnsi="Arial"/>
          <w:sz w:val="17"/>
          <w:szCs w:val="17"/>
          <w:u w:val="single" w:color="auto"/>
          <w:color w:val="0000EE"/>
        </w:rPr>
      </w:pPr>
      <w:hyperlink w:anchor="page58">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58">
        <w:r>
          <w:rPr>
            <w:rFonts w:ascii="Arial" w:cs="Arial" w:eastAsia="Arial" w:hAnsi="Arial"/>
            <w:sz w:val="17"/>
            <w:szCs w:val="17"/>
            <w:u w:val="single" w:color="auto"/>
            <w:color w:val="0000EE"/>
          </w:rPr>
          <w:t>LEGAL PROCEEDINGS</w:t>
        </w:r>
      </w:hyperlink>
    </w:p>
    <w:p>
      <w:pPr>
        <w:spacing w:after="0" w:line="7"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1A.  RISK FACTORS</w:t>
        </w:r>
      </w:hyperlink>
    </w:p>
    <w:p>
      <w:pPr>
        <w:spacing w:after="0"/>
        <w:tabs>
          <w:tab w:leader="none" w:pos="740" w:val="left"/>
        </w:tabs>
        <w:rPr>
          <w:rFonts w:ascii="Arial" w:cs="Arial" w:eastAsia="Arial" w:hAnsi="Arial"/>
          <w:sz w:val="17"/>
          <w:szCs w:val="17"/>
          <w:u w:val="single" w:color="auto"/>
          <w:color w:val="0000EE"/>
        </w:rPr>
      </w:pPr>
      <w:hyperlink w:anchor="page59">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59">
        <w:r>
          <w:rPr>
            <w:rFonts w:ascii="Arial" w:cs="Arial" w:eastAsia="Arial" w:hAnsi="Arial"/>
            <w:sz w:val="17"/>
            <w:szCs w:val="17"/>
            <w:u w:val="single" w:color="auto"/>
            <w:color w:val="0000EE"/>
          </w:rPr>
          <w:t>UNREGISTERED SALES OF EQUITY SECURITIES AND USE OF PROCEEDS</w:t>
        </w:r>
      </w:hyperlink>
    </w:p>
    <w:p>
      <w:pPr>
        <w:spacing w:after="0"/>
        <w:tabs>
          <w:tab w:leader="none" w:pos="740" w:val="left"/>
        </w:tabs>
        <w:rPr>
          <w:rFonts w:ascii="Arial" w:cs="Arial" w:eastAsia="Arial" w:hAnsi="Arial"/>
          <w:sz w:val="17"/>
          <w:szCs w:val="17"/>
          <w:u w:val="single" w:color="auto"/>
          <w:color w:val="0000EE"/>
        </w:rPr>
      </w:pPr>
      <w:hyperlink w:anchor="page59">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59">
        <w:r>
          <w:rPr>
            <w:rFonts w:ascii="Arial" w:cs="Arial" w:eastAsia="Arial" w:hAnsi="Arial"/>
            <w:sz w:val="17"/>
            <w:szCs w:val="17"/>
            <w:u w:val="single" w:color="auto"/>
            <w:color w:val="0000EE"/>
          </w:rPr>
          <w:t>DEFAULTS UPON SENIOR SECURITIES</w:t>
        </w:r>
      </w:hyperlink>
    </w:p>
    <w:p>
      <w:pPr>
        <w:spacing w:after="0"/>
        <w:tabs>
          <w:tab w:leader="none" w:pos="740" w:val="left"/>
        </w:tabs>
        <w:rPr>
          <w:rFonts w:ascii="Arial" w:cs="Arial" w:eastAsia="Arial" w:hAnsi="Arial"/>
          <w:sz w:val="17"/>
          <w:szCs w:val="17"/>
          <w:u w:val="single" w:color="auto"/>
          <w:color w:val="0000EE"/>
        </w:rPr>
      </w:pPr>
      <w:hyperlink w:anchor="page59">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59">
        <w:r>
          <w:rPr>
            <w:rFonts w:ascii="Arial" w:cs="Arial" w:eastAsia="Arial" w:hAnsi="Arial"/>
            <w:sz w:val="17"/>
            <w:szCs w:val="17"/>
            <w:u w:val="single" w:color="auto"/>
            <w:color w:val="0000EE"/>
          </w:rPr>
          <w:t>MINE SAFETY DISCLOSURES</w:t>
        </w:r>
      </w:hyperlink>
    </w:p>
    <w:p>
      <w:pPr>
        <w:spacing w:after="0"/>
        <w:tabs>
          <w:tab w:leader="none" w:pos="740" w:val="left"/>
        </w:tabs>
        <w:rPr>
          <w:rFonts w:ascii="Arial" w:cs="Arial" w:eastAsia="Arial" w:hAnsi="Arial"/>
          <w:sz w:val="17"/>
          <w:szCs w:val="17"/>
          <w:u w:val="single" w:color="auto"/>
          <w:color w:val="0000EE"/>
        </w:rPr>
      </w:pPr>
      <w:hyperlink w:anchor="page59">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59">
        <w:r>
          <w:rPr>
            <w:rFonts w:ascii="Arial" w:cs="Arial" w:eastAsia="Arial" w:hAnsi="Arial"/>
            <w:sz w:val="17"/>
            <w:szCs w:val="17"/>
            <w:u w:val="single" w:color="auto"/>
            <w:color w:val="0000EE"/>
          </w:rPr>
          <w:t>OTHER INFORMATION</w:t>
        </w:r>
      </w:hyperlink>
    </w:p>
    <w:p>
      <w:pPr>
        <w:spacing w:after="0"/>
        <w:tabs>
          <w:tab w:leader="none" w:pos="740" w:val="left"/>
        </w:tabs>
        <w:rPr>
          <w:rFonts w:ascii="Arial" w:cs="Arial" w:eastAsia="Arial" w:hAnsi="Arial"/>
          <w:sz w:val="17"/>
          <w:szCs w:val="17"/>
          <w:u w:val="single" w:color="auto"/>
          <w:color w:val="0000EE"/>
        </w:rPr>
      </w:pPr>
      <w:hyperlink w:anchor="page60">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60">
        <w:r>
          <w:rPr>
            <w:rFonts w:ascii="Arial" w:cs="Arial" w:eastAsia="Arial" w:hAnsi="Arial"/>
            <w:sz w:val="17"/>
            <w:szCs w:val="17"/>
            <w:u w:val="single" w:color="auto"/>
            <w:color w:val="0000EE"/>
          </w:rPr>
          <w:t>EXHIBITS</w:t>
        </w:r>
      </w:hyperlink>
    </w:p>
    <w:p>
      <w:pPr>
        <w:ind w:left="76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52" w:lineRule="exact"/>
        <w:rPr>
          <w:sz w:val="20"/>
          <w:szCs w:val="20"/>
          <w:color w:val="auto"/>
        </w:rPr>
      </w:pPr>
    </w:p>
    <w:p>
      <w:pPr>
        <w:jc w:val="center"/>
        <w:ind w:left="8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61</w:t>
      </w:r>
    </w:p>
    <w:p>
      <w:pPr>
        <w:sectPr>
          <w:pgSz w:w="11900" w:h="16838" w:orient="portrait"/>
          <w:cols w:equalWidth="0" w:num="2">
            <w:col w:w="8260" w:space="620"/>
            <w:col w:w="180"/>
          </w:cols>
          <w:pgMar w:left="1420" w:top="530"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368"/>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000" w:type="dxa"/>
            <w:vAlign w:val="bottom"/>
            <w:tcBorders>
              <w:top w:val="single" w:sz="8" w:color="auto"/>
            </w:tcBorders>
            <w:gridSpan w:val="3"/>
          </w:tcPr>
          <w:p>
            <w:pPr>
              <w:jc w:val="right"/>
              <w:ind w:right="868"/>
              <w:spacing w:after="0"/>
              <w:rPr>
                <w:sz w:val="20"/>
                <w:szCs w:val="20"/>
                <w:color w:val="auto"/>
              </w:rPr>
            </w:pPr>
            <w:r>
              <w:rPr>
                <w:rFonts w:ascii="Arial" w:cs="Arial" w:eastAsia="Arial" w:hAnsi="Arial"/>
                <w:sz w:val="14"/>
                <w:szCs w:val="14"/>
                <w:b w:val="1"/>
                <w:bCs w:val="1"/>
                <w:i w:val="1"/>
                <w:iCs w:val="1"/>
                <w:color w:val="auto"/>
              </w:rPr>
              <w:t>(dollars 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22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113,346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128,838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Interest-bearing deposits</w:t>
            </w:r>
          </w:p>
        </w:tc>
        <w:tc>
          <w:tcPr>
            <w:tcW w:w="2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306,861</w:t>
            </w:r>
          </w:p>
        </w:tc>
        <w:tc>
          <w:tcPr>
            <w:tcW w:w="2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120"/>
              <w:spacing w:after="0"/>
              <w:rPr>
                <w:sz w:val="20"/>
                <w:szCs w:val="20"/>
                <w:color w:val="auto"/>
              </w:rPr>
            </w:pPr>
            <w:r>
              <w:rPr>
                <w:rFonts w:ascii="Arial" w:cs="Arial" w:eastAsia="Arial" w:hAnsi="Arial"/>
                <w:sz w:val="14"/>
                <w:szCs w:val="14"/>
                <w:color w:val="auto"/>
              </w:rPr>
              <w:t>Total cash and cash equivalents</w:t>
            </w: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420,207</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239,973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20"/>
                <w:szCs w:val="20"/>
                <w:color w:val="auto"/>
              </w:rPr>
            </w:pPr>
            <w:r>
              <w:rPr>
                <w:rFonts w:ascii="Arial" w:cs="Arial" w:eastAsia="Arial" w:hAnsi="Arial"/>
                <w:sz w:val="14"/>
                <w:szCs w:val="14"/>
                <w:color w:val="auto"/>
              </w:rPr>
              <w:t>Debt securities available for sale</w:t>
            </w: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1,848,073</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697,685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w w:val="94"/>
              </w:rPr>
              <w:t>Debt securities held to maturity (fair value 2019 $15,934; 2018</w:t>
            </w:r>
          </w:p>
        </w:tc>
        <w:tc>
          <w:tcPr>
            <w:tcW w:w="2200" w:type="dxa"/>
            <w:vAlign w:val="bottom"/>
            <w:shd w:val="clear" w:color="auto" w:fill="CCEEFF"/>
          </w:tcPr>
          <w:p>
            <w:pPr>
              <w:jc w:val="right"/>
              <w:ind w:right="1528"/>
              <w:spacing w:after="0"/>
              <w:rPr>
                <w:sz w:val="20"/>
                <w:szCs w:val="20"/>
                <w:color w:val="auto"/>
              </w:rPr>
            </w:pPr>
            <w:r>
              <w:rPr>
                <w:rFonts w:ascii="Arial" w:cs="Arial" w:eastAsia="Arial" w:hAnsi="Arial"/>
                <w:sz w:val="14"/>
                <w:szCs w:val="14"/>
                <w:color w:val="auto"/>
                <w:w w:val="91"/>
              </w:rPr>
              <w:t>$603,360)</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15,708</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608,660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20"/>
                <w:szCs w:val="20"/>
                <w:color w:val="auto"/>
              </w:rPr>
            </w:pPr>
            <w:r>
              <w:rPr>
                <w:rFonts w:ascii="Arial" w:cs="Arial" w:eastAsia="Arial" w:hAnsi="Arial"/>
                <w:sz w:val="14"/>
                <w:szCs w:val="14"/>
                <w:color w:val="auto"/>
              </w:rPr>
              <w:t>Equity securities</w:t>
            </w: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5,362</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6,169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Loans held for sale, at fair value</w:t>
            </w:r>
          </w:p>
        </w:tc>
        <w:tc>
          <w:tcPr>
            <w:tcW w:w="2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39,607</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gridSpan w:val="2"/>
          </w:tcPr>
          <w:p>
            <w:pPr>
              <w:spacing w:after="0"/>
              <w:rPr>
                <w:sz w:val="20"/>
                <w:szCs w:val="20"/>
                <w:color w:val="auto"/>
              </w:rPr>
            </w:pPr>
            <w:r>
              <w:rPr>
                <w:rFonts w:ascii="Arial" w:cs="Arial" w:eastAsia="Arial" w:hAnsi="Arial"/>
                <w:sz w:val="14"/>
                <w:szCs w:val="14"/>
                <w:color w:val="auto"/>
              </w:rPr>
              <w:t>Portfolio loans (net of allowance for loan losses 2019 $51,375; 2018 $50,648)</w:t>
            </w:r>
          </w:p>
        </w:tc>
        <w:tc>
          <w:tcPr>
            <w:tcW w:w="2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6,480,751</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5,517,780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Premises and equipment, net</w:t>
            </w:r>
          </w:p>
        </w:tc>
        <w:tc>
          <w:tcPr>
            <w:tcW w:w="2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149,726</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20"/>
                <w:szCs w:val="20"/>
                <w:color w:val="auto"/>
              </w:rPr>
            </w:pPr>
            <w:r>
              <w:rPr>
                <w:rFonts w:ascii="Arial" w:cs="Arial" w:eastAsia="Arial" w:hAnsi="Arial"/>
                <w:sz w:val="14"/>
                <w:szCs w:val="14"/>
                <w:color w:val="auto"/>
              </w:rPr>
              <w:t>Right of use asset</w:t>
            </w: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10,426</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2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314,343</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267,685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20"/>
                <w:szCs w:val="20"/>
                <w:color w:val="auto"/>
              </w:rPr>
            </w:pPr>
            <w:r>
              <w:rPr>
                <w:rFonts w:ascii="Arial" w:cs="Arial" w:eastAsia="Arial" w:hAnsi="Arial"/>
                <w:sz w:val="14"/>
                <w:szCs w:val="14"/>
                <w:color w:val="auto"/>
              </w:rPr>
              <w:t>Other intangible assets, net</w:t>
            </w: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60,984</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32,873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Cash surrender value of bank owned life insurance</w:t>
            </w:r>
          </w:p>
        </w:tc>
        <w:tc>
          <w:tcPr>
            <w:tcW w:w="2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173,150</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w:t>
            </w:r>
          </w:p>
        </w:tc>
        <w:tc>
          <w:tcPr>
            <w:tcW w:w="2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94,330</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assets</w:t>
            </w:r>
          </w:p>
        </w:tc>
        <w:tc>
          <w:tcPr>
            <w:tcW w:w="2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9,612,667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7,702,357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vMerge w:val="continue"/>
          </w:tcPr>
          <w:p>
            <w:pPr>
              <w:spacing w:after="0"/>
              <w:rPr>
                <w:sz w:val="13"/>
                <w:szCs w:val="13"/>
                <w:color w:val="auto"/>
              </w:rPr>
            </w:pPr>
          </w:p>
        </w:tc>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2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20"/>
              <w:spacing w:after="0"/>
              <w:rPr>
                <w:sz w:val="20"/>
                <w:szCs w:val="20"/>
                <w:color w:val="auto"/>
              </w:rPr>
            </w:pPr>
            <w:r>
              <w:rPr>
                <w:rFonts w:ascii="Arial" w:cs="Arial" w:eastAsia="Arial" w:hAnsi="Arial"/>
                <w:sz w:val="14"/>
                <w:szCs w:val="14"/>
                <w:color w:val="auto"/>
              </w:rPr>
              <w:t>Deposits:</w:t>
            </w: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Noninterest-bearing</w:t>
            </w:r>
          </w:p>
        </w:tc>
        <w:tc>
          <w:tcPr>
            <w:tcW w:w="2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4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1,766,681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1,464,700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Interest-bearing</w:t>
            </w:r>
          </w:p>
        </w:tc>
        <w:tc>
          <w:tcPr>
            <w:tcW w:w="2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6,066,541</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4,784,621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deposits</w:t>
            </w:r>
          </w:p>
        </w:tc>
        <w:tc>
          <w:tcPr>
            <w:tcW w:w="2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7,833,222</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6,249,321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Securities sold under agreements to repurchase</w:t>
            </w:r>
          </w:p>
        </w:tc>
        <w:tc>
          <w:tcPr>
            <w:tcW w:w="2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190,846</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20"/>
                <w:szCs w:val="20"/>
                <w:color w:val="auto"/>
              </w:rPr>
            </w:pPr>
            <w:r>
              <w:rPr>
                <w:rFonts w:ascii="Arial" w:cs="Arial" w:eastAsia="Arial" w:hAnsi="Arial"/>
                <w:sz w:val="14"/>
                <w:szCs w:val="14"/>
                <w:color w:val="auto"/>
              </w:rPr>
              <w:t>Short-term borrowings</w:t>
            </w: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30,761</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Long-term debt</w:t>
            </w:r>
          </w:p>
        </w:tc>
        <w:tc>
          <w:tcPr>
            <w:tcW w:w="2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86,772</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20"/>
                <w:szCs w:val="20"/>
                <w:color w:val="auto"/>
              </w:rPr>
            </w:pPr>
            <w:r>
              <w:rPr>
                <w:rFonts w:ascii="Arial" w:cs="Arial" w:eastAsia="Arial" w:hAnsi="Arial"/>
                <w:sz w:val="14"/>
                <w:szCs w:val="14"/>
                <w:color w:val="auto"/>
              </w:rPr>
              <w:t>Senior notes, net of unamortized issuance costs</w:t>
            </w: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39,607</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39,539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Subordinated notes, net of unamortized issuance costs</w:t>
            </w:r>
          </w:p>
        </w:tc>
        <w:tc>
          <w:tcPr>
            <w:tcW w:w="2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59,197</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20"/>
                <w:szCs w:val="20"/>
                <w:color w:val="auto"/>
              </w:rPr>
            </w:pPr>
            <w:r>
              <w:rPr>
                <w:rFonts w:ascii="Arial" w:cs="Arial" w:eastAsia="Arial" w:hAnsi="Arial"/>
                <w:sz w:val="14"/>
                <w:szCs w:val="14"/>
                <w:color w:val="auto"/>
              </w:rPr>
              <w:t>Junior subordinated debt owed to unconsolidated trusts</w:t>
            </w: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71,230</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71,155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Lease liability</w:t>
            </w:r>
          </w:p>
        </w:tc>
        <w:tc>
          <w:tcPr>
            <w:tcW w:w="2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10,531</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liabilities</w:t>
            </w:r>
          </w:p>
        </w:tc>
        <w:tc>
          <w:tcPr>
            <w:tcW w:w="2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86,893</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liabilities</w:t>
            </w:r>
          </w:p>
        </w:tc>
        <w:tc>
          <w:tcPr>
            <w:tcW w:w="2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8,409,059</w:t>
            </w:r>
          </w:p>
        </w:tc>
        <w:tc>
          <w:tcPr>
            <w:tcW w:w="2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6,707,393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Outstanding commitments and contingent liabilities (see Note 10</w:t>
            </w:r>
            <w:r>
              <w:rPr>
                <w:rFonts w:ascii="Arial" w:cs="Arial" w:eastAsia="Arial" w:hAnsi="Arial"/>
                <w:sz w:val="14"/>
                <w:szCs w:val="14"/>
                <w:i w:val="1"/>
                <w:iCs w:val="1"/>
                <w:color w:val="auto"/>
              </w:rPr>
              <w:t>)</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2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60" w:type="dxa"/>
            <w:vAlign w:val="bottom"/>
          </w:tcPr>
          <w:p>
            <w:pPr>
              <w:spacing w:after="0"/>
              <w:rPr>
                <w:sz w:val="20"/>
                <w:szCs w:val="20"/>
                <w:color w:val="auto"/>
              </w:rPr>
            </w:pPr>
            <w:r>
              <w:rPr>
                <w:rFonts w:ascii="Arial" w:cs="Arial" w:eastAsia="Arial" w:hAnsi="Arial"/>
                <w:sz w:val="14"/>
                <w:szCs w:val="14"/>
                <w:color w:val="auto"/>
                <w:w w:val="92"/>
              </w:rPr>
              <w:t>Common stock, $.001 par value, authorized 66,666,667 shares;</w:t>
            </w:r>
          </w:p>
        </w:tc>
        <w:tc>
          <w:tcPr>
            <w:tcW w:w="2200" w:type="dxa"/>
            <w:vAlign w:val="bottom"/>
          </w:tcPr>
          <w:p>
            <w:pPr>
              <w:jc w:val="right"/>
              <w:ind w:right="308"/>
              <w:spacing w:after="0"/>
              <w:rPr>
                <w:sz w:val="20"/>
                <w:szCs w:val="20"/>
                <w:color w:val="auto"/>
              </w:rPr>
            </w:pPr>
            <w:r>
              <w:rPr>
                <w:rFonts w:ascii="Arial" w:cs="Arial" w:eastAsia="Arial" w:hAnsi="Arial"/>
                <w:sz w:val="14"/>
                <w:szCs w:val="14"/>
                <w:color w:val="auto"/>
                <w:w w:val="92"/>
              </w:rPr>
              <w:t>55,910,733 shares issued 2019</w:t>
            </w:r>
          </w:p>
        </w:tc>
        <w:tc>
          <w:tcPr>
            <w:tcW w:w="200" w:type="dxa"/>
            <w:vAlign w:val="bottom"/>
          </w:tcPr>
          <w:p>
            <w:pPr>
              <w:spacing w:after="0"/>
              <w:rPr>
                <w:sz w:val="14"/>
                <w:szCs w:val="14"/>
                <w:color w:val="auto"/>
              </w:rPr>
            </w:pPr>
          </w:p>
        </w:tc>
        <w:tc>
          <w:tcPr>
            <w:tcW w:w="14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56</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660" w:type="dxa"/>
            <w:vAlign w:val="bottom"/>
          </w:tcPr>
          <w:p>
            <w:pPr>
              <w:spacing w:after="0"/>
              <w:rPr>
                <w:sz w:val="20"/>
                <w:szCs w:val="20"/>
                <w:color w:val="auto"/>
              </w:rPr>
            </w:pPr>
            <w:r>
              <w:rPr>
                <w:rFonts w:ascii="Arial" w:cs="Arial" w:eastAsia="Arial" w:hAnsi="Arial"/>
                <w:sz w:val="14"/>
                <w:szCs w:val="14"/>
                <w:color w:val="auto"/>
              </w:rPr>
              <w:t>and 49,185,581 shares issued 2018</w:t>
            </w: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1,246,160</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1,080,084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20"/>
                <w:szCs w:val="20"/>
                <w:color w:val="auto"/>
              </w:rPr>
            </w:pPr>
            <w:r>
              <w:rPr>
                <w:rFonts w:ascii="Arial" w:cs="Arial" w:eastAsia="Arial" w:hAnsi="Arial"/>
                <w:sz w:val="14"/>
                <w:szCs w:val="14"/>
                <w:color w:val="auto"/>
              </w:rPr>
              <w:t>Accumulated deficit</w:t>
            </w: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(44,878)</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(72,167)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income (loss)</w:t>
            </w:r>
          </w:p>
        </w:tc>
        <w:tc>
          <w:tcPr>
            <w:tcW w:w="2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14,627</w:t>
            </w:r>
          </w:p>
        </w:tc>
        <w:tc>
          <w:tcPr>
            <w:tcW w:w="2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440"/>
              <w:spacing w:after="0"/>
              <w:rPr>
                <w:sz w:val="20"/>
                <w:szCs w:val="20"/>
                <w:color w:val="auto"/>
              </w:rPr>
            </w:pPr>
            <w:r>
              <w:rPr>
                <w:rFonts w:ascii="Arial" w:cs="Arial" w:eastAsia="Arial" w:hAnsi="Arial"/>
                <w:sz w:val="14"/>
                <w:szCs w:val="14"/>
                <w:color w:val="auto"/>
              </w:rPr>
              <w:t>Total stockholders’ equity before treasury stock</w:t>
            </w: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1,215,965</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1,001,154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60" w:type="dxa"/>
            <w:vAlign w:val="bottom"/>
            <w:gridSpan w:val="2"/>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Treasury stock, at cost (2019 524,097 shares; 2018 310,745 shares)</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(12,357)</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stockholders’ equity</w:t>
            </w:r>
          </w:p>
        </w:tc>
        <w:tc>
          <w:tcPr>
            <w:tcW w:w="2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1,203,608</w:t>
            </w:r>
          </w:p>
        </w:tc>
        <w:tc>
          <w:tcPr>
            <w:tcW w:w="2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994,964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liabilities and stockholders’ equity</w:t>
            </w:r>
          </w:p>
        </w:tc>
        <w:tc>
          <w:tcPr>
            <w:tcW w:w="2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9,612,667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7,702,357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20"/>
                <w:szCs w:val="20"/>
                <w:color w:val="auto"/>
              </w:rPr>
            </w:pPr>
            <w:r>
              <w:rPr>
                <w:rFonts w:ascii="Arial" w:cs="Arial" w:eastAsia="Arial" w:hAnsi="Arial"/>
                <w:sz w:val="14"/>
                <w:szCs w:val="14"/>
                <w:color w:val="auto"/>
              </w:rPr>
              <w:t>Common shares outstanding at period end</w:t>
            </w:r>
          </w:p>
        </w:tc>
        <w:tc>
          <w:tcPr>
            <w:tcW w:w="2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55,386,636</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48,874,836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0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0" w:type="dxa"/>
            <w:vAlign w:val="bottom"/>
            <w:gridSpan w:val="7"/>
          </w:tcPr>
          <w:p>
            <w:pPr>
              <w:jc w:val="right"/>
              <w:ind w:right="148"/>
              <w:spacing w:after="0"/>
              <w:rPr>
                <w:sz w:val="20"/>
                <w:szCs w:val="20"/>
                <w:color w:val="auto"/>
              </w:rPr>
            </w:pPr>
            <w:r>
              <w:rPr>
                <w:rFonts w:ascii="Arial" w:cs="Arial" w:eastAsia="Arial" w:hAnsi="Arial"/>
                <w:sz w:val="14"/>
                <w:szCs w:val="14"/>
                <w:b w:val="1"/>
                <w:bCs w:val="1"/>
                <w:i w:val="1"/>
                <w:iCs w:val="1"/>
                <w:color w:val="auto"/>
              </w:rPr>
              <w:t>(dollars in thousands, except per share amounts)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Interest and fees on loans</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78,031</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62,290</w:t>
            </w:r>
          </w:p>
        </w:tc>
        <w:tc>
          <w:tcPr>
            <w:tcW w:w="18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149,820</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123,250</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and dividends on investment securities: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340"/>
              <w:spacing w:after="0"/>
              <w:rPr>
                <w:sz w:val="20"/>
                <w:szCs w:val="20"/>
                <w:color w:val="auto"/>
              </w:rPr>
            </w:pPr>
            <w:r>
              <w:rPr>
                <w:rFonts w:ascii="Arial" w:cs="Arial" w:eastAsia="Arial" w:hAnsi="Arial"/>
                <w:sz w:val="14"/>
                <w:szCs w:val="14"/>
                <w:color w:val="auto"/>
              </w:rPr>
              <w:t>Taxable interest income</w:t>
            </w:r>
          </w:p>
        </w:tc>
        <w:tc>
          <w:tcPr>
            <w:tcW w:w="22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11,152</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6,323</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21,336</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12,313</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Non-taxable interest income</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1,200</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2,276</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w:t>
            </w:r>
          </w:p>
        </w:tc>
        <w:tc>
          <w:tcPr>
            <w:tcW w:w="0" w:type="dxa"/>
            <w:vAlign w:val="bottom"/>
          </w:tcPr>
          <w:p>
            <w:pPr>
              <w:spacing w:after="0"/>
              <w:rPr>
                <w:sz w:val="1"/>
                <w:szCs w:val="1"/>
                <w:color w:val="auto"/>
              </w:rPr>
            </w:pPr>
          </w:p>
        </w:tc>
      </w:tr>
      <w:tr>
        <w:trPr>
          <w:trHeight w:val="176"/>
        </w:trPr>
        <w:tc>
          <w:tcPr>
            <w:tcW w:w="39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Other interest income</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1,083</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2,315</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169"/>
        </w:trPr>
        <w:tc>
          <w:tcPr>
            <w:tcW w:w="3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interest income</w:t>
            </w: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91,466</w:t>
            </w:r>
          </w:p>
        </w:tc>
        <w:tc>
          <w:tcPr>
            <w:tcW w:w="3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70,325</w:t>
            </w:r>
          </w:p>
        </w:tc>
        <w:tc>
          <w:tcPr>
            <w:tcW w:w="1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175,747</w:t>
            </w: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138,958</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14,154</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6,904</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26,654</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12,891</w:t>
            </w:r>
          </w:p>
        </w:tc>
        <w:tc>
          <w:tcPr>
            <w:tcW w:w="0" w:type="dxa"/>
            <w:vAlign w:val="bottom"/>
          </w:tcPr>
          <w:p>
            <w:pPr>
              <w:spacing w:after="0"/>
              <w:rPr>
                <w:sz w:val="1"/>
                <w:szCs w:val="1"/>
                <w:color w:val="auto"/>
              </w:rPr>
            </w:pPr>
          </w:p>
        </w:tc>
      </w:tr>
      <w:tr>
        <w:trPr>
          <w:trHeight w:val="182"/>
        </w:trPr>
        <w:tc>
          <w:tcPr>
            <w:tcW w:w="3960" w:type="dxa"/>
            <w:vAlign w:val="bottom"/>
          </w:tcPr>
          <w:p>
            <w:pPr>
              <w:ind w:left="220"/>
              <w:spacing w:after="0"/>
              <w:rPr>
                <w:sz w:val="20"/>
                <w:szCs w:val="20"/>
                <w:color w:val="auto"/>
              </w:rPr>
            </w:pPr>
            <w:r>
              <w:rPr>
                <w:rFonts w:ascii="Arial" w:cs="Arial" w:eastAsia="Arial" w:hAnsi="Arial"/>
                <w:sz w:val="14"/>
                <w:szCs w:val="14"/>
                <w:color w:val="auto"/>
              </w:rPr>
              <w:t>Federal funds purchased and securities sold under</w:t>
            </w:r>
          </w:p>
        </w:tc>
        <w:tc>
          <w:tcPr>
            <w:tcW w:w="220" w:type="dxa"/>
            <w:vAlign w:val="bottom"/>
          </w:tcPr>
          <w:p>
            <w:pPr>
              <w:spacing w:after="0"/>
              <w:rPr>
                <w:sz w:val="15"/>
                <w:szCs w:val="15"/>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627</w:t>
            </w: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372</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1,210</w:t>
            </w: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69"/>
        </w:trPr>
        <w:tc>
          <w:tcPr>
            <w:tcW w:w="3960" w:type="dxa"/>
            <w:vAlign w:val="bottom"/>
          </w:tcPr>
          <w:p>
            <w:pPr>
              <w:ind w:left="300"/>
              <w:spacing w:after="0"/>
              <w:rPr>
                <w:sz w:val="20"/>
                <w:szCs w:val="20"/>
                <w:color w:val="auto"/>
              </w:rPr>
            </w:pPr>
            <w:r>
              <w:rPr>
                <w:rFonts w:ascii="Arial" w:cs="Arial" w:eastAsia="Arial" w:hAnsi="Arial"/>
                <w:sz w:val="14"/>
                <w:szCs w:val="14"/>
                <w:color w:val="auto"/>
              </w:rPr>
              <w:t>agreements to repurchase</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Short-term borrowings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494</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685</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Long-term debt</w:t>
            </w:r>
          </w:p>
        </w:tc>
        <w:tc>
          <w:tcPr>
            <w:tcW w:w="22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741</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213</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1,320</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Senior notes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399</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799</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Subordinated notes</w:t>
            </w:r>
          </w:p>
        </w:tc>
        <w:tc>
          <w:tcPr>
            <w:tcW w:w="22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731</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1,462</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1,587</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Junior subordinated debt owed to unconsolidated trusts</w:t>
            </w:r>
          </w:p>
        </w:tc>
        <w:tc>
          <w:tcPr>
            <w:tcW w:w="2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892</w:t>
            </w:r>
          </w:p>
        </w:tc>
        <w:tc>
          <w:tcPr>
            <w:tcW w:w="3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1,806</w:t>
            </w: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0" w:type="dxa"/>
            <w:vAlign w:val="bottom"/>
          </w:tcPr>
          <w:p>
            <w:pPr>
              <w:spacing w:after="0"/>
              <w:rPr>
                <w:sz w:val="1"/>
                <w:szCs w:val="1"/>
                <w:color w:val="auto"/>
              </w:rPr>
            </w:pPr>
          </w:p>
        </w:tc>
      </w:tr>
      <w:tr>
        <w:trPr>
          <w:trHeight w:val="169"/>
        </w:trPr>
        <w:tc>
          <w:tcPr>
            <w:tcW w:w="396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interest expense</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18,038</w:t>
            </w: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9,953</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33,936</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18,829</w:t>
            </w:r>
          </w:p>
        </w:tc>
        <w:tc>
          <w:tcPr>
            <w:tcW w:w="0" w:type="dxa"/>
            <w:vAlign w:val="bottom"/>
          </w:tcPr>
          <w:p>
            <w:pPr>
              <w:spacing w:after="0"/>
              <w:rPr>
                <w:sz w:val="1"/>
                <w:szCs w:val="1"/>
                <w:color w:val="auto"/>
              </w:rPr>
            </w:pPr>
          </w:p>
        </w:tc>
      </w:tr>
      <w:tr>
        <w:trPr>
          <w:trHeight w:val="169"/>
        </w:trPr>
        <w:tc>
          <w:tcPr>
            <w:tcW w:w="3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interest income</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73,428</w:t>
            </w: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60,372</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141,811</w:t>
            </w: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120,129</w:t>
            </w:r>
          </w:p>
        </w:tc>
        <w:tc>
          <w:tcPr>
            <w:tcW w:w="0" w:type="dxa"/>
            <w:vAlign w:val="bottom"/>
          </w:tcPr>
          <w:p>
            <w:pPr>
              <w:spacing w:after="0"/>
              <w:rPr>
                <w:sz w:val="1"/>
                <w:szCs w:val="1"/>
                <w:color w:val="auto"/>
              </w:rPr>
            </w:pPr>
          </w:p>
        </w:tc>
      </w:tr>
      <w:tr>
        <w:trPr>
          <w:trHeight w:val="17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Provision for loan losses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2,517</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2,258</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4,628</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169"/>
        </w:trPr>
        <w:tc>
          <w:tcPr>
            <w:tcW w:w="3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interest income after provision for loan losses</w:t>
            </w: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70,911</w:t>
            </w:r>
          </w:p>
        </w:tc>
        <w:tc>
          <w:tcPr>
            <w:tcW w:w="3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58,114</w:t>
            </w:r>
          </w:p>
        </w:tc>
        <w:tc>
          <w:tcPr>
            <w:tcW w:w="1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137,183</w:t>
            </w: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116,863</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Arial" w:cs="Arial" w:eastAsia="Arial" w:hAnsi="Arial"/>
                <w:sz w:val="14"/>
                <w:szCs w:val="14"/>
                <w:b w:val="1"/>
                <w:bCs w:val="1"/>
                <w:color w:val="auto"/>
              </w:rPr>
              <w:t>Non-interest income:</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Fees for customer services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9,696</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7,290</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17,793</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14,236</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Trust fees</w:t>
            </w:r>
          </w:p>
        </w:tc>
        <w:tc>
          <w:tcPr>
            <w:tcW w:w="22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8,318</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6,735</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16,433</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14,249</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Commissions and brokers’ fees, net</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1,170</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2,084</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Remittance processing</w:t>
            </w:r>
          </w:p>
        </w:tc>
        <w:tc>
          <w:tcPr>
            <w:tcW w:w="22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3,717</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3,566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7,497</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6,958</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Mortgage revenue</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2,851</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4,796</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Net (losses) gains on sales of securities</w:t>
            </w:r>
          </w:p>
        </w:tc>
        <w:tc>
          <w:tcPr>
            <w:tcW w:w="22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(10)</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(184)</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(losses) gains recognized on equity securities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(1,016)</w:t>
            </w:r>
          </w:p>
        </w:tc>
        <w:tc>
          <w:tcPr>
            <w:tcW w:w="3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(800)</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income</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3,170</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2,595</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6,222</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4,490</w:t>
            </w:r>
          </w:p>
        </w:tc>
        <w:tc>
          <w:tcPr>
            <w:tcW w:w="0" w:type="dxa"/>
            <w:vAlign w:val="bottom"/>
          </w:tcPr>
          <w:p>
            <w:pPr>
              <w:spacing w:after="0"/>
              <w:rPr>
                <w:sz w:val="1"/>
                <w:szCs w:val="1"/>
                <w:color w:val="auto"/>
              </w:rPr>
            </w:pPr>
          </w:p>
        </w:tc>
      </w:tr>
      <w:tr>
        <w:trPr>
          <w:trHeight w:val="169"/>
        </w:trPr>
        <w:tc>
          <w:tcPr>
            <w:tcW w:w="3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non-interest income</w:t>
            </w: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27,896</w:t>
            </w:r>
          </w:p>
        </w:tc>
        <w:tc>
          <w:tcPr>
            <w:tcW w:w="3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22,802</w:t>
            </w:r>
          </w:p>
        </w:tc>
        <w:tc>
          <w:tcPr>
            <w:tcW w:w="1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53,841</w:t>
            </w: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45,288</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Arial" w:cs="Arial" w:eastAsia="Arial" w:hAnsi="Arial"/>
                <w:sz w:val="14"/>
                <w:szCs w:val="14"/>
                <w:b w:val="1"/>
                <w:bCs w:val="1"/>
                <w:color w:val="auto"/>
              </w:rPr>
              <w:t>Non-interest expense:</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Salaries, wages and employee benefits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34,268</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25,472</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66,609</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54,291</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Net occupancy expense of premises</w:t>
            </w:r>
          </w:p>
        </w:tc>
        <w:tc>
          <w:tcPr>
            <w:tcW w:w="22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4,511</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3,689</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8,713</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7,510</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Furniture and equipment expenses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2,352</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4,447</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3,703</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Data processing</w:t>
            </w:r>
          </w:p>
        </w:tc>
        <w:tc>
          <w:tcPr>
            <w:tcW w:w="22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5,616</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4,030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10,017</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8,375</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2,412</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4,506</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3,005</w:t>
            </w:r>
          </w:p>
        </w:tc>
        <w:tc>
          <w:tcPr>
            <w:tcW w:w="0" w:type="dxa"/>
            <w:vAlign w:val="bottom"/>
          </w:tcPr>
          <w:p>
            <w:pPr>
              <w:spacing w:after="0"/>
              <w:rPr>
                <w:sz w:val="1"/>
                <w:szCs w:val="1"/>
                <w:color w:val="auto"/>
              </w:rPr>
            </w:pPr>
          </w:p>
        </w:tc>
      </w:tr>
      <w:tr>
        <w:trPr>
          <w:trHeight w:val="17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expense</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18,861</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10,834</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30,891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21,461</w:t>
            </w:r>
          </w:p>
        </w:tc>
        <w:tc>
          <w:tcPr>
            <w:tcW w:w="0" w:type="dxa"/>
            <w:vAlign w:val="bottom"/>
          </w:tcPr>
          <w:p>
            <w:pPr>
              <w:spacing w:after="0"/>
              <w:rPr>
                <w:sz w:val="1"/>
                <w:szCs w:val="1"/>
                <w:color w:val="auto"/>
              </w:rPr>
            </w:pPr>
          </w:p>
        </w:tc>
      </w:tr>
      <w:tr>
        <w:trPr>
          <w:trHeight w:val="169"/>
        </w:trPr>
        <w:tc>
          <w:tcPr>
            <w:tcW w:w="3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non-interest expense</w:t>
            </w: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68,020</w:t>
            </w:r>
          </w:p>
        </w:tc>
        <w:tc>
          <w:tcPr>
            <w:tcW w:w="3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47,305</w:t>
            </w:r>
          </w:p>
        </w:tc>
        <w:tc>
          <w:tcPr>
            <w:tcW w:w="1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125,183</w:t>
            </w: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98,345</w:t>
            </w:r>
          </w:p>
        </w:tc>
        <w:tc>
          <w:tcPr>
            <w:tcW w:w="0" w:type="dxa"/>
            <w:vAlign w:val="bottom"/>
          </w:tcPr>
          <w:p>
            <w:pPr>
              <w:spacing w:after="0"/>
              <w:rPr>
                <w:sz w:val="1"/>
                <w:szCs w:val="1"/>
                <w:color w:val="auto"/>
              </w:rPr>
            </w:pPr>
          </w:p>
        </w:tc>
      </w:tr>
      <w:tr>
        <w:trPr>
          <w:trHeight w:val="169"/>
        </w:trPr>
        <w:tc>
          <w:tcPr>
            <w:tcW w:w="3960" w:type="dxa"/>
            <w:vAlign w:val="bottom"/>
          </w:tcPr>
          <w:p>
            <w:pPr>
              <w:ind w:left="440"/>
              <w:spacing w:after="0"/>
              <w:rPr>
                <w:sz w:val="20"/>
                <w:szCs w:val="20"/>
                <w:color w:val="auto"/>
              </w:rPr>
            </w:pPr>
            <w:r>
              <w:rPr>
                <w:rFonts w:ascii="Arial" w:cs="Arial" w:eastAsia="Arial" w:hAnsi="Arial"/>
                <w:sz w:val="14"/>
                <w:szCs w:val="14"/>
                <w:color w:val="auto"/>
              </w:rPr>
              <w:t>Income before income taxes</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30,787</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33,611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65,841</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63,806</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w:t>
            </w:r>
          </w:p>
        </w:tc>
        <w:tc>
          <w:tcPr>
            <w:tcW w:w="2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6,702</w:t>
            </w:r>
          </w:p>
        </w:tc>
        <w:tc>
          <w:tcPr>
            <w:tcW w:w="3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8,749</w:t>
            </w:r>
          </w:p>
        </w:tc>
        <w:tc>
          <w:tcPr>
            <w:tcW w:w="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16,287</w:t>
            </w: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17,027</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CCEEFF"/>
            </w:tcBorders>
          </w:tcPr>
          <w:p>
            <w:pPr>
              <w:ind w:left="440"/>
              <w:spacing w:after="0"/>
              <w:rPr>
                <w:sz w:val="20"/>
                <w:szCs w:val="20"/>
                <w:color w:val="auto"/>
              </w:rPr>
            </w:pPr>
            <w:r>
              <w:rPr>
                <w:rFonts w:ascii="Arial" w:cs="Arial" w:eastAsia="Arial" w:hAnsi="Arial"/>
                <w:sz w:val="14"/>
                <w:szCs w:val="14"/>
                <w:b w:val="1"/>
                <w:bCs w:val="1"/>
                <w:color w:val="auto"/>
              </w:rPr>
              <w:t>Net income</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24,085</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24,862</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49,554</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46,779</w:t>
            </w:r>
          </w:p>
        </w:tc>
        <w:tc>
          <w:tcPr>
            <w:tcW w:w="0" w:type="dxa"/>
            <w:vAlign w:val="bottom"/>
          </w:tcPr>
          <w:p>
            <w:pPr>
              <w:spacing w:after="0"/>
              <w:rPr>
                <w:sz w:val="1"/>
                <w:szCs w:val="1"/>
                <w:color w:val="auto"/>
              </w:rPr>
            </w:pPr>
          </w:p>
        </w:tc>
      </w:tr>
      <w:tr>
        <w:trPr>
          <w:trHeight w:val="156"/>
        </w:trPr>
        <w:tc>
          <w:tcPr>
            <w:tcW w:w="3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Basic earnings per common share</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0.43</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0.51</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0.91</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156"/>
        </w:trPr>
        <w:tc>
          <w:tcPr>
            <w:tcW w:w="39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Diluted earnings per common share</w:t>
            </w:r>
          </w:p>
        </w:tc>
        <w:tc>
          <w:tcPr>
            <w:tcW w:w="220" w:type="dxa"/>
            <w:vAlign w:val="bottom"/>
            <w:tcBorders>
              <w:bottom w:val="single" w:sz="8" w:color="auto"/>
            </w:tcBorders>
            <w:shd w:val="clear" w:color="auto" w:fill="CCEEFF"/>
          </w:tcPr>
          <w:p>
            <w:pPr>
              <w:jc w:val="right"/>
              <w:ind w:right="68"/>
              <w:spacing w:after="0" w:line="156"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CEEFF"/>
          </w:tcPr>
          <w:p>
            <w:pPr>
              <w:jc w:val="right"/>
              <w:ind w:right="68"/>
              <w:spacing w:after="0" w:line="156" w:lineRule="exact"/>
              <w:rPr>
                <w:sz w:val="20"/>
                <w:szCs w:val="20"/>
                <w:color w:val="auto"/>
              </w:rPr>
            </w:pPr>
            <w:r>
              <w:rPr>
                <w:rFonts w:ascii="Arial" w:cs="Arial" w:eastAsia="Arial" w:hAnsi="Arial"/>
                <w:sz w:val="14"/>
                <w:szCs w:val="14"/>
                <w:b w:val="1"/>
                <w:bCs w:val="1"/>
                <w:color w:val="auto"/>
              </w:rPr>
              <w:t>0.43</w:t>
            </w:r>
          </w:p>
        </w:tc>
        <w:tc>
          <w:tcPr>
            <w:tcW w:w="380" w:type="dxa"/>
            <w:vAlign w:val="bottom"/>
            <w:tcBorders>
              <w:bottom w:val="single" w:sz="8" w:color="auto"/>
            </w:tcBorders>
            <w:shd w:val="clear" w:color="auto" w:fill="CCEEFF"/>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0.51</w:t>
            </w:r>
          </w:p>
        </w:tc>
        <w:tc>
          <w:tcPr>
            <w:tcW w:w="1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08"/>
              <w:spacing w:after="0" w:line="156"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ind w:right="68"/>
              <w:spacing w:after="0" w:line="156" w:lineRule="exact"/>
              <w:rPr>
                <w:sz w:val="20"/>
                <w:szCs w:val="20"/>
                <w:color w:val="auto"/>
              </w:rPr>
            </w:pPr>
            <w:r>
              <w:rPr>
                <w:rFonts w:ascii="Arial" w:cs="Arial" w:eastAsia="Arial" w:hAnsi="Arial"/>
                <w:sz w:val="14"/>
                <w:szCs w:val="14"/>
                <w:b w:val="1"/>
                <w:bCs w:val="1"/>
                <w:color w:val="auto"/>
              </w:rPr>
              <w:t>0.90</w:t>
            </w:r>
          </w:p>
        </w:tc>
        <w:tc>
          <w:tcPr>
            <w:tcW w:w="380" w:type="dxa"/>
            <w:vAlign w:val="bottom"/>
            <w:tcBorders>
              <w:bottom w:val="single" w:sz="8" w:color="auto"/>
            </w:tcBorders>
            <w:shd w:val="clear" w:color="auto" w:fill="CCEEFF"/>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Dividends declared per share of common stock</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vMerge w:val="continue"/>
          </w:tcPr>
          <w:p>
            <w:pPr>
              <w:spacing w:after="0"/>
              <w:rPr>
                <w:sz w:val="13"/>
                <w:szCs w:val="13"/>
                <w:color w:val="auto"/>
              </w:rPr>
            </w:pPr>
          </w:p>
        </w:tc>
        <w:tc>
          <w:tcPr>
            <w:tcW w:w="220" w:type="dxa"/>
            <w:vAlign w:val="bottom"/>
            <w:tcBorders>
              <w:bottom w:val="single" w:sz="8" w:color="auto"/>
            </w:tcBorders>
          </w:tcPr>
          <w:p>
            <w:pPr>
              <w:jc w:val="right"/>
              <w:ind w:right="68"/>
              <w:spacing w:after="0" w:line="156"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tcPr>
          <w:p>
            <w:pPr>
              <w:jc w:val="right"/>
              <w:ind w:right="68"/>
              <w:spacing w:after="0" w:line="156" w:lineRule="exact"/>
              <w:rPr>
                <w:sz w:val="20"/>
                <w:szCs w:val="20"/>
                <w:color w:val="auto"/>
              </w:rPr>
            </w:pPr>
            <w:r>
              <w:rPr>
                <w:rFonts w:ascii="Arial" w:cs="Arial" w:eastAsia="Arial" w:hAnsi="Arial"/>
                <w:sz w:val="14"/>
                <w:szCs w:val="14"/>
                <w:b w:val="1"/>
                <w:bCs w:val="1"/>
                <w:color w:val="auto"/>
              </w:rPr>
              <w:t>0.21</w:t>
            </w:r>
          </w:p>
        </w:tc>
        <w:tc>
          <w:tcPr>
            <w:tcW w:w="380" w:type="dxa"/>
            <w:vAlign w:val="bottom"/>
            <w:tcBorders>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0.20</w:t>
            </w:r>
          </w:p>
        </w:tc>
        <w:tc>
          <w:tcPr>
            <w:tcW w:w="18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6"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ind w:right="68"/>
              <w:spacing w:after="0" w:line="156" w:lineRule="exact"/>
              <w:rPr>
                <w:sz w:val="20"/>
                <w:szCs w:val="20"/>
                <w:color w:val="auto"/>
              </w:rPr>
            </w:pPr>
            <w:r>
              <w:rPr>
                <w:rFonts w:ascii="Arial" w:cs="Arial" w:eastAsia="Arial" w:hAnsi="Arial"/>
                <w:sz w:val="14"/>
                <w:szCs w:val="14"/>
                <w:b w:val="1"/>
                <w:bCs w:val="1"/>
                <w:color w:val="auto"/>
              </w:rPr>
              <w:t>0.42</w:t>
            </w:r>
          </w:p>
        </w:tc>
        <w:tc>
          <w:tcPr>
            <w:tcW w:w="380" w:type="dxa"/>
            <w:vAlign w:val="bottom"/>
            <w:tcBorders>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line="247" w:lineRule="auto"/>
        <w:rPr>
          <w:sz w:val="20"/>
          <w:szCs w:val="20"/>
          <w:color w:val="auto"/>
        </w:rPr>
      </w:pPr>
      <w:r>
        <w:rPr>
          <w:rFonts w:ascii="Arial" w:cs="Arial" w:eastAsia="Arial" w:hAnsi="Arial"/>
          <w:sz w:val="18"/>
          <w:szCs w:val="18"/>
          <w:b w:val="1"/>
          <w:bCs w:val="1"/>
          <w:color w:val="auto"/>
        </w:rPr>
        <w:t>FIRST BUSEY CORPORATION and Subsidiaries CONSOLIDATED STATEMENTS OF COMPREHENSIVE INCOME (Unaudited)</w:t>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4"/>
          </w:tcPr>
          <w:p>
            <w:pPr>
              <w:jc w:val="right"/>
              <w:ind w:right="275"/>
              <w:spacing w:after="0"/>
              <w:rPr>
                <w:sz w:val="20"/>
                <w:szCs w:val="20"/>
                <w:color w:val="auto"/>
              </w:rPr>
            </w:pPr>
            <w:r>
              <w:rPr>
                <w:rFonts w:ascii="Arial" w:cs="Arial" w:eastAsia="Arial" w:hAnsi="Arial"/>
                <w:sz w:val="14"/>
                <w:szCs w:val="14"/>
                <w:b w:val="1"/>
                <w:bCs w:val="1"/>
                <w:i w:val="1"/>
                <w:iCs w:val="1"/>
                <w:color w:val="auto"/>
                <w:w w:val="92"/>
              </w:rPr>
              <w:t>(dollars in thousands)</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24,085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24,862</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49,554</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46,779</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securities available for sale:</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Unrealized net gains/(losses) on securities: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net holding gains (losses) arising during</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18,214</w:t>
            </w:r>
          </w:p>
        </w:tc>
        <w:tc>
          <w:tcPr>
            <w:tcW w:w="340" w:type="dxa"/>
            <w:vAlign w:val="bottom"/>
            <w:shd w:val="clear" w:color="auto" w:fill="CCEEFF"/>
          </w:tcPr>
          <w:p>
            <w:pPr>
              <w:spacing w:after="0"/>
              <w:rPr>
                <w:sz w:val="20"/>
                <w:szCs w:val="2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25,014</w:t>
            </w:r>
          </w:p>
        </w:tc>
        <w:tc>
          <w:tcPr>
            <w:tcW w:w="320" w:type="dxa"/>
            <w:vAlign w:val="bottom"/>
            <w:shd w:val="clear" w:color="auto" w:fill="CCEEFF"/>
          </w:tcPr>
          <w:p>
            <w:pPr>
              <w:spacing w:after="0"/>
              <w:rPr>
                <w:sz w:val="20"/>
                <w:szCs w:val="2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(10,420)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period</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w w:val="96"/>
              </w:rPr>
              <w:t>Unrealized gains on debt securities transferred from held</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4,780</w:t>
            </w:r>
          </w:p>
        </w:tc>
        <w:tc>
          <w:tcPr>
            <w:tcW w:w="32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tcPr>
          <w:p>
            <w:pPr>
              <w:ind w:left="560"/>
              <w:spacing w:after="0"/>
              <w:rPr>
                <w:sz w:val="20"/>
                <w:szCs w:val="20"/>
                <w:color w:val="auto"/>
              </w:rPr>
            </w:pPr>
            <w:r>
              <w:rPr>
                <w:rFonts w:ascii="Arial" w:cs="Arial" w:eastAsia="Arial" w:hAnsi="Arial"/>
                <w:sz w:val="18"/>
                <w:szCs w:val="18"/>
                <w:color w:val="auto"/>
              </w:rPr>
              <w:t>to maturity to available for sale</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Reclassification adjustment for losses (gains) included in</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w:t>
            </w:r>
          </w:p>
        </w:tc>
        <w:tc>
          <w:tcPr>
            <w:tcW w:w="340" w:type="dxa"/>
            <w:vAlign w:val="bottom"/>
            <w:shd w:val="clear" w:color="auto" w:fill="CCEEFF"/>
          </w:tcPr>
          <w:p>
            <w:pPr>
              <w:spacing w:after="0"/>
              <w:rPr>
                <w:sz w:val="20"/>
                <w:szCs w:val="2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193</w:t>
            </w:r>
          </w:p>
        </w:tc>
        <w:tc>
          <w:tcPr>
            <w:tcW w:w="320" w:type="dxa"/>
            <w:vAlign w:val="bottom"/>
            <w:shd w:val="clear" w:color="auto" w:fill="CCEEFF"/>
          </w:tcPr>
          <w:p>
            <w:pPr>
              <w:spacing w:after="0"/>
              <w:rPr>
                <w:sz w:val="20"/>
                <w:szCs w:val="2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b w:val="1"/>
                <w:bCs w:val="1"/>
                <w:color w:val="auto"/>
              </w:rPr>
              <w:t>18,224</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b w:val="1"/>
                <w:bCs w:val="1"/>
                <w:color w:val="auto"/>
              </w:rPr>
              <w:t>29,987</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(10,420)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expense (benefit) related to items of other</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5,192</w:t>
            </w:r>
          </w:p>
        </w:tc>
        <w:tc>
          <w:tcPr>
            <w:tcW w:w="340" w:type="dxa"/>
            <w:vAlign w:val="bottom"/>
            <w:shd w:val="clear" w:color="auto" w:fill="CCEEFF"/>
          </w:tcPr>
          <w:p>
            <w:pPr>
              <w:spacing w:after="0"/>
              <w:rPr>
                <w:sz w:val="20"/>
                <w:szCs w:val="2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8,548</w:t>
            </w:r>
          </w:p>
        </w:tc>
        <w:tc>
          <w:tcPr>
            <w:tcW w:w="320" w:type="dxa"/>
            <w:vAlign w:val="bottom"/>
            <w:shd w:val="clear" w:color="auto" w:fill="CCEEFF"/>
          </w:tcPr>
          <w:p>
            <w:pPr>
              <w:spacing w:after="0"/>
              <w:rPr>
                <w:sz w:val="20"/>
                <w:szCs w:val="2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13,032</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21,439</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37,117</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23,671</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70,993</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2"/>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b w:val="1"/>
                <w:bCs w:val="1"/>
                <w:color w:val="auto"/>
                <w:w w:val="87"/>
              </w:rPr>
              <w:t>Additional</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72"/>
              <w:spacing w:after="0"/>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5"/>
                <w:szCs w:val="15"/>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rPr>
              <w:t>Paid-in</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5"/>
                <w:szCs w:val="15"/>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w w:val="87"/>
              </w:rPr>
              <w:t>Treasury</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Stock</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5"/>
              </w:rPr>
              <w:t>(Deficit)</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4"/>
              </w:rPr>
              <w:t>Income (loss)</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Balance, March 31, 2019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55,624,627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9"/>
              </w:rPr>
              <w:t>1,247,340</w:t>
            </w:r>
          </w:p>
        </w:tc>
        <w:tc>
          <w:tcPr>
            <w:tcW w:w="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(57,125)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1,595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(5,725)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1,186,141</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24,085</w:t>
            </w:r>
          </w:p>
        </w:tc>
        <w:tc>
          <w:tcPr>
            <w:tcW w:w="16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24,085</w:t>
            </w: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13,032</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13,032</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Arial" w:cs="Arial" w:eastAsia="Arial" w:hAnsi="Arial"/>
                <w:sz w:val="14"/>
                <w:szCs w:val="14"/>
                <w:color w:val="auto"/>
              </w:rPr>
              <w:t>Repurchase of stock</w:t>
            </w:r>
          </w:p>
        </w:tc>
        <w:tc>
          <w:tcPr>
            <w:tcW w:w="720" w:type="dxa"/>
            <w:vAlign w:val="bottom"/>
          </w:tcPr>
          <w:p>
            <w:pPr>
              <w:jc w:val="right"/>
              <w:spacing w:after="0"/>
              <w:rPr>
                <w:sz w:val="20"/>
                <w:szCs w:val="20"/>
                <w:color w:val="auto"/>
              </w:rPr>
            </w:pPr>
            <w:r>
              <w:rPr>
                <w:rFonts w:ascii="Arial" w:cs="Arial" w:eastAsia="Arial" w:hAnsi="Arial"/>
                <w:sz w:val="14"/>
                <w:szCs w:val="14"/>
                <w:color w:val="auto"/>
              </w:rPr>
              <w:t>(333,334)</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(8,433)</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(8,433)</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w w:val="99"/>
              </w:rPr>
              <w:t>Issuance of treasury stock for employee stock</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purchase plan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4,419</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29</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84</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Arial" w:cs="Arial" w:eastAsia="Arial" w:hAnsi="Arial"/>
                <w:sz w:val="14"/>
                <w:szCs w:val="14"/>
                <w:color w:val="auto"/>
              </w:rPr>
              <w:t>Net issuance of treasury stock for</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00"/>
              <w:spacing w:after="0"/>
              <w:rPr>
                <w:sz w:val="20"/>
                <w:szCs w:val="20"/>
                <w:color w:val="auto"/>
              </w:rPr>
            </w:pPr>
            <w:r>
              <w:rPr>
                <w:rFonts w:ascii="Arial" w:cs="Arial" w:eastAsia="Arial" w:hAnsi="Arial"/>
                <w:sz w:val="14"/>
                <w:szCs w:val="14"/>
                <w:color w:val="auto"/>
              </w:rPr>
              <w:t>restricted/deferred stock unit vesting and</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81,962</w:t>
            </w:r>
          </w:p>
        </w:tc>
        <w:tc>
          <w:tcPr>
            <w:tcW w:w="120" w:type="dxa"/>
            <w:vAlign w:val="bottom"/>
          </w:tcPr>
          <w:p>
            <w:pPr>
              <w:spacing w:after="0"/>
              <w:rPr>
                <w:sz w:val="16"/>
                <w:szCs w:val="16"/>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(2,364)</w:t>
            </w:r>
          </w:p>
        </w:tc>
        <w:tc>
          <w:tcPr>
            <w:tcW w:w="18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174</w:t>
            </w:r>
          </w:p>
        </w:tc>
        <w:tc>
          <w:tcPr>
            <w:tcW w:w="2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(2,190)</w:t>
            </w:r>
          </w:p>
        </w:tc>
        <w:tc>
          <w:tcPr>
            <w:tcW w:w="0" w:type="dxa"/>
            <w:vAlign w:val="bottom"/>
          </w:tcPr>
          <w:p>
            <w:pPr>
              <w:spacing w:after="0"/>
              <w:rPr>
                <w:sz w:val="1"/>
                <w:szCs w:val="1"/>
                <w:color w:val="auto"/>
              </w:rPr>
            </w:pPr>
          </w:p>
        </w:tc>
      </w:tr>
      <w:tr>
        <w:trPr>
          <w:trHeight w:val="163"/>
        </w:trPr>
        <w:tc>
          <w:tcPr>
            <w:tcW w:w="2840" w:type="dxa"/>
            <w:vAlign w:val="bottom"/>
          </w:tcPr>
          <w:p>
            <w:pPr>
              <w:ind w:left="100"/>
              <w:spacing w:after="0"/>
              <w:rPr>
                <w:sz w:val="20"/>
                <w:szCs w:val="20"/>
                <w:color w:val="auto"/>
              </w:rPr>
            </w:pPr>
            <w:r>
              <w:rPr>
                <w:rFonts w:ascii="Arial" w:cs="Arial" w:eastAsia="Arial" w:hAnsi="Arial"/>
                <w:sz w:val="14"/>
                <w:szCs w:val="14"/>
                <w:color w:val="auto"/>
              </w:rPr>
              <w:t>related tax</w:t>
            </w: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w w:val="96"/>
              </w:rPr>
              <w:t>Net issuance of treasury stock for stock options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3"/>
              </w:rPr>
              <w:t>exercised, net of shares redeemed and related</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8,962</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1,543</w:t>
            </w:r>
          </w:p>
        </w:tc>
        <w:tc>
          <w:tcPr>
            <w:tcW w:w="2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1,524</w:t>
            </w:r>
          </w:p>
        </w:tc>
        <w:tc>
          <w:tcPr>
            <w:tcW w:w="0" w:type="dxa"/>
            <w:vAlign w:val="bottom"/>
          </w:tcPr>
          <w:p>
            <w:pPr>
              <w:spacing w:after="0"/>
              <w:rPr>
                <w:sz w:val="1"/>
                <w:szCs w:val="1"/>
                <w:color w:val="auto"/>
              </w:rPr>
            </w:pPr>
          </w:p>
        </w:tc>
      </w:tr>
      <w:tr>
        <w:trPr>
          <w:trHeight w:val="163"/>
        </w:trPr>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tax</w:t>
            </w: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Arial" w:cs="Arial" w:eastAsia="Arial" w:hAnsi="Arial"/>
                <w:sz w:val="14"/>
                <w:szCs w:val="14"/>
                <w:color w:val="auto"/>
                <w:w w:val="91"/>
              </w:rPr>
              <w:t>Cash dividends common stock at $0.21 per share</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(11,681)</w:t>
            </w:r>
          </w:p>
        </w:tc>
        <w:tc>
          <w:tcPr>
            <w:tcW w:w="16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(11,681)</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w w:val="94"/>
              </w:rPr>
              <w:t>Stock dividend equivalents restricted stock units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at $0.21 per share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157</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Stock-based compensation</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1,017</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69"/>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June 30, 2019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55,386,636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w w:val="99"/>
              </w:rPr>
              <w:t>1,246,160</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(44,878)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14,627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(12,357)</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1,203,608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Balance, December 31, 2018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48,874,836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9"/>
              </w:rPr>
              <w:t>1,080,084</w:t>
            </w:r>
          </w:p>
        </w:tc>
        <w:tc>
          <w:tcPr>
            <w:tcW w:w="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(72,167)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(6,812)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(6,190)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994,964</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49,554</w:t>
            </w:r>
          </w:p>
        </w:tc>
        <w:tc>
          <w:tcPr>
            <w:tcW w:w="16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49,554</w:t>
            </w: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21,439</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21,439</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Arial" w:cs="Arial" w:eastAsia="Arial" w:hAnsi="Arial"/>
                <w:sz w:val="14"/>
                <w:szCs w:val="14"/>
                <w:color w:val="auto"/>
              </w:rPr>
              <w:t>Stock issued in acquisition of Banc Ed, net of</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100"/>
              <w:spacing w:after="0"/>
              <w:rPr>
                <w:sz w:val="20"/>
                <w:szCs w:val="20"/>
                <w:color w:val="auto"/>
              </w:rPr>
            </w:pPr>
            <w:r>
              <w:rPr>
                <w:rFonts w:ascii="Arial" w:cs="Arial" w:eastAsia="Arial" w:hAnsi="Arial"/>
                <w:sz w:val="14"/>
                <w:szCs w:val="14"/>
                <w:color w:val="auto"/>
              </w:rPr>
              <w:t>stock issuance costs</w:t>
            </w:r>
          </w:p>
        </w:tc>
        <w:tc>
          <w:tcPr>
            <w:tcW w:w="720" w:type="dxa"/>
            <w:vAlign w:val="bottom"/>
          </w:tcPr>
          <w:p>
            <w:pPr>
              <w:jc w:val="right"/>
              <w:spacing w:after="0"/>
              <w:rPr>
                <w:sz w:val="20"/>
                <w:szCs w:val="20"/>
                <w:color w:val="auto"/>
              </w:rPr>
            </w:pPr>
            <w:r>
              <w:rPr>
                <w:rFonts w:ascii="Arial" w:cs="Arial" w:eastAsia="Arial" w:hAnsi="Arial"/>
                <w:sz w:val="14"/>
                <w:szCs w:val="14"/>
                <w:color w:val="auto"/>
              </w:rPr>
              <w:t>6,725,152</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166,274</w:t>
            </w:r>
          </w:p>
        </w:tc>
        <w:tc>
          <w:tcPr>
            <w:tcW w:w="18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166,281</w:t>
            </w: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Repurchase of stock</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(333,334)</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(8,433)</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(8,433)</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Arial" w:cs="Arial" w:eastAsia="Arial" w:hAnsi="Arial"/>
                <w:sz w:val="14"/>
                <w:szCs w:val="14"/>
                <w:color w:val="auto"/>
                <w:w w:val="99"/>
              </w:rPr>
              <w:t>Issuance of treasury stock for employee stock</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100"/>
              <w:spacing w:after="0"/>
              <w:rPr>
                <w:sz w:val="20"/>
                <w:szCs w:val="20"/>
                <w:color w:val="auto"/>
              </w:rPr>
            </w:pPr>
            <w:r>
              <w:rPr>
                <w:rFonts w:ascii="Arial" w:cs="Arial" w:eastAsia="Arial" w:hAnsi="Arial"/>
                <w:sz w:val="14"/>
                <w:szCs w:val="14"/>
                <w:color w:val="auto"/>
              </w:rPr>
              <w:t>purchase plan</w:t>
            </w:r>
          </w:p>
        </w:tc>
        <w:tc>
          <w:tcPr>
            <w:tcW w:w="720" w:type="dxa"/>
            <w:vAlign w:val="bottom"/>
          </w:tcPr>
          <w:p>
            <w:pPr>
              <w:jc w:val="right"/>
              <w:spacing w:after="0"/>
              <w:rPr>
                <w:sz w:val="20"/>
                <w:szCs w:val="20"/>
                <w:color w:val="auto"/>
              </w:rPr>
            </w:pPr>
            <w:r>
              <w:rPr>
                <w:rFonts w:ascii="Arial" w:cs="Arial" w:eastAsia="Arial" w:hAnsi="Arial"/>
                <w:sz w:val="14"/>
                <w:szCs w:val="14"/>
                <w:color w:val="auto"/>
              </w:rPr>
              <w:t>16,150</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79</w:t>
            </w:r>
          </w:p>
        </w:tc>
        <w:tc>
          <w:tcPr>
            <w:tcW w:w="18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306</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Net issuance of treasury stock for</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restricted/deferred stock unit vesting and</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91,032</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(2,535)</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345</w:t>
            </w:r>
          </w:p>
        </w:tc>
        <w:tc>
          <w:tcPr>
            <w:tcW w:w="2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0" w:type="dxa"/>
            <w:vAlign w:val="bottom"/>
          </w:tcPr>
          <w:p>
            <w:pPr>
              <w:spacing w:after="0"/>
              <w:rPr>
                <w:sz w:val="1"/>
                <w:szCs w:val="1"/>
                <w:color w:val="auto"/>
              </w:rPr>
            </w:pPr>
          </w:p>
        </w:tc>
      </w:tr>
      <w:tr>
        <w:trPr>
          <w:trHeight w:val="163"/>
        </w:trPr>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related tax</w:t>
            </w: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Arial" w:cs="Arial" w:eastAsia="Arial" w:hAnsi="Arial"/>
                <w:sz w:val="14"/>
                <w:szCs w:val="14"/>
                <w:color w:val="auto"/>
                <w:w w:val="96"/>
              </w:rPr>
              <w:t>Net issuance of treasury stock for stock options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00"/>
              <w:spacing w:after="0"/>
              <w:rPr>
                <w:sz w:val="20"/>
                <w:szCs w:val="20"/>
                <w:color w:val="auto"/>
              </w:rPr>
            </w:pPr>
            <w:r>
              <w:rPr>
                <w:rFonts w:ascii="Arial" w:cs="Arial" w:eastAsia="Arial" w:hAnsi="Arial"/>
                <w:sz w:val="14"/>
                <w:szCs w:val="14"/>
                <w:color w:val="auto"/>
                <w:w w:val="93"/>
              </w:rPr>
              <w:t>exercised, net of shares redeemed and related</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12,800</w:t>
            </w:r>
          </w:p>
        </w:tc>
        <w:tc>
          <w:tcPr>
            <w:tcW w:w="120" w:type="dxa"/>
            <w:vAlign w:val="bottom"/>
          </w:tcPr>
          <w:p>
            <w:pPr>
              <w:spacing w:after="0"/>
              <w:rPr>
                <w:sz w:val="16"/>
                <w:szCs w:val="16"/>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18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1,615</w:t>
            </w:r>
          </w:p>
        </w:tc>
        <w:tc>
          <w:tcPr>
            <w:tcW w:w="2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1,524</w:t>
            </w:r>
          </w:p>
        </w:tc>
        <w:tc>
          <w:tcPr>
            <w:tcW w:w="0" w:type="dxa"/>
            <w:vAlign w:val="bottom"/>
          </w:tcPr>
          <w:p>
            <w:pPr>
              <w:spacing w:after="0"/>
              <w:rPr>
                <w:sz w:val="1"/>
                <w:szCs w:val="1"/>
                <w:color w:val="auto"/>
              </w:rPr>
            </w:pPr>
          </w:p>
        </w:tc>
      </w:tr>
      <w:tr>
        <w:trPr>
          <w:trHeight w:val="163"/>
        </w:trPr>
        <w:tc>
          <w:tcPr>
            <w:tcW w:w="2840" w:type="dxa"/>
            <w:vAlign w:val="bottom"/>
          </w:tcPr>
          <w:p>
            <w:pPr>
              <w:ind w:left="100"/>
              <w:spacing w:after="0"/>
              <w:rPr>
                <w:sz w:val="20"/>
                <w:szCs w:val="20"/>
                <w:color w:val="auto"/>
              </w:rPr>
            </w:pPr>
            <w:r>
              <w:rPr>
                <w:rFonts w:ascii="Arial" w:cs="Arial" w:eastAsia="Arial" w:hAnsi="Arial"/>
                <w:sz w:val="14"/>
                <w:szCs w:val="14"/>
                <w:color w:val="auto"/>
              </w:rPr>
              <w:t>tax</w:t>
            </w: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w w:val="91"/>
              </w:rPr>
              <w:t>Cash dividends common stock at $0.42 per share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(21,947)</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(21,947)</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Arial" w:cs="Arial" w:eastAsia="Arial" w:hAnsi="Arial"/>
                <w:sz w:val="14"/>
                <w:szCs w:val="14"/>
                <w:color w:val="auto"/>
                <w:w w:val="94"/>
              </w:rPr>
              <w:t>Stock dividend equivalents restricted stock units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100"/>
              <w:spacing w:after="0"/>
              <w:rPr>
                <w:sz w:val="20"/>
                <w:szCs w:val="20"/>
                <w:color w:val="auto"/>
              </w:rPr>
            </w:pPr>
            <w:r>
              <w:rPr>
                <w:rFonts w:ascii="Arial" w:cs="Arial" w:eastAsia="Arial" w:hAnsi="Arial"/>
                <w:sz w:val="14"/>
                <w:szCs w:val="14"/>
                <w:color w:val="auto"/>
              </w:rPr>
              <w:t>at $0.42 per share</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318</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(318)</w:t>
            </w:r>
          </w:p>
        </w:tc>
        <w:tc>
          <w:tcPr>
            <w:tcW w:w="16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2,031</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69"/>
        </w:trPr>
        <w:tc>
          <w:tcPr>
            <w:tcW w:w="2840" w:type="dxa"/>
            <w:vAlign w:val="bottom"/>
          </w:tcPr>
          <w:p>
            <w:pPr>
              <w:spacing w:after="0"/>
              <w:rPr>
                <w:sz w:val="20"/>
                <w:szCs w:val="20"/>
                <w:color w:val="auto"/>
              </w:rPr>
            </w:pPr>
            <w:r>
              <w:rPr>
                <w:rFonts w:ascii="Arial" w:cs="Arial" w:eastAsia="Arial" w:hAnsi="Arial"/>
                <w:sz w:val="14"/>
                <w:szCs w:val="14"/>
                <w:color w:val="auto"/>
              </w:rPr>
              <w:t>Balance, June 30, 2019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55,386,636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9"/>
              </w:rPr>
              <w:t>1,246,160</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(44,878)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14,627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(12,357)</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1,203,608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(Continued)</w:t>
      </w:r>
    </w:p>
    <w:p>
      <w:pPr>
        <w:jc w:val="center"/>
        <w:ind w:right="-5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72"/>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b w:val="1"/>
                <w:bCs w:val="1"/>
                <w:color w:val="auto"/>
                <w:w w:val="88"/>
              </w:rPr>
              <w:t>Common</w:t>
            </w:r>
          </w:p>
        </w:tc>
        <w:tc>
          <w:tcPr>
            <w:tcW w:w="200" w:type="dxa"/>
            <w:vAlign w:val="bottom"/>
          </w:tcPr>
          <w:p>
            <w:pPr>
              <w:spacing w:after="0"/>
              <w:rPr>
                <w:sz w:val="15"/>
                <w:szCs w:val="15"/>
                <w:color w:val="auto"/>
              </w:rPr>
            </w:pP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Paid-in</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5"/>
                <w:szCs w:val="15"/>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w w:val="87"/>
              </w:rPr>
              <w:t>Treasury</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5"/>
              </w:rPr>
              <w:t>(Deficit)</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Balance, March 31, 2018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48,717,239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89"/>
              </w:rPr>
              <w:t>1,084,411</w:t>
            </w:r>
          </w:p>
        </w:tc>
        <w:tc>
          <w:tcPr>
            <w:tcW w:w="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(119,467)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(9,674)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(13,173)</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942,146</w:t>
            </w:r>
          </w:p>
        </w:tc>
        <w:tc>
          <w:tcPr>
            <w:tcW w:w="0" w:type="dxa"/>
            <w:vAlign w:val="bottom"/>
          </w:tcPr>
          <w:p>
            <w:pPr>
              <w:spacing w:after="0"/>
              <w:rPr>
                <w:sz w:val="1"/>
                <w:szCs w:val="1"/>
                <w:color w:val="auto"/>
              </w:rPr>
            </w:pPr>
          </w:p>
        </w:tc>
      </w:tr>
      <w:tr>
        <w:trPr>
          <w:trHeight w:val="175"/>
        </w:trPr>
        <w:tc>
          <w:tcPr>
            <w:tcW w:w="29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24,862</w:t>
            </w:r>
          </w:p>
        </w:tc>
        <w:tc>
          <w:tcPr>
            <w:tcW w:w="1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24,862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(1,191)</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0" w:type="dxa"/>
            <w:vAlign w:val="bottom"/>
          </w:tcPr>
          <w:p>
            <w:pPr>
              <w:spacing w:after="0"/>
              <w:rPr>
                <w:sz w:val="1"/>
                <w:szCs w:val="1"/>
                <w:color w:val="auto"/>
              </w:rPr>
            </w:pPr>
          </w:p>
        </w:tc>
      </w:tr>
      <w:tr>
        <w:trPr>
          <w:trHeight w:val="175"/>
        </w:trPr>
        <w:tc>
          <w:tcPr>
            <w:tcW w:w="2940" w:type="dxa"/>
            <w:vAlign w:val="bottom"/>
            <w:gridSpan w:val="2"/>
          </w:tcPr>
          <w:p>
            <w:pPr>
              <w:spacing w:after="0"/>
              <w:rPr>
                <w:sz w:val="20"/>
                <w:szCs w:val="20"/>
                <w:color w:val="auto"/>
              </w:rPr>
            </w:pPr>
            <w:r>
              <w:rPr>
                <w:rFonts w:ascii="Arial" w:cs="Arial" w:eastAsia="Arial" w:hAnsi="Arial"/>
                <w:sz w:val="14"/>
                <w:szCs w:val="14"/>
                <w:color w:val="auto"/>
              </w:rPr>
              <w:t>Issuance of treasury stock for employee stock</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purchase plan</w:t>
            </w:r>
          </w:p>
        </w:tc>
        <w:tc>
          <w:tcPr>
            <w:tcW w:w="700" w:type="dxa"/>
            <w:vAlign w:val="bottom"/>
          </w:tcPr>
          <w:p>
            <w:pPr>
              <w:jc w:val="right"/>
              <w:spacing w:after="0"/>
              <w:rPr>
                <w:sz w:val="20"/>
                <w:szCs w:val="20"/>
                <w:color w:val="auto"/>
              </w:rPr>
            </w:pPr>
            <w:r>
              <w:rPr>
                <w:rFonts w:ascii="Arial" w:cs="Arial" w:eastAsia="Arial" w:hAnsi="Arial"/>
                <w:sz w:val="14"/>
                <w:szCs w:val="14"/>
                <w:color w:val="auto"/>
              </w:rPr>
              <w:t>3,030</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(80)</w:t>
            </w:r>
          </w:p>
        </w:tc>
        <w:tc>
          <w:tcPr>
            <w:tcW w:w="18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172</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Net issuance of treasury stock for</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restricted/deferred stock unit vesting and</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31,832</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(1,875)</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1,803</w:t>
            </w:r>
          </w:p>
        </w:tc>
        <w:tc>
          <w:tcPr>
            <w:tcW w:w="22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related tax</w:t>
            </w: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gridSpan w:val="2"/>
          </w:tcPr>
          <w:p>
            <w:pPr>
              <w:spacing w:after="0"/>
              <w:rPr>
                <w:sz w:val="20"/>
                <w:szCs w:val="20"/>
                <w:color w:val="auto"/>
              </w:rPr>
            </w:pPr>
            <w:r>
              <w:rPr>
                <w:rFonts w:ascii="Arial" w:cs="Arial" w:eastAsia="Arial" w:hAnsi="Arial"/>
                <w:sz w:val="14"/>
                <w:szCs w:val="14"/>
                <w:color w:val="auto"/>
                <w:w w:val="99"/>
              </w:rPr>
              <w:t>Net issuance of treasury stock for stock options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w w:val="96"/>
              </w:rPr>
              <w:t>exercised, net of shares redeemed and related</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24,303</w:t>
            </w:r>
          </w:p>
        </w:tc>
        <w:tc>
          <w:tcPr>
            <w:tcW w:w="120" w:type="dxa"/>
            <w:vAlign w:val="bottom"/>
          </w:tcPr>
          <w:p>
            <w:pPr>
              <w:spacing w:after="0"/>
              <w:rPr>
                <w:sz w:val="16"/>
                <w:szCs w:val="16"/>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ind w:right="12"/>
              <w:spacing w:after="0"/>
              <w:rPr>
                <w:sz w:val="20"/>
                <w:szCs w:val="20"/>
                <w:color w:val="auto"/>
              </w:rPr>
            </w:pPr>
            <w:r>
              <w:rPr>
                <w:rFonts w:ascii="Arial" w:cs="Arial" w:eastAsia="Arial" w:hAnsi="Arial"/>
                <w:sz w:val="14"/>
                <w:szCs w:val="14"/>
                <w:color w:val="auto"/>
              </w:rPr>
              <w:t>(1,161)</w:t>
            </w:r>
          </w:p>
        </w:tc>
        <w:tc>
          <w:tcPr>
            <w:tcW w:w="18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4"/>
                <w:szCs w:val="14"/>
                <w:color w:val="auto"/>
              </w:rPr>
              <w:t>1,377</w:t>
            </w: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tax</w:t>
            </w: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w w:val="94"/>
              </w:rPr>
              <w:t>Cash dividends common stock at $0.20 per share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(9,743)</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(9,743)</w:t>
            </w:r>
          </w:p>
        </w:tc>
        <w:tc>
          <w:tcPr>
            <w:tcW w:w="0" w:type="dxa"/>
            <w:vAlign w:val="bottom"/>
          </w:tcPr>
          <w:p>
            <w:pPr>
              <w:spacing w:after="0"/>
              <w:rPr>
                <w:sz w:val="1"/>
                <w:szCs w:val="1"/>
                <w:color w:val="auto"/>
              </w:rPr>
            </w:pPr>
          </w:p>
        </w:tc>
      </w:tr>
      <w:tr>
        <w:trPr>
          <w:trHeight w:val="175"/>
        </w:trPr>
        <w:tc>
          <w:tcPr>
            <w:tcW w:w="2940" w:type="dxa"/>
            <w:vAlign w:val="bottom"/>
            <w:gridSpan w:val="2"/>
          </w:tcPr>
          <w:p>
            <w:pPr>
              <w:spacing w:after="0"/>
              <w:rPr>
                <w:sz w:val="20"/>
                <w:szCs w:val="20"/>
                <w:color w:val="auto"/>
              </w:rPr>
            </w:pPr>
            <w:r>
              <w:rPr>
                <w:rFonts w:ascii="Arial" w:cs="Arial" w:eastAsia="Arial" w:hAnsi="Arial"/>
                <w:sz w:val="14"/>
                <w:szCs w:val="14"/>
                <w:color w:val="auto"/>
                <w:w w:val="98"/>
              </w:rPr>
              <w:t>Stock dividend equivalents restricted stock units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at $0.20 per share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154</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w:t>
            </w:r>
          </w:p>
        </w:tc>
        <w:tc>
          <w:tcPr>
            <w:tcW w:w="1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874</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209"/>
        </w:trPr>
        <w:tc>
          <w:tcPr>
            <w:tcW w:w="2940" w:type="dxa"/>
            <w:vAlign w:val="bottom"/>
            <w:gridSpan w:val="2"/>
          </w:tcPr>
          <w:p>
            <w:pPr>
              <w:spacing w:after="0"/>
              <w:rPr>
                <w:sz w:val="20"/>
                <w:szCs w:val="20"/>
                <w:color w:val="auto"/>
              </w:rPr>
            </w:pPr>
            <w:r>
              <w:rPr>
                <w:rFonts w:ascii="Arial" w:cs="Arial" w:eastAsia="Arial" w:hAnsi="Arial"/>
                <w:sz w:val="14"/>
                <w:szCs w:val="14"/>
                <w:color w:val="auto"/>
              </w:rPr>
              <w:t>Balance, June 30, 2018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48,776,404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89"/>
              </w:rPr>
              <w:t>1,082,323</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(10,865)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(9,821)</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957,182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40" w:type="dxa"/>
            <w:vAlign w:val="bottom"/>
            <w:gridSpan w:val="2"/>
          </w:tcPr>
          <w:p>
            <w:pPr>
              <w:spacing w:after="0"/>
              <w:rPr>
                <w:sz w:val="20"/>
                <w:szCs w:val="20"/>
                <w:color w:val="auto"/>
              </w:rPr>
            </w:pPr>
            <w:r>
              <w:rPr>
                <w:rFonts w:ascii="Arial" w:cs="Arial" w:eastAsia="Arial" w:hAnsi="Arial"/>
                <w:sz w:val="14"/>
                <w:szCs w:val="14"/>
                <w:color w:val="auto"/>
              </w:rPr>
              <w:t>Balance, December 31, 2017</w:t>
            </w:r>
          </w:p>
        </w:tc>
        <w:tc>
          <w:tcPr>
            <w:tcW w:w="700" w:type="dxa"/>
            <w:vAlign w:val="bottom"/>
          </w:tcPr>
          <w:p>
            <w:pPr>
              <w:jc w:val="right"/>
              <w:spacing w:after="0"/>
              <w:rPr>
                <w:sz w:val="20"/>
                <w:szCs w:val="20"/>
                <w:color w:val="auto"/>
              </w:rPr>
            </w:pPr>
            <w:r>
              <w:rPr>
                <w:rFonts w:ascii="Arial" w:cs="Arial" w:eastAsia="Arial" w:hAnsi="Arial"/>
                <w:sz w:val="14"/>
                <w:szCs w:val="14"/>
                <w:color w:val="auto"/>
                <w:w w:val="91"/>
              </w:rPr>
              <w:t>48,684,943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49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w w:val="89"/>
              </w:rPr>
              <w:t>1,084,889</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(132,122)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(2,810)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(15,003)</w:t>
            </w:r>
          </w:p>
        </w:tc>
        <w:tc>
          <w:tcPr>
            <w:tcW w:w="2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935,003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46,779</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46,779</w:t>
            </w:r>
          </w:p>
        </w:tc>
        <w:tc>
          <w:tcPr>
            <w:tcW w:w="0" w:type="dxa"/>
            <w:vAlign w:val="bottom"/>
          </w:tcPr>
          <w:p>
            <w:pPr>
              <w:spacing w:after="0"/>
              <w:rPr>
                <w:sz w:val="1"/>
                <w:szCs w:val="1"/>
                <w:color w:val="auto"/>
              </w:rPr>
            </w:pPr>
          </w:p>
        </w:tc>
      </w:tr>
      <w:tr>
        <w:trPr>
          <w:trHeight w:val="175"/>
        </w:trPr>
        <w:tc>
          <w:tcPr>
            <w:tcW w:w="2940" w:type="dxa"/>
            <w:vAlign w:val="bottom"/>
            <w:gridSpan w:val="2"/>
          </w:tcPr>
          <w:p>
            <w:pPr>
              <w:spacing w:after="0"/>
              <w:rPr>
                <w:sz w:val="20"/>
                <w:szCs w:val="20"/>
                <w:color w:val="auto"/>
              </w:rPr>
            </w:pPr>
            <w:r>
              <w:rPr>
                <w:rFonts w:ascii="Arial" w:cs="Arial" w:eastAsia="Arial" w:hAnsi="Arial"/>
                <w:sz w:val="14"/>
                <w:szCs w:val="14"/>
                <w:color w:val="auto"/>
              </w:rPr>
              <w:t>Other comprehensive loss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(7,450)</w:t>
            </w:r>
          </w:p>
        </w:tc>
        <w:tc>
          <w:tcPr>
            <w:tcW w:w="14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Tax Cuts and Jobs Act of 2017 reclassification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605</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(605)</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940" w:type="dxa"/>
            <w:vAlign w:val="bottom"/>
            <w:gridSpan w:val="2"/>
          </w:tcPr>
          <w:p>
            <w:pPr>
              <w:spacing w:after="0"/>
              <w:rPr>
                <w:sz w:val="20"/>
                <w:szCs w:val="20"/>
                <w:color w:val="auto"/>
              </w:rPr>
            </w:pPr>
            <w:r>
              <w:rPr>
                <w:rFonts w:ascii="Arial" w:cs="Arial" w:eastAsia="Arial" w:hAnsi="Arial"/>
                <w:sz w:val="14"/>
                <w:szCs w:val="14"/>
                <w:color w:val="auto"/>
              </w:rPr>
              <w:t>Issuance of treasury stock for employee stock</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purchase plan</w:t>
            </w:r>
          </w:p>
        </w:tc>
        <w:tc>
          <w:tcPr>
            <w:tcW w:w="700" w:type="dxa"/>
            <w:vAlign w:val="bottom"/>
          </w:tcPr>
          <w:p>
            <w:pPr>
              <w:jc w:val="right"/>
              <w:spacing w:after="0"/>
              <w:rPr>
                <w:sz w:val="20"/>
                <w:szCs w:val="20"/>
                <w:color w:val="auto"/>
              </w:rPr>
            </w:pPr>
            <w:r>
              <w:rPr>
                <w:rFonts w:ascii="Arial" w:cs="Arial" w:eastAsia="Arial" w:hAnsi="Arial"/>
                <w:sz w:val="14"/>
                <w:szCs w:val="14"/>
                <w:color w:val="auto"/>
              </w:rPr>
              <w:t>11,748</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(328)</w:t>
            </w:r>
          </w:p>
        </w:tc>
        <w:tc>
          <w:tcPr>
            <w:tcW w:w="18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666</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Net issuance of treasury stock for</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restricted/deferred stock unit vesting and</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31,832</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(1,875)</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1,803</w:t>
            </w:r>
          </w:p>
        </w:tc>
        <w:tc>
          <w:tcPr>
            <w:tcW w:w="22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related tax</w:t>
            </w: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gridSpan w:val="2"/>
          </w:tcPr>
          <w:p>
            <w:pPr>
              <w:spacing w:after="0"/>
              <w:rPr>
                <w:sz w:val="20"/>
                <w:szCs w:val="20"/>
                <w:color w:val="auto"/>
              </w:rPr>
            </w:pPr>
            <w:r>
              <w:rPr>
                <w:rFonts w:ascii="Arial" w:cs="Arial" w:eastAsia="Arial" w:hAnsi="Arial"/>
                <w:sz w:val="14"/>
                <w:szCs w:val="14"/>
                <w:color w:val="auto"/>
                <w:w w:val="99"/>
              </w:rPr>
              <w:t>Net issuance of treasury stock for stock options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w w:val="96"/>
              </w:rPr>
              <w:t>exercised, net of shares redeemed and related</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47,881</w:t>
            </w:r>
          </w:p>
        </w:tc>
        <w:tc>
          <w:tcPr>
            <w:tcW w:w="120" w:type="dxa"/>
            <w:vAlign w:val="bottom"/>
          </w:tcPr>
          <w:p>
            <w:pPr>
              <w:spacing w:after="0"/>
              <w:rPr>
                <w:sz w:val="16"/>
                <w:szCs w:val="16"/>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ind w:right="12"/>
              <w:spacing w:after="0"/>
              <w:rPr>
                <w:sz w:val="20"/>
                <w:szCs w:val="20"/>
                <w:color w:val="auto"/>
              </w:rPr>
            </w:pPr>
            <w:r>
              <w:rPr>
                <w:rFonts w:ascii="Arial" w:cs="Arial" w:eastAsia="Arial" w:hAnsi="Arial"/>
                <w:sz w:val="14"/>
                <w:szCs w:val="14"/>
                <w:color w:val="auto"/>
              </w:rPr>
              <w:t>(2,367)</w:t>
            </w:r>
          </w:p>
        </w:tc>
        <w:tc>
          <w:tcPr>
            <w:tcW w:w="18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4"/>
                <w:szCs w:val="14"/>
                <w:color w:val="auto"/>
              </w:rPr>
              <w:t>2,713</w:t>
            </w: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tax</w:t>
            </w: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w w:val="94"/>
              </w:rPr>
              <w:t>Cash dividends common stock at $0.40 per share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(19,482)</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(19,482)</w:t>
            </w:r>
          </w:p>
        </w:tc>
        <w:tc>
          <w:tcPr>
            <w:tcW w:w="0" w:type="dxa"/>
            <w:vAlign w:val="bottom"/>
          </w:tcPr>
          <w:p>
            <w:pPr>
              <w:spacing w:after="0"/>
              <w:rPr>
                <w:sz w:val="1"/>
                <w:szCs w:val="1"/>
                <w:color w:val="auto"/>
              </w:rPr>
            </w:pPr>
          </w:p>
        </w:tc>
      </w:tr>
      <w:tr>
        <w:trPr>
          <w:trHeight w:val="175"/>
        </w:trPr>
        <w:tc>
          <w:tcPr>
            <w:tcW w:w="2940" w:type="dxa"/>
            <w:vAlign w:val="bottom"/>
            <w:gridSpan w:val="2"/>
          </w:tcPr>
          <w:p>
            <w:pPr>
              <w:spacing w:after="0"/>
              <w:rPr>
                <w:sz w:val="20"/>
                <w:szCs w:val="20"/>
                <w:color w:val="auto"/>
              </w:rPr>
            </w:pPr>
            <w:r>
              <w:rPr>
                <w:rFonts w:ascii="Arial" w:cs="Arial" w:eastAsia="Arial" w:hAnsi="Arial"/>
                <w:sz w:val="14"/>
                <w:szCs w:val="14"/>
                <w:color w:val="auto"/>
                <w:w w:val="98"/>
              </w:rPr>
              <w:t>Stock dividend equivalents restricted stock units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at $0.40 per share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282</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(284)</w:t>
            </w:r>
          </w:p>
        </w:tc>
        <w:tc>
          <w:tcPr>
            <w:tcW w:w="1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1,722</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169"/>
        </w:trPr>
        <w:tc>
          <w:tcPr>
            <w:tcW w:w="2940" w:type="dxa"/>
            <w:vAlign w:val="bottom"/>
            <w:gridSpan w:val="2"/>
          </w:tcPr>
          <w:p>
            <w:pPr>
              <w:spacing w:after="0"/>
              <w:rPr>
                <w:sz w:val="20"/>
                <w:szCs w:val="20"/>
                <w:color w:val="auto"/>
              </w:rPr>
            </w:pPr>
            <w:r>
              <w:rPr>
                <w:rFonts w:ascii="Arial" w:cs="Arial" w:eastAsia="Arial" w:hAnsi="Arial"/>
                <w:sz w:val="14"/>
                <w:szCs w:val="14"/>
                <w:color w:val="auto"/>
              </w:rPr>
              <w:t>Balance, June 30, 2018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48,776,404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89"/>
              </w:rPr>
              <w:t>1,082,323</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(10,865)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(9,821)</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3"/>
          </w:tcPr>
          <w:p>
            <w:pPr>
              <w:jc w:val="right"/>
              <w:ind w:right="448"/>
              <w:spacing w:after="0"/>
              <w:rPr>
                <w:sz w:val="20"/>
                <w:szCs w:val="20"/>
                <w:color w:val="auto"/>
              </w:rPr>
            </w:pPr>
            <w:r>
              <w:rPr>
                <w:rFonts w:ascii="Arial" w:cs="Arial" w:eastAsia="Arial" w:hAnsi="Arial"/>
                <w:sz w:val="14"/>
                <w:szCs w:val="14"/>
                <w:i w:val="1"/>
                <w:iCs w:val="1"/>
                <w:color w:val="auto"/>
              </w:rPr>
              <w:t>(dollars 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20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49,554</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46,779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Provision for loan losses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4,628</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Amortization of intangible assets (excluding Mortgage Servicing Rights ("MSR"))</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4,506</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Amortization of mortgage servicing rights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1,222</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Depreciation and amortization of premises and equipment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5,674</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Net amortization (accretion) of premium (discount) on portfolio loans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(5,729)</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Net amortization (accretion) of premium (discount) on investment securities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2,843</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Net amortization (accretion) of premium (discount) on time deposits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(802)</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9"/>
              </w:rPr>
              <w:t>Net amortization (accretion) of premium (discount) on Federal Home Loan Bank ("FHLB") advances and</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125</w:t>
            </w: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other borrowings</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Impairment of other real estate owned ("OREO")</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18</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Impairment of fixed assets held for sale</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Impairment of MSR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1,822</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Change in fair value of loans held for sale, net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(800)</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Change in fair value of equity securities, net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800</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(Gain) loss on sales of securities, net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184</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(Gain) loss on sale of loans, net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(5,615)</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(Gain) loss on sale of OREO</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(Gain) loss on sale of premises and equipment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116</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(Gain) loss life insurance proceeds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(1,016)</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Provision for deferred income taxes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3,816</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Stock-based and non-cash compensation</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2,031</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Decrease in deferred compensation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(3,339)</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Increase in cash surrender value of bank owned life insurance</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(1,970)</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Mortgage loans originated for sale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(244,781)</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(219,252)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from sales of mortgage loans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239,252</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285,221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Net change in operating assets and liabilities: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(Increase) decrease in other assets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1,176</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(Decrease) in other liabilities</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(16,268)</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40" w:type="dxa"/>
            <w:vAlign w:val="bottom"/>
            <w:shd w:val="clear" w:color="auto" w:fill="CCEEFF"/>
          </w:tcPr>
          <w:p>
            <w:pPr>
              <w:ind w:left="640"/>
              <w:spacing w:after="0"/>
              <w:rPr>
                <w:sz w:val="20"/>
                <w:szCs w:val="20"/>
                <w:color w:val="auto"/>
              </w:rPr>
            </w:pPr>
            <w:r>
              <w:rPr>
                <w:rFonts w:ascii="Arial" w:cs="Arial" w:eastAsia="Arial" w:hAnsi="Arial"/>
                <w:sz w:val="14"/>
                <w:szCs w:val="14"/>
                <w:b w:val="1"/>
                <w:bCs w:val="1"/>
                <w:color w:val="auto"/>
              </w:rPr>
              <w:t>Net cash provided by operating activities</w:t>
            </w: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37,364</w:t>
            </w:r>
          </w:p>
        </w:tc>
        <w:tc>
          <w:tcPr>
            <w:tcW w:w="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111,763</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Purchases of debt securities held to maturity</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(85,050)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Purchases of debt securities available for sale</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(227,182)</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(93,591)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Purchase of FHLB stock</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(3,700)</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from sales of equity securities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958</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Proceeds from sales of debt securities available for sale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227,371</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from paydowns and maturities of debt securities held to maturity</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13,922</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Proceeds from paydowns and maturities of debt securities available for sale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146,566</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82,817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from the redemption of FHLB stock</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3,720</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Net cash (received) paid in acquisitions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(49,387)</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Net change in loans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(89,642)</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(36,080)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Cash paid for premiums on bank-owned life insurance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(3)</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Purchases of premises and equipment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(5,918)</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Proceeds from life insurance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1,672</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from disposition of premises and equipment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Pr>
          <w:p>
            <w:pPr>
              <w:ind w:left="320"/>
              <w:spacing w:after="0"/>
              <w:rPr>
                <w:sz w:val="20"/>
                <w:szCs w:val="20"/>
                <w:color w:val="auto"/>
              </w:rPr>
            </w:pPr>
            <w:r>
              <w:rPr>
                <w:rFonts w:ascii="Arial" w:cs="Arial" w:eastAsia="Arial" w:hAnsi="Arial"/>
                <w:sz w:val="14"/>
                <w:szCs w:val="14"/>
                <w:color w:val="auto"/>
              </w:rPr>
              <w:t>Capitalized expenditures on OREO</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from sale of OREO</w:t>
            </w: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1,119</w:t>
            </w:r>
          </w:p>
        </w:tc>
        <w:tc>
          <w:tcPr>
            <w:tcW w:w="3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40" w:type="dxa"/>
            <w:vAlign w:val="bottom"/>
          </w:tcPr>
          <w:p>
            <w:pPr>
              <w:ind w:left="6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19,497</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1440" w:right="1920"/>
        <w:spacing w:after="0" w:line="247" w:lineRule="auto"/>
        <w:rPr>
          <w:sz w:val="20"/>
          <w:szCs w:val="20"/>
          <w:color w:val="auto"/>
        </w:rPr>
      </w:pPr>
      <w:r>
        <w:rPr>
          <w:rFonts w:ascii="Arial" w:cs="Arial" w:eastAsia="Arial" w:hAnsi="Arial"/>
          <w:sz w:val="18"/>
          <w:szCs w:val="18"/>
          <w:b w:val="1"/>
          <w:bCs w:val="1"/>
          <w:color w:val="auto"/>
        </w:rPr>
        <w:t>FIRST BUSEY CORPORATION and Subsidiaries CONSOLIDATED STATEMENTS OF CASH FLOWS (Continued) (Unaudited)</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3"/>
          </w:tcPr>
          <w:p>
            <w:pPr>
              <w:jc w:val="right"/>
              <w:ind w:right="408"/>
              <w:spacing w:after="0"/>
              <w:rPr>
                <w:sz w:val="20"/>
                <w:szCs w:val="20"/>
                <w:color w:val="auto"/>
              </w:rPr>
            </w:pPr>
            <w:r>
              <w:rPr>
                <w:rFonts w:ascii="Arial" w:cs="Arial" w:eastAsia="Arial" w:hAnsi="Arial"/>
                <w:sz w:val="14"/>
                <w:szCs w:val="14"/>
                <w:i w:val="1"/>
                <w:iCs w:val="1"/>
                <w:color w:val="auto"/>
              </w:rPr>
              <w:t>(dollars 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tcPr>
          <w:p>
            <w:pPr>
              <w:ind w:left="200"/>
              <w:spacing w:after="0"/>
              <w:rPr>
                <w:sz w:val="20"/>
                <w:szCs w:val="20"/>
                <w:color w:val="auto"/>
              </w:rPr>
            </w:pPr>
            <w:r>
              <w:rPr>
                <w:rFonts w:ascii="Arial" w:cs="Arial" w:eastAsia="Arial" w:hAnsi="Arial"/>
                <w:sz w:val="14"/>
                <w:szCs w:val="14"/>
                <w:color w:val="auto"/>
              </w:rPr>
              <w:t>Net change in deposits</w:t>
            </w:r>
          </w:p>
        </w:tc>
        <w:tc>
          <w:tcPr>
            <w:tcW w:w="88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145,499</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38,069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change in federal funds purchased and securities sold under agreements to repurchase</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(45,549)</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tcPr>
          <w:p>
            <w:pPr>
              <w:ind w:left="200"/>
              <w:spacing w:after="0"/>
              <w:rPr>
                <w:sz w:val="20"/>
                <w:szCs w:val="20"/>
                <w:color w:val="auto"/>
              </w:rPr>
            </w:pPr>
            <w:r>
              <w:rPr>
                <w:rFonts w:ascii="Arial" w:cs="Arial" w:eastAsia="Arial" w:hAnsi="Arial"/>
                <w:sz w:val="14"/>
                <w:szCs w:val="14"/>
                <w:color w:val="auto"/>
              </w:rPr>
              <w:t>Proceeds from other borrowings</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60,000</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Repayment of FHLB advances, net</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(2,297)</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tcPr>
          <w:p>
            <w:pPr>
              <w:ind w:left="200"/>
              <w:spacing w:after="0"/>
              <w:rPr>
                <w:sz w:val="20"/>
                <w:szCs w:val="20"/>
                <w:color w:val="auto"/>
              </w:rPr>
            </w:pPr>
            <w:r>
              <w:rPr>
                <w:rFonts w:ascii="Arial" w:cs="Arial" w:eastAsia="Arial" w:hAnsi="Arial"/>
                <w:sz w:val="14"/>
                <w:szCs w:val="14"/>
                <w:color w:val="auto"/>
              </w:rPr>
              <w:t>Repayment of other borrowings</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(3,000)</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dividends paid</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(21,947)</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tcPr>
          <w:p>
            <w:pPr>
              <w:ind w:left="200"/>
              <w:spacing w:after="0"/>
              <w:rPr>
                <w:sz w:val="20"/>
                <w:szCs w:val="20"/>
                <w:color w:val="auto"/>
              </w:rPr>
            </w:pPr>
            <w:r>
              <w:rPr>
                <w:rFonts w:ascii="Arial" w:cs="Arial" w:eastAsia="Arial" w:hAnsi="Arial"/>
                <w:sz w:val="14"/>
                <w:szCs w:val="14"/>
                <w:color w:val="auto"/>
              </w:rPr>
              <w:t>Purchase of treasury stock</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(8,433)</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paid for withholding taxes on share based payments</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(835)</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tcPr>
          <w:p>
            <w:pPr>
              <w:ind w:left="200"/>
              <w:spacing w:after="0"/>
              <w:rPr>
                <w:sz w:val="20"/>
                <w:szCs w:val="20"/>
                <w:color w:val="auto"/>
              </w:rPr>
            </w:pPr>
            <w:r>
              <w:rPr>
                <w:rFonts w:ascii="Arial" w:cs="Arial" w:eastAsia="Arial" w:hAnsi="Arial"/>
                <w:sz w:val="14"/>
                <w:szCs w:val="14"/>
                <w:color w:val="auto"/>
              </w:rPr>
              <w:t>Proceeds from stock options exercised</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169</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Common stock issuance costs</w:t>
            </w:r>
          </w:p>
        </w:tc>
        <w:tc>
          <w:tcPr>
            <w:tcW w:w="7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(234)</w:t>
            </w: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123,373</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(115,598)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00" w:type="dxa"/>
            <w:vAlign w:val="bottom"/>
          </w:tcPr>
          <w:p>
            <w:pPr>
              <w:spacing w:after="0"/>
              <w:rPr>
                <w:sz w:val="20"/>
                <w:szCs w:val="20"/>
                <w:color w:val="auto"/>
              </w:rPr>
            </w:pPr>
            <w:r>
              <w:rPr>
                <w:rFonts w:ascii="Arial" w:cs="Arial" w:eastAsia="Arial" w:hAnsi="Arial"/>
                <w:sz w:val="14"/>
                <w:szCs w:val="14"/>
                <w:b w:val="1"/>
                <w:bCs w:val="1"/>
                <w:color w:val="auto"/>
              </w:rPr>
              <w:t>Net increase in cash and cash equivalents</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180,234</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(122,542)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7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239,973</w:t>
            </w: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353,272</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ending of period</w:t>
            </w:r>
          </w:p>
        </w:tc>
        <w:tc>
          <w:tcPr>
            <w:tcW w:w="88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420,207</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6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Payments for:</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tcPr>
          <w:p>
            <w:pPr>
              <w:ind w:left="200"/>
              <w:spacing w:after="0"/>
              <w:rPr>
                <w:sz w:val="20"/>
                <w:szCs w:val="20"/>
                <w:color w:val="auto"/>
              </w:rPr>
            </w:pPr>
            <w:r>
              <w:rPr>
                <w:rFonts w:ascii="Arial" w:cs="Arial" w:eastAsia="Arial" w:hAnsi="Arial"/>
                <w:sz w:val="14"/>
                <w:szCs w:val="14"/>
                <w:color w:val="auto"/>
              </w:rPr>
              <w:t>Interest</w:t>
            </w:r>
          </w:p>
        </w:tc>
        <w:tc>
          <w:tcPr>
            <w:tcW w:w="88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33,122</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17,212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10,555</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tcPr>
          <w:p>
            <w:pPr>
              <w:ind w:left="200"/>
              <w:spacing w:after="0"/>
              <w:rPr>
                <w:sz w:val="20"/>
                <w:szCs w:val="20"/>
                <w:color w:val="auto"/>
              </w:rPr>
            </w:pPr>
            <w:r>
              <w:rPr>
                <w:rFonts w:ascii="Arial" w:cs="Arial" w:eastAsia="Arial" w:hAnsi="Arial"/>
                <w:sz w:val="14"/>
                <w:szCs w:val="14"/>
                <w:color w:val="auto"/>
              </w:rPr>
              <w:t>OREO acquired in settlement of loans</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1,396</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Transfer of debt securities held to maturity to available for sale</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573,639</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Financial Statement Presentation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When preparing these unaudited consolidated financial statements of First Busey Corporation and its subsidiaries (“First Busey,” “Company,” “we,” or “our”), a Nevada corporation, we have assumed that you have read the audited consolidated financial statements included in our Annual Report on Form 10-K for the year ended December 31, 2018 (“2018 Form 10-K”). These interim unaudited consolidated financial statements serve to update our 2018 Form 10-K and may not include all information and notes necessary to constitute a complete set of financial statements.</w:t>
      </w:r>
    </w:p>
    <w:p>
      <w:pPr>
        <w:spacing w:after="0" w:line="188"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We prepared these unaudited consolidated financial statements in accordance with accounting principles generally accepted in the United States of America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83"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96" w:lineRule="exact"/>
        <w:rPr>
          <w:sz w:val="20"/>
          <w:szCs w:val="20"/>
          <w:color w:val="auto"/>
        </w:rPr>
      </w:pPr>
    </w:p>
    <w:p>
      <w:pPr>
        <w:jc w:val="both"/>
        <w:ind w:right="280"/>
        <w:spacing w:after="0" w:line="284" w:lineRule="auto"/>
        <w:rPr>
          <w:sz w:val="20"/>
          <w:szCs w:val="20"/>
          <w:color w:val="auto"/>
        </w:rPr>
      </w:pPr>
      <w:r>
        <w:rPr>
          <w:rFonts w:ascii="Arial" w:cs="Arial" w:eastAsia="Arial" w:hAnsi="Arial"/>
          <w:sz w:val="16"/>
          <w:szCs w:val="16"/>
          <w:color w:val="auto"/>
        </w:rPr>
        <w:t>The Company has evaluated subsequent events for potential recognition and/or disclosure through the date the unaudited consolidated financial statements included in this Quarterly Report on Form 10-Q were issued. There were no significant subsequent events for the quarter ended June 30, 2019 through the issuance date of these unaudited consolidated financial statements that warranted adjustment to or disclosure in the unaudited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preparing the accompanying unaudited consolidated financial statements in conformity with GAAP, the Company’s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investment securities, fair value of assets acquired and liabilities assumed in business combinations, goodwill, income taxes and the determination of the allowance for loan losses.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determination is made at inception if an arrangement contains a lease. For arrangements that contain a lease, the Company recognizes the lease on the balance sheet as a right of use asset and corresponding lease liability. Lease-related assets, or right of use assets, are recognized on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Operating lease expense is recognized on a straight-line basis over the lease term, while variable lease payments are expensed as incurred.</w:t>
      </w:r>
    </w:p>
    <w:p>
      <w:pPr>
        <w:spacing w:after="0" w:line="2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Topic 842 requires the use of the rate implicit in the lease whenever this rate is readily determinable. If not readily determinable, the Company utilizes its incremental borrowing rate at lease inception, on a collateralized basis, over a similar term. For operating leases existing prior to January 1, 2019, the Company used a borrowing rate that corresponded to the remaining lease term.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Company’s lease agreements often include one or more options to renew at the Company’s discretion. If at lease inception, the Company considers the exercising of a renewal option to be reasonably certain, the Company will include the extended term in the calculation of the right-of-use asset and lease liability.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recently adopted accounting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January 1, 2019, the Company adopted </w:t>
      </w:r>
      <w:r>
        <w:rPr>
          <w:rFonts w:ascii="Arial" w:cs="Arial" w:eastAsia="Arial" w:hAnsi="Arial"/>
          <w:sz w:val="16"/>
          <w:szCs w:val="16"/>
          <w:i w:val="1"/>
          <w:iCs w:val="1"/>
          <w:color w:val="auto"/>
        </w:rPr>
        <w:t>ASU No. 2016-02 “Leases (Topic 842)</w:t>
      </w:r>
      <w:r>
        <w:rPr>
          <w:rFonts w:ascii="Arial" w:cs="Arial" w:eastAsia="Arial" w:hAnsi="Arial"/>
          <w:sz w:val="16"/>
          <w:szCs w:val="16"/>
          <w:color w:val="auto"/>
        </w:rPr>
        <w:t xml:space="preserve"> and all subsequent ASUs that modified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Topic 842. The Company made the following elections for all leases in connection with the adoption of this guidance:</w:t>
      </w:r>
    </w:p>
    <w:p>
      <w:pPr>
        <w:spacing w:after="0" w:line="99" w:lineRule="exact"/>
        <w:rPr>
          <w:sz w:val="20"/>
          <w:szCs w:val="20"/>
          <w:color w:val="auto"/>
        </w:rPr>
      </w:pPr>
    </w:p>
    <w:p>
      <w:pPr>
        <w:ind w:left="680" w:right="420" w:hanging="320"/>
        <w:spacing w:after="0" w:line="24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the package of practical expedients to not reassess prior conclusions related to contracts containing leases, lease classification and initial direct costs;</w:t>
      </w:r>
    </w:p>
    <w:p>
      <w:pPr>
        <w:ind w:left="680" w:hanging="320"/>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did not elect the hindsight practical expedient;</w:t>
      </w:r>
    </w:p>
    <w:p>
      <w:pPr>
        <w:ind w:left="680" w:hanging="320"/>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the optional transition method that allows companies to use the effective date as the date of initial application on transition. As a result, the Company did not adjust comparative period financial information or make the newly required lease disclosures for periods before the effective date;</w:t>
      </w:r>
    </w:p>
    <w:p>
      <w:pPr>
        <w:spacing w:after="0" w:line="2" w:lineRule="exact"/>
        <w:rPr>
          <w:rFonts w:ascii="Arial" w:cs="Arial" w:eastAsia="Arial" w:hAnsi="Arial"/>
          <w:sz w:val="18"/>
          <w:szCs w:val="18"/>
          <w:color w:val="auto"/>
        </w:rPr>
      </w:pPr>
    </w:p>
    <w:p>
      <w:pPr>
        <w:ind w:left="680" w:hanging="320"/>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not to apply the above guidance to short-term leases;</w:t>
      </w:r>
    </w:p>
    <w:p>
      <w:pPr>
        <w:ind w:left="680" w:right="280" w:hanging="320"/>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to separate the lease components from the nonlease components and exclude the nonlease components from the right-of-use asset and lease liability; and</w:t>
      </w:r>
    </w:p>
    <w:p>
      <w:pPr>
        <w:spacing w:after="0" w:line="1" w:lineRule="exact"/>
        <w:rPr>
          <w:rFonts w:ascii="Arial" w:cs="Arial" w:eastAsia="Arial" w:hAnsi="Arial"/>
          <w:sz w:val="18"/>
          <w:szCs w:val="18"/>
          <w:color w:val="auto"/>
        </w:rPr>
      </w:pPr>
    </w:p>
    <w:p>
      <w:pPr>
        <w:ind w:left="680" w:hanging="32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did not elect the land easement practical expedient.</w:t>
      </w:r>
    </w:p>
    <w:p>
      <w:pPr>
        <w:spacing w:after="0" w:line="20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At the date of adoption, the Company recorded approximately $8.1 million on its Consolidated Balance Sheets to reflect the right of use asset and associated lease liability. The Company utilized its incremental borrowing rate, on a collateralized basis, for the remaining contractual lease term.</w:t>
      </w:r>
    </w:p>
    <w:p>
      <w:pPr>
        <w:spacing w:after="0" w:line="196"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i w:val="1"/>
          <w:iCs w:val="1"/>
          <w:color w:val="auto"/>
        </w:rPr>
        <w:t xml:space="preserve">ASU 2017-08, "Receivables - Nonrefundable Fees and Other Costs (Subtopic 310-20), Premium Amortization on Purchased Callable Debt Securities." </w:t>
      </w:r>
      <w:r>
        <w:rPr>
          <w:rFonts w:ascii="Arial" w:cs="Arial" w:eastAsia="Arial" w:hAnsi="Arial"/>
          <w:sz w:val="16"/>
          <w:szCs w:val="16"/>
          <w:color w:val="auto"/>
        </w:rPr>
        <w:t>ASU 2017-08 shortens the amortization period for certain callable debt securities held at a</w:t>
      </w:r>
      <w:r>
        <w:rPr>
          <w:rFonts w:ascii="Arial" w:cs="Arial" w:eastAsia="Arial" w:hAnsi="Arial"/>
          <w:sz w:val="16"/>
          <w:szCs w:val="16"/>
          <w:i w:val="1"/>
          <w:iCs w:val="1"/>
          <w:color w:val="auto"/>
        </w:rPr>
        <w:t xml:space="preserve"> </w:t>
      </w:r>
      <w:r>
        <w:rPr>
          <w:rFonts w:ascii="Arial" w:cs="Arial" w:eastAsia="Arial" w:hAnsi="Arial"/>
          <w:sz w:val="16"/>
          <w:szCs w:val="16"/>
          <w:color w:val="auto"/>
        </w:rPr>
        <w:t>premium, requiring the premium to be amortized to the earliest call date. ASU 2017-08 does not require an accounting change for securities held at a discount; the discount continues to be amortized to maturity. This guidance was effective for annual reporting periods beginning after December 15, 2018, including interim periods within those fiscal years. The adoption of this guidance did not have a material impact on the Company’s consolidated financial statements.</w:t>
      </w:r>
    </w:p>
    <w:p>
      <w:pPr>
        <w:spacing w:after="0" w:line="176"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i w:val="1"/>
          <w:iCs w:val="1"/>
          <w:color w:val="auto"/>
        </w:rPr>
        <w:t xml:space="preserve">ASU 2017-12, "Derivatives and Hedging (Topic 815): Targeted Improvements to Accounting for Hedging Activities."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2017-12 amends Topic 815 to reduce the cost and complexity of applying hedge accounting and expands the types of relationships that qualify for hedge accounting. The guidance eliminates the requirement to separately measure and report hedge ineffectiveness, requires all items that affect earnings to be presented in the same income statement line as the hedged item, provides for applying hedge accounting to additional hedging strategies, provides for new approaches to measuring the hedged item in fair value hedges of interest rate risk, and eases the requirements for effective testing and hedge documentation. This guidance was effective for annual reporting periods beginning after December 15, 2018, including interim periods within those fiscal years. During the first quarter of 2019, the Company adopted this guidance, reassessed classification of certain investments and transferred $573.6 million of securities from held to maturity to available for sale.</w:t>
      </w:r>
    </w:p>
    <w:p>
      <w:pPr>
        <w:spacing w:after="0" w:line="18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auto"/>
        </w:rPr>
        <w:t xml:space="preserve">ASU 2018-07, "Compensation-Stock Compensation (Topic 718): Improvements to Nonemployee Share-Based Payment Accounting." </w:t>
      </w:r>
      <w:r>
        <w:rPr>
          <w:rFonts w:ascii="Arial" w:cs="Arial" w:eastAsia="Arial" w:hAnsi="Arial"/>
          <w:sz w:val="18"/>
          <w:szCs w:val="18"/>
          <w:color w:val="auto"/>
        </w:rPr>
        <w:t>ASU 2018-07 expands the scope of Topic 718 to include share-based payment transactions for acquiring goods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services from nonemployees. This guidance was effective for annual reporting periods beginning after December 15, 2018, including interim periods within those fiscal years. The adoption of this guidance did not have a material impact on the Company’s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i w:val="1"/>
          <w:iCs w:val="1"/>
          <w:color w:val="auto"/>
        </w:rPr>
        <w:t xml:space="preserve">ASU 2016-13, "Financial Instruments - Credit Losses (Topic 326): Measurement of Credit Losses on Financial Instruments." </w:t>
      </w:r>
      <w:r>
        <w:rPr>
          <w:rFonts w:ascii="Arial" w:cs="Arial" w:eastAsia="Arial" w:hAnsi="Arial"/>
          <w:sz w:val="16"/>
          <w:szCs w:val="16"/>
          <w:color w:val="auto"/>
        </w:rPr>
        <w:t>ASU 2016-13 implements a change from the current impaired loss model to an expected credit loss model over the life of an instrument, including loans and securities held to maturity. The expected credit loss model is expected to result in earlier recognition of losses. ASU 2016-13 is effective for fiscal years beginning after December 15, 2019 including interim periods with those years. The Company has developed and is executing a project plan to implement this guidance. The project plan includes an assessment of data, development of CECL methodologies, model validation, and parallel runs to assess the impact of CECL calculations on its consolidated financial statements and evaluation of related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Banc Ed Corp.</w:t>
      </w:r>
    </w:p>
    <w:p>
      <w:pPr>
        <w:spacing w:after="0" w:line="225"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On January 31, 2019, the Company completed its acquisition of The Banc Ed Corp. (“Banc Ed”). TheBANK of Edwardsville (“TheBANK”), Banc Ed’s wholly-owned bank subsidiary, will be merged with and into First Busey’s bank subsidiary, Busey Bank, in the fourth quarter of 2019. At the time of the bank merger, TheBANK’s banking offices will become branches of Busey Bank.</w:t>
      </w: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Under the terms of the Merger Agreement with Banc Ed, at the effective time of the acquisition, each share of Banc Ed common stock issued and outstanding was converted into the right to receive 8.2067 shares of the Company’s common stock, cash in lieu of fractional shares and $111.53 cash consideration per share. The market value of the 6.7 million shares of First Busey common stock issued at the effective time of the acquisition was approximately $166.5 million based on First Busey’s closing stock price of $24.76 on January 31, 2019.</w:t>
      </w:r>
    </w:p>
    <w:p>
      <w:pPr>
        <w:spacing w:after="0" w:line="20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was recorded at estimated fair values on the date of acquisition. Fair values are considered provisional until final fair values are determined or the measurement period has passed, but no later than one year from the acquisition date. Reviews of third party valuations are still being performed by management. Therefore amounts are subject to change and could change materially from the provisional amounts disclosed below.</w:t>
      </w:r>
    </w:p>
    <w:p>
      <w:pPr>
        <w:spacing w:after="0" w:line="17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First Busey incurred $4.0 million and $5.0 million in pre-tax expenses related to the acquisition of Banc Ed for the three and six months ended June 30, 2019, respectively, primarily for professional and legal fees and deconversion expenses, all of which are reported as a component of non-interest expense in the accompanying unaudited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99"/>
        <w:spacing w:after="0" w:line="262" w:lineRule="auto"/>
        <w:rPr>
          <w:sz w:val="20"/>
          <w:szCs w:val="20"/>
          <w:color w:val="auto"/>
        </w:rPr>
      </w:pPr>
      <w:r>
        <w:rPr>
          <w:rFonts w:ascii="Arial" w:cs="Arial" w:eastAsia="Arial" w:hAnsi="Arial"/>
          <w:sz w:val="18"/>
          <w:szCs w:val="18"/>
          <w:color w:val="auto"/>
        </w:rPr>
        <w:t xml:space="preserve">The following table presents the estimated fair value of Banc Ed’s assets acquired and liabilities assumed as of January 31, 2019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80"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Pr>
          <w:p>
            <w:pPr>
              <w:jc w:val="right"/>
              <w:ind w:right="55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6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1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Cash and cash equivalents</w:t>
            </w:r>
          </w:p>
        </w:tc>
        <w:tc>
          <w:tcPr>
            <w:tcW w:w="20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w:t>
            </w:r>
          </w:p>
        </w:tc>
        <w:tc>
          <w:tcPr>
            <w:tcW w:w="1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Loans held for sale</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Portfolio loans</w:t>
            </w:r>
          </w:p>
        </w:tc>
        <w:tc>
          <w:tcPr>
            <w:tcW w:w="1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Premises and equipment</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31,929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intangible assets</w:t>
            </w:r>
          </w:p>
        </w:tc>
        <w:tc>
          <w:tcPr>
            <w:tcW w:w="1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Mortgage servicing rights</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assets</w:t>
            </w:r>
          </w:p>
        </w:tc>
        <w:tc>
          <w:tcPr>
            <w:tcW w:w="16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acquired</w:t>
            </w:r>
          </w:p>
        </w:tc>
        <w:tc>
          <w:tcPr>
            <w:tcW w:w="1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1,738,978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Liabilities assumed:</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Deposits</w:t>
            </w:r>
          </w:p>
        </w:tc>
        <w:tc>
          <w:tcPr>
            <w:tcW w:w="1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Other borrowings</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63,439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liabilities</w:t>
            </w:r>
          </w:p>
        </w:tc>
        <w:tc>
          <w:tcPr>
            <w:tcW w:w="16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 assumed</w:t>
            </w:r>
          </w:p>
        </w:tc>
        <w:tc>
          <w:tcPr>
            <w:tcW w:w="1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8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20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211,257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Consideration paid:</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w:t>
            </w:r>
          </w:p>
        </w:tc>
        <w:tc>
          <w:tcPr>
            <w:tcW w:w="20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Common stock</w:t>
            </w:r>
          </w:p>
        </w:tc>
        <w:tc>
          <w:tcPr>
            <w:tcW w:w="1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consideration paid</w:t>
            </w:r>
          </w:p>
        </w:tc>
        <w:tc>
          <w:tcPr>
            <w:tcW w:w="16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257,915</w:t>
            </w:r>
          </w:p>
        </w:tc>
        <w:tc>
          <w:tcPr>
            <w:tcW w:w="0" w:type="dxa"/>
            <w:vAlign w:val="bottom"/>
          </w:tcPr>
          <w:p>
            <w:pPr>
              <w:spacing w:after="0"/>
              <w:rPr>
                <w:sz w:val="1"/>
                <w:szCs w:val="1"/>
                <w:color w:val="auto"/>
              </w:rPr>
            </w:pPr>
          </w:p>
        </w:tc>
      </w:tr>
      <w:tr>
        <w:trPr>
          <w:trHeight w:val="20"/>
        </w:trPr>
        <w:tc>
          <w:tcPr>
            <w:tcW w:w="36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79"/>
        <w:spacing w:after="0" w:line="268" w:lineRule="auto"/>
        <w:rPr>
          <w:sz w:val="20"/>
          <w:szCs w:val="20"/>
          <w:color w:val="auto"/>
        </w:rPr>
      </w:pPr>
      <w:r>
        <w:rPr>
          <w:rFonts w:ascii="Arial" w:cs="Arial" w:eastAsia="Arial" w:hAnsi="Arial"/>
          <w:sz w:val="16"/>
          <w:szCs w:val="16"/>
          <w:color w:val="auto"/>
        </w:rPr>
        <w:t xml:space="preserve">The loans acquired in this transaction were recorded at fair value with no carryover of any existing allowance for loan losses. Loans that were not deemed to be credit-impaired at the acquisition date were accounted for under Financial Accounting Standards Board (“FASB”) Accounting Standards Codification (“ASC”) </w:t>
      </w:r>
      <w:r>
        <w:rPr>
          <w:rFonts w:ascii="Arial" w:cs="Arial" w:eastAsia="Arial" w:hAnsi="Arial"/>
          <w:sz w:val="16"/>
          <w:szCs w:val="16"/>
          <w:i w:val="1"/>
          <w:iCs w:val="1"/>
          <w:color w:val="auto"/>
        </w:rPr>
        <w:t>310-20, Receivables-Nonrefundable</w:t>
      </w:r>
      <w:r>
        <w:rPr>
          <w:rFonts w:ascii="Arial" w:cs="Arial" w:eastAsia="Arial" w:hAnsi="Arial"/>
          <w:sz w:val="16"/>
          <w:szCs w:val="16"/>
          <w:color w:val="auto"/>
        </w:rPr>
        <w:t xml:space="preserve"> </w:t>
      </w:r>
      <w:r>
        <w:rPr>
          <w:rFonts w:ascii="Arial" w:cs="Arial" w:eastAsia="Arial" w:hAnsi="Arial"/>
          <w:sz w:val="16"/>
          <w:szCs w:val="16"/>
          <w:i w:val="1"/>
          <w:iCs w:val="1"/>
          <w:color w:val="auto"/>
        </w:rPr>
        <w:t>Fees and Other Costs</w:t>
      </w:r>
      <w:r>
        <w:rPr>
          <w:rFonts w:ascii="Arial" w:cs="Arial" w:eastAsia="Arial" w:hAnsi="Arial"/>
          <w:sz w:val="16"/>
          <w:szCs w:val="16"/>
          <w:color w:val="auto"/>
        </w:rPr>
        <w:t>, and were subsequently considered as part of the Company’s determination of the adequacy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allowance for loan losses. Purchased credit impaired (“PCI”) loans were accounted for under </w:t>
      </w:r>
      <w:r>
        <w:rPr>
          <w:rFonts w:ascii="Arial" w:cs="Arial" w:eastAsia="Arial" w:hAnsi="Arial"/>
          <w:sz w:val="16"/>
          <w:szCs w:val="16"/>
          <w:i w:val="1"/>
          <w:iCs w:val="1"/>
          <w:color w:val="auto"/>
        </w:rPr>
        <w:t>ASC 310-30, Receivables —</w:t>
      </w:r>
      <w:r>
        <w:rPr>
          <w:rFonts w:ascii="Arial" w:cs="Arial" w:eastAsia="Arial" w:hAnsi="Arial"/>
          <w:sz w:val="16"/>
          <w:szCs w:val="16"/>
          <w:color w:val="auto"/>
        </w:rPr>
        <w:t xml:space="preserve"> </w:t>
      </w:r>
      <w:r>
        <w:rPr>
          <w:rFonts w:ascii="Arial" w:cs="Arial" w:eastAsia="Arial" w:hAnsi="Arial"/>
          <w:sz w:val="16"/>
          <w:szCs w:val="16"/>
          <w:i w:val="1"/>
          <w:iCs w:val="1"/>
          <w:color w:val="auto"/>
        </w:rPr>
        <w:t>Loans and Debt Securities Acquired with Deteriorated Credit Quality</w:t>
      </w:r>
      <w:r>
        <w:rPr>
          <w:rFonts w:ascii="Arial" w:cs="Arial" w:eastAsia="Arial" w:hAnsi="Arial"/>
          <w:sz w:val="16"/>
          <w:szCs w:val="16"/>
          <w:color w:val="auto"/>
        </w:rPr>
        <w:t>. As of the acquisition date, the aggregate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outstanding and aggregate fair value of the acquired performing loans were $889.3 and $871.0 million, respectively. The difference between the carrying value and aggregate fair value of $17.0 million will be accreted over the estimated remaining life of the respective loans in a manner that approximates the level yield method. As of the acquisition date, the aggregate principal balance outstanding of PCI loans totaled $3.9 million and the aggregate fair value of PCI loans totaled $2.3 million. The accretable discount of $0.2 million on PCI loans represents the amount by which the undiscounted expected cash flows on such loans exceed their carrying value. The amount by which the contractual payments exceeds the undiscounted expected cash flows represents the non-accretable difference. The difference between contractually required payments at the acquisition date and the cash flow expected to be collected is referred to as the non-accretable difference. Further, the excess of cash flows expected at acquisition over the fair value is referred to as the accretable yield. At June 30, 2019, the carrying value of PCI loans acquired from Banc Ed was $1.7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Since the acquisition date, Banc Ed earned total revenues of $33.0 million and net income of $7.1 million, which are included in the Company’s unaudited Consolidated Statements of Income for the six months ended June 30, 2019. The following table provides the unaudited pro forma information for the results of operations for the three and six months ended June 30, 2019 and 2018, as if the acquisition had occurred January 1, 2018. The pro forma results combine the historical results of Banc Ed into the Company’s unaudited Consolidated Statements of Income, including the impact of purchase accounting adjustments including loan discount accretion, intangible assets amortization, deposit accretion and premises accretion, net of taxes. The pro forma results have been prepared for comparative purposes only and are not necessarily indicative of the results that would have been obtained had the acquisition actually occurred on January 1, 2018. No assumptions have been applied to the pro forma results of operations regarding possible revenue enhancements, expense efficiencies or asset dispositions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13"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Pro Forma</w:t>
      </w:r>
    </w:p>
    <w:p>
      <w:pPr>
        <w:sectPr>
          <w:pgSz w:w="11900" w:h="16838" w:orient="portrait"/>
          <w:cols w:equalWidth="0" w:num="1">
            <w:col w:w="9060"/>
          </w:cols>
          <w:pgMar w:left="1420" w:top="530" w:right="1419" w:bottom="1440" w:gutter="0" w:footer="0" w:header="0"/>
        </w:sectPr>
      </w:pPr>
    </w:p>
    <w:p>
      <w:pPr>
        <w:spacing w:after="0" w:line="25" w:lineRule="exact"/>
        <w:rPr>
          <w:sz w:val="20"/>
          <w:szCs w:val="20"/>
          <w:color w:val="auto"/>
        </w:rPr>
      </w:pPr>
    </w:p>
    <w:p>
      <w:pPr>
        <w:jc w:val="center"/>
        <w:ind w:left="408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22860</wp:posOffset>
            </wp:positionV>
            <wp:extent cx="15951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p>
    <w:p>
      <w:pPr>
        <w:ind w:left="4340"/>
        <w:spacing w:after="0"/>
        <w:tabs>
          <w:tab w:leader="none" w:pos="56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22860</wp:posOffset>
            </wp:positionV>
            <wp:extent cx="15951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35" w:lineRule="exact"/>
        <w:rPr>
          <w:sz w:val="20"/>
          <w:szCs w:val="20"/>
          <w:color w:val="auto"/>
        </w:rPr>
      </w:pPr>
    </w:p>
    <w:p>
      <w:pPr>
        <w:sectPr>
          <w:pgSz w:w="11900" w:h="16838" w:orient="portrait"/>
          <w:cols w:equalWidth="0" w:num="2">
            <w:col w:w="6240" w:space="720"/>
            <w:col w:w="2100"/>
          </w:cols>
          <w:pgMar w:left="1420" w:top="530" w:right="141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 (net interest income plus non-</w:t>
            </w: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101,324</w:t>
            </w:r>
          </w:p>
        </w:tc>
        <w:tc>
          <w:tcPr>
            <w:tcW w:w="4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105,517</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201,976</w:t>
            </w:r>
          </w:p>
        </w:tc>
        <w:tc>
          <w:tcPr>
            <w:tcW w:w="4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206,635</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26,947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30,578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54,337</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56,931</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0.48</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0.97</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Securities</w:t>
      </w:r>
    </w:p>
    <w:p>
      <w:pPr>
        <w:spacing w:after="0" w:line="229"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 xml:space="preserve">The table below provides the amortized cost, unrealized gains and losses and fair values of debt securities summarized by major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35"/>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980" w:type="dxa"/>
            <w:vAlign w:val="bottom"/>
          </w:tcPr>
          <w:p>
            <w:pPr>
              <w:jc w:val="center"/>
              <w:ind w:right="135"/>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Amortized</w:t>
            </w:r>
          </w:p>
        </w:tc>
        <w:tc>
          <w:tcPr>
            <w:tcW w:w="260" w:type="dxa"/>
            <w:vAlign w:val="bottom"/>
          </w:tcPr>
          <w:p>
            <w:pPr>
              <w:spacing w:after="0"/>
              <w:rPr>
                <w:sz w:val="15"/>
                <w:szCs w:val="15"/>
                <w:color w:val="auto"/>
              </w:rPr>
            </w:pPr>
          </w:p>
        </w:tc>
        <w:tc>
          <w:tcPr>
            <w:tcW w:w="94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5"/>
                <w:szCs w:val="15"/>
                <w:color w:val="auto"/>
              </w:rPr>
            </w:pPr>
          </w:p>
        </w:tc>
        <w:tc>
          <w:tcPr>
            <w:tcW w:w="980" w:type="dxa"/>
            <w:vAlign w:val="bottom"/>
          </w:tcPr>
          <w:p>
            <w:pPr>
              <w:jc w:val="center"/>
              <w:ind w:right="135"/>
              <w:spacing w:after="0"/>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5"/>
                <w:szCs w:val="15"/>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398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June 30, 2019:</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354"/>
              <w:spacing w:after="0" w:line="158" w:lineRule="exact"/>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3"/>
                <w:szCs w:val="13"/>
                <w:color w:val="auto"/>
              </w:rPr>
            </w:pPr>
          </w:p>
        </w:tc>
        <w:tc>
          <w:tcPr>
            <w:tcW w:w="94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3"/>
                <w:szCs w:val="13"/>
                <w:color w:val="auto"/>
              </w:rPr>
            </w:pPr>
          </w:p>
        </w:tc>
        <w:tc>
          <w:tcPr>
            <w:tcW w:w="98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860" w:type="dxa"/>
            <w:vAlign w:val="bottom"/>
          </w:tcPr>
          <w:p>
            <w:pPr>
              <w:jc w:val="right"/>
              <w:ind w:right="254"/>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Debt securities available for sale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U.S. Treasury securities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58,308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58,535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U.S. government corporations and</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287,444</w:t>
            </w:r>
          </w:p>
        </w:tc>
        <w:tc>
          <w:tcPr>
            <w:tcW w:w="26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3,370</w:t>
            </w:r>
          </w:p>
        </w:tc>
        <w:tc>
          <w:tcPr>
            <w:tcW w:w="26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290,766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agencies</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Obligations of states and political subdivisions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274,301</w:t>
            </w:r>
          </w:p>
        </w:tc>
        <w:tc>
          <w:tcPr>
            <w:tcW w:w="26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4,683</w:t>
            </w:r>
          </w:p>
        </w:tc>
        <w:tc>
          <w:tcPr>
            <w:tcW w:w="26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278,930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122,510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1,678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951,998</w:t>
            </w:r>
          </w:p>
        </w:tc>
        <w:tc>
          <w:tcPr>
            <w:tcW w:w="26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10,394</w:t>
            </w:r>
          </w:p>
        </w:tc>
        <w:tc>
          <w:tcPr>
            <w:tcW w:w="26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(1,255)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961,137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133,053</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1,514</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134,550</w:t>
            </w:r>
          </w:p>
        </w:tc>
        <w:tc>
          <w:tcPr>
            <w:tcW w:w="0" w:type="dxa"/>
            <w:vAlign w:val="bottom"/>
          </w:tcPr>
          <w:p>
            <w:pPr>
              <w:spacing w:after="0"/>
              <w:rPr>
                <w:sz w:val="1"/>
                <w:szCs w:val="1"/>
                <w:color w:val="auto"/>
              </w:rPr>
            </w:pPr>
          </w:p>
        </w:tc>
      </w:tr>
      <w:tr>
        <w:trPr>
          <w:trHeight w:val="263"/>
        </w:trPr>
        <w:tc>
          <w:tcPr>
            <w:tcW w:w="3980" w:type="dxa"/>
            <w:vAlign w:val="bottom"/>
            <w:gridSpan w:val="4"/>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1,827,614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21,899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(1,440)</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1,848,073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Debt securities held to maturity</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shd w:val="clear" w:color="auto" w:fill="CCEEFF"/>
          </w:tcPr>
          <w:p>
            <w:pPr>
              <w:spacing w:after="0" w:line="230" w:lineRule="exact"/>
              <w:rPr>
                <w:sz w:val="20"/>
                <w:szCs w:val="20"/>
                <w:color w:val="auto"/>
              </w:rPr>
            </w:pPr>
            <w:r>
              <w:rPr>
                <w:rFonts w:ascii="Arial" w:cs="Arial" w:eastAsia="Arial" w:hAnsi="Arial"/>
                <w:sz w:val="17"/>
                <w:szCs w:val="17"/>
                <w:color w:val="auto"/>
              </w:rPr>
              <w:t>Obligations of states and political subdivisions</w:t>
            </w:r>
            <w:r>
              <w:rPr>
                <w:rFonts w:ascii="Arial" w:cs="Arial" w:eastAsia="Arial" w:hAnsi="Arial"/>
                <w:sz w:val="26"/>
                <w:szCs w:val="26"/>
                <w:color w:val="auto"/>
                <w:vertAlign w:val="superscript"/>
              </w:rPr>
              <w:t>(1)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15,708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hanging="331"/>
        <w:spacing w:after="0" w:line="229" w:lineRule="auto"/>
        <w:tabs>
          <w:tab w:leader="none" w:pos="34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Gross unrealized losses less than one thousand dollars.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right="74"/>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5"/>
                <w:szCs w:val="15"/>
                <w:color w:val="auto"/>
              </w:rPr>
            </w:pPr>
          </w:p>
        </w:tc>
        <w:tc>
          <w:tcPr>
            <w:tcW w:w="980" w:type="dxa"/>
            <w:vAlign w:val="bottom"/>
          </w:tcPr>
          <w:p>
            <w:pPr>
              <w:jc w:val="center"/>
              <w:ind w:right="134"/>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w w:val="99"/>
              </w:rPr>
              <w:t>Amortized</w:t>
            </w:r>
          </w:p>
        </w:tc>
        <w:tc>
          <w:tcPr>
            <w:tcW w:w="240" w:type="dxa"/>
            <w:vAlign w:val="bottom"/>
          </w:tcPr>
          <w:p>
            <w:pPr>
              <w:spacing w:after="0"/>
              <w:rPr>
                <w:sz w:val="15"/>
                <w:szCs w:val="15"/>
                <w:color w:val="auto"/>
              </w:rPr>
            </w:pPr>
          </w:p>
        </w:tc>
        <w:tc>
          <w:tcPr>
            <w:tcW w:w="96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5"/>
                <w:szCs w:val="15"/>
                <w:color w:val="auto"/>
              </w:rPr>
            </w:pPr>
          </w:p>
        </w:tc>
        <w:tc>
          <w:tcPr>
            <w:tcW w:w="980" w:type="dxa"/>
            <w:vAlign w:val="bottom"/>
          </w:tcPr>
          <w:p>
            <w:pPr>
              <w:jc w:val="center"/>
              <w:ind w:right="134"/>
              <w:spacing w:after="0"/>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5"/>
                <w:szCs w:val="15"/>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44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333"/>
              <w:spacing w:after="0" w:line="158" w:lineRule="exact"/>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3"/>
                <w:szCs w:val="13"/>
                <w:color w:val="auto"/>
              </w:rPr>
            </w:pPr>
          </w:p>
        </w:tc>
        <w:tc>
          <w:tcPr>
            <w:tcW w:w="960" w:type="dxa"/>
            <w:vAlign w:val="bottom"/>
          </w:tcPr>
          <w:p>
            <w:pPr>
              <w:jc w:val="center"/>
              <w:ind w:right="74"/>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3"/>
                <w:szCs w:val="13"/>
                <w:color w:val="auto"/>
              </w:rPr>
            </w:pPr>
          </w:p>
        </w:tc>
        <w:tc>
          <w:tcPr>
            <w:tcW w:w="980" w:type="dxa"/>
            <w:vAlign w:val="bottom"/>
          </w:tcPr>
          <w:p>
            <w:pPr>
              <w:jc w:val="center"/>
              <w:ind w:right="134"/>
              <w:spacing w:after="0" w:line="158" w:lineRule="exact"/>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3"/>
                <w:szCs w:val="13"/>
                <w:color w:val="auto"/>
              </w:rPr>
            </w:pPr>
          </w:p>
        </w:tc>
        <w:tc>
          <w:tcPr>
            <w:tcW w:w="840" w:type="dxa"/>
            <w:vAlign w:val="bottom"/>
          </w:tcPr>
          <w:p>
            <w:pPr>
              <w:jc w:val="right"/>
              <w:ind w:right="273"/>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Debt securities available for sale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25,824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U.S. government corporations and</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53,096</w:t>
            </w:r>
          </w:p>
        </w:tc>
        <w:tc>
          <w:tcPr>
            <w:tcW w:w="24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30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52,342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agencies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171,131</w:t>
            </w:r>
          </w:p>
        </w:tc>
        <w:tc>
          <w:tcPr>
            <w:tcW w:w="24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484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(1,571)</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2,003</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322,646</w:t>
            </w:r>
          </w:p>
        </w:tc>
        <w:tc>
          <w:tcPr>
            <w:tcW w:w="24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(7,143)</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315,748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132,513</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132,198</w:t>
            </w:r>
          </w:p>
        </w:tc>
        <w:tc>
          <w:tcPr>
            <w:tcW w:w="0" w:type="dxa"/>
            <w:vAlign w:val="bottom"/>
          </w:tcPr>
          <w:p>
            <w:pPr>
              <w:spacing w:after="0"/>
              <w:rPr>
                <w:sz w:val="1"/>
                <w:szCs w:val="1"/>
                <w:color w:val="auto"/>
              </w:rPr>
            </w:pPr>
          </w:p>
        </w:tc>
      </w:tr>
      <w:tr>
        <w:trPr>
          <w:trHeight w:val="263"/>
        </w:trPr>
        <w:tc>
          <w:tcPr>
            <w:tcW w:w="44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2"/>
                <w:szCs w:val="2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707,213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798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(10,326)</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Debt securities held to maturity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33,947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59,054</w:t>
            </w:r>
          </w:p>
        </w:tc>
        <w:tc>
          <w:tcPr>
            <w:tcW w:w="24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515,659</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1,748</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511,370</w:t>
            </w:r>
          </w:p>
        </w:tc>
        <w:tc>
          <w:tcPr>
            <w:tcW w:w="0" w:type="dxa"/>
            <w:vAlign w:val="bottom"/>
          </w:tcPr>
          <w:p>
            <w:pPr>
              <w:spacing w:after="0"/>
              <w:rPr>
                <w:sz w:val="1"/>
                <w:szCs w:val="1"/>
                <w:color w:val="auto"/>
              </w:rPr>
            </w:pPr>
          </w:p>
        </w:tc>
      </w:tr>
      <w:tr>
        <w:trPr>
          <w:trHeight w:val="223"/>
        </w:trPr>
        <w:tc>
          <w:tcPr>
            <w:tcW w:w="44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608,660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1,827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(7,127)</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adopting ASU 2017-12, the Company reassessed the classification of certain investments during the first quarter of 2019 and transferred $573.6 million of securities from held to maturity to available for sale. The transfer occurred at fair value and had a related unrealized loss of $4.8 million recorded in other comprehensive income.</w:t>
      </w:r>
    </w:p>
    <w:p>
      <w:pPr>
        <w:spacing w:after="0" w:line="17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 xml:space="preserve">The amortized cost and fair value of debt securities, by contractual maturity or pre-refunded date, are shown below. Mortgages underlying mortgage-backed securities may be called or prepaid; therefore, actual maturities could differ from the contractual maturities. All mortgage-backed securities were issued by U.S. government agencies and corporations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3" w:lineRule="exact"/>
        <w:rPr>
          <w:sz w:val="20"/>
          <w:szCs w:val="20"/>
          <w:color w:val="auto"/>
        </w:rPr>
      </w:pPr>
    </w:p>
    <w:tbl>
      <w:tblPr>
        <w:tblLayout w:type="fixed"/>
        <w:tblInd w:w="74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w w:val="91"/>
              </w:rPr>
              <w:t>Debt securities available for sale</w:t>
            </w: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w w:val="91"/>
              </w:rPr>
              <w:t>Debt securities held to maturity</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157"/>
              <w:spacing w:after="0" w:line="160" w:lineRule="exact"/>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3"/>
                <w:szCs w:val="13"/>
                <w:color w:val="auto"/>
              </w:rPr>
            </w:pPr>
          </w:p>
        </w:tc>
        <w:tc>
          <w:tcPr>
            <w:tcW w:w="920" w:type="dxa"/>
            <w:vAlign w:val="bottom"/>
          </w:tcPr>
          <w:p>
            <w:pPr>
              <w:jc w:val="right"/>
              <w:ind w:right="355"/>
              <w:spacing w:after="0" w:line="160"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3"/>
                <w:szCs w:val="13"/>
                <w:color w:val="auto"/>
              </w:rPr>
            </w:pPr>
          </w:p>
        </w:tc>
        <w:tc>
          <w:tcPr>
            <w:tcW w:w="940" w:type="dxa"/>
            <w:vAlign w:val="bottom"/>
          </w:tcPr>
          <w:p>
            <w:pPr>
              <w:jc w:val="right"/>
              <w:ind w:right="157"/>
              <w:spacing w:after="0" w:line="160" w:lineRule="exact"/>
              <w:rPr>
                <w:sz w:val="20"/>
                <w:szCs w:val="20"/>
                <w:color w:val="auto"/>
              </w:rPr>
            </w:pPr>
            <w:r>
              <w:rPr>
                <w:rFonts w:ascii="Arial" w:cs="Arial" w:eastAsia="Arial" w:hAnsi="Arial"/>
                <w:sz w:val="14"/>
                <w:szCs w:val="14"/>
                <w:b w:val="1"/>
                <w:bCs w:val="1"/>
                <w:color w:val="auto"/>
                <w:w w:val="99"/>
              </w:rPr>
              <w:t>Amortized</w:t>
            </w:r>
          </w:p>
        </w:tc>
        <w:tc>
          <w:tcPr>
            <w:tcW w:w="340" w:type="dxa"/>
            <w:vAlign w:val="bottom"/>
          </w:tcPr>
          <w:p>
            <w:pPr>
              <w:spacing w:after="0"/>
              <w:rPr>
                <w:sz w:val="13"/>
                <w:szCs w:val="13"/>
                <w:color w:val="auto"/>
              </w:rPr>
            </w:pPr>
          </w:p>
        </w:tc>
        <w:tc>
          <w:tcPr>
            <w:tcW w:w="760" w:type="dxa"/>
            <w:vAlign w:val="bottom"/>
          </w:tcPr>
          <w:p>
            <w:pPr>
              <w:jc w:val="right"/>
              <w:ind w:right="275"/>
              <w:spacing w:after="0" w:line="160"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30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June 30, 2019:</w:t>
            </w:r>
          </w:p>
        </w:tc>
        <w:tc>
          <w:tcPr>
            <w:tcW w:w="80" w:type="dxa"/>
            <w:vAlign w:val="bottom"/>
          </w:tcPr>
          <w:p>
            <w:pPr>
              <w:spacing w:after="0"/>
              <w:rPr>
                <w:sz w:val="13"/>
                <w:szCs w:val="13"/>
                <w:color w:val="auto"/>
              </w:rPr>
            </w:pPr>
          </w:p>
        </w:tc>
        <w:tc>
          <w:tcPr>
            <w:tcW w:w="980" w:type="dxa"/>
            <w:vAlign w:val="bottom"/>
          </w:tcPr>
          <w:p>
            <w:pPr>
              <w:jc w:val="right"/>
              <w:ind w:right="357"/>
              <w:spacing w:after="0" w:line="158"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3"/>
                <w:szCs w:val="13"/>
                <w:color w:val="auto"/>
              </w:rPr>
            </w:pPr>
          </w:p>
        </w:tc>
        <w:tc>
          <w:tcPr>
            <w:tcW w:w="920" w:type="dxa"/>
            <w:vAlign w:val="bottom"/>
          </w:tcPr>
          <w:p>
            <w:pPr>
              <w:jc w:val="right"/>
              <w:ind w:right="315"/>
              <w:spacing w:after="0" w:line="158" w:lineRule="exact"/>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3"/>
                <w:szCs w:val="13"/>
                <w:color w:val="auto"/>
              </w:rPr>
            </w:pPr>
          </w:p>
        </w:tc>
        <w:tc>
          <w:tcPr>
            <w:tcW w:w="940" w:type="dxa"/>
            <w:vAlign w:val="bottom"/>
          </w:tcPr>
          <w:p>
            <w:pPr>
              <w:jc w:val="right"/>
              <w:ind w:right="337"/>
              <w:spacing w:after="0" w:line="158" w:lineRule="exact"/>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3"/>
                <w:szCs w:val="13"/>
                <w:color w:val="auto"/>
              </w:rPr>
            </w:pPr>
          </w:p>
        </w:tc>
        <w:tc>
          <w:tcPr>
            <w:tcW w:w="76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220,023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220,304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2,724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Due after one year through five</w:t>
            </w:r>
          </w:p>
        </w:tc>
        <w:tc>
          <w:tcPr>
            <w:tcW w:w="80" w:type="dxa"/>
            <w:vAlign w:val="bottom"/>
          </w:tcPr>
          <w:p>
            <w:pPr>
              <w:spacing w:after="0"/>
              <w:rPr>
                <w:sz w:val="20"/>
                <w:szCs w:val="20"/>
                <w:color w:val="auto"/>
              </w:rPr>
            </w:pPr>
          </w:p>
        </w:tc>
        <w:tc>
          <w:tcPr>
            <w:tcW w:w="980" w:type="dxa"/>
            <w:vAlign w:val="bottom"/>
            <w:vMerge w:val="restart"/>
          </w:tcPr>
          <w:p>
            <w:pPr>
              <w:jc w:val="right"/>
              <w:ind w:right="57"/>
              <w:spacing w:after="0"/>
              <w:rPr>
                <w:sz w:val="20"/>
                <w:szCs w:val="20"/>
                <w:color w:val="auto"/>
              </w:rPr>
            </w:pPr>
            <w:r>
              <w:rPr>
                <w:rFonts w:ascii="Arial" w:cs="Arial" w:eastAsia="Arial" w:hAnsi="Arial"/>
                <w:sz w:val="18"/>
                <w:szCs w:val="18"/>
                <w:color w:val="auto"/>
              </w:rPr>
              <w:t>418,649</w:t>
            </w:r>
          </w:p>
        </w:tc>
        <w:tc>
          <w:tcPr>
            <w:tcW w:w="280" w:type="dxa"/>
            <w:vAlign w:val="bottom"/>
          </w:tcPr>
          <w:p>
            <w:pPr>
              <w:spacing w:after="0"/>
              <w:rPr>
                <w:sz w:val="20"/>
                <w:szCs w:val="20"/>
                <w:color w:val="auto"/>
              </w:rPr>
            </w:pPr>
          </w:p>
        </w:tc>
        <w:tc>
          <w:tcPr>
            <w:tcW w:w="920" w:type="dxa"/>
            <w:vAlign w:val="bottom"/>
            <w:vMerge w:val="restart"/>
          </w:tcPr>
          <w:p>
            <w:pPr>
              <w:jc w:val="right"/>
              <w:ind w:right="55"/>
              <w:spacing w:after="0"/>
              <w:rPr>
                <w:sz w:val="20"/>
                <w:szCs w:val="20"/>
                <w:color w:val="auto"/>
              </w:rPr>
            </w:pPr>
            <w:r>
              <w:rPr>
                <w:rFonts w:ascii="Arial" w:cs="Arial" w:eastAsia="Arial" w:hAnsi="Arial"/>
                <w:sz w:val="18"/>
                <w:szCs w:val="18"/>
                <w:color w:val="auto"/>
              </w:rPr>
              <w:t>424,241</w:t>
            </w:r>
          </w:p>
        </w:tc>
        <w:tc>
          <w:tcPr>
            <w:tcW w:w="240" w:type="dxa"/>
            <w:vAlign w:val="bottom"/>
          </w:tcPr>
          <w:p>
            <w:pPr>
              <w:spacing w:after="0"/>
              <w:rPr>
                <w:sz w:val="20"/>
                <w:szCs w:val="20"/>
                <w:color w:val="auto"/>
              </w:rPr>
            </w:pPr>
          </w:p>
        </w:tc>
        <w:tc>
          <w:tcPr>
            <w:tcW w:w="940" w:type="dxa"/>
            <w:vAlign w:val="bottom"/>
            <w:vMerge w:val="restart"/>
          </w:tcPr>
          <w:p>
            <w:pPr>
              <w:jc w:val="right"/>
              <w:ind w:right="57"/>
              <w:spacing w:after="0"/>
              <w:rPr>
                <w:sz w:val="20"/>
                <w:szCs w:val="20"/>
                <w:color w:val="auto"/>
              </w:rPr>
            </w:pPr>
            <w:r>
              <w:rPr>
                <w:rFonts w:ascii="Arial" w:cs="Arial" w:eastAsia="Arial" w:hAnsi="Arial"/>
                <w:sz w:val="18"/>
                <w:szCs w:val="18"/>
                <w:color w:val="auto"/>
              </w:rPr>
              <w:t>11,861</w:t>
            </w:r>
          </w:p>
        </w:tc>
        <w:tc>
          <w:tcPr>
            <w:tcW w:w="3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12,035</w:t>
            </w:r>
          </w:p>
        </w:tc>
        <w:tc>
          <w:tcPr>
            <w:tcW w:w="0" w:type="dxa"/>
            <w:vAlign w:val="bottom"/>
          </w:tcPr>
          <w:p>
            <w:pPr>
              <w:spacing w:after="0"/>
              <w:rPr>
                <w:sz w:val="1"/>
                <w:szCs w:val="1"/>
                <w:color w:val="auto"/>
              </w:rPr>
            </w:pPr>
          </w:p>
        </w:tc>
      </w:tr>
      <w:tr>
        <w:trPr>
          <w:trHeight w:val="229"/>
        </w:trPr>
        <w:tc>
          <w:tcPr>
            <w:tcW w:w="3040" w:type="dxa"/>
            <w:vAlign w:val="bottom"/>
            <w:gridSpan w:val="2"/>
          </w:tcPr>
          <w:p>
            <w:pPr>
              <w:ind w:left="140"/>
              <w:spacing w:after="0"/>
              <w:rPr>
                <w:sz w:val="20"/>
                <w:szCs w:val="20"/>
                <w:color w:val="auto"/>
              </w:rPr>
            </w:pPr>
            <w:r>
              <w:rPr>
                <w:rFonts w:ascii="Arial" w:cs="Arial" w:eastAsia="Arial" w:hAnsi="Arial"/>
                <w:sz w:val="18"/>
                <w:szCs w:val="18"/>
                <w:color w:val="auto"/>
              </w:rPr>
              <w:t>years</w:t>
            </w: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years through ten</w:t>
            </w:r>
          </w:p>
        </w:tc>
        <w:tc>
          <w:tcPr>
            <w:tcW w:w="8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263,388</w:t>
            </w:r>
          </w:p>
        </w:tc>
        <w:tc>
          <w:tcPr>
            <w:tcW w:w="28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267,989</w:t>
            </w:r>
          </w:p>
        </w:tc>
        <w:tc>
          <w:tcPr>
            <w:tcW w:w="24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1,123</w:t>
            </w:r>
          </w:p>
        </w:tc>
        <w:tc>
          <w:tcPr>
            <w:tcW w:w="34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years</w:t>
            </w: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Due after ten years</w:t>
            </w: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925,554</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935,539</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1,827,614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4"/>
              </w:rPr>
              <w:t>1,848,073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15,708</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 xml:space="preserve">Realized gains and losses related to sales and calls of debt securities available for sale are summarized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76"/>
        </w:trPr>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391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391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2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Gross security (losses)</w:t>
            </w: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(401)</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(584)</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800" w:type="dxa"/>
            <w:vAlign w:val="bottom"/>
            <w:gridSpan w:val="2"/>
            <w:shd w:val="clear" w:color="auto" w:fill="CCEEFF"/>
          </w:tcPr>
          <w:p>
            <w:pPr>
              <w:jc w:val="center"/>
              <w:ind w:left="11"/>
              <w:spacing w:after="0" w:line="199" w:lineRule="exact"/>
              <w:rPr>
                <w:sz w:val="20"/>
                <w:szCs w:val="20"/>
                <w:color w:val="auto"/>
              </w:rPr>
            </w:pPr>
            <w:r>
              <w:rPr>
                <w:rFonts w:ascii="Arial" w:cs="Arial" w:eastAsia="Arial" w:hAnsi="Arial"/>
                <w:sz w:val="18"/>
                <w:szCs w:val="18"/>
                <w:color w:val="auto"/>
                <w:w w:val="88"/>
              </w:rPr>
              <w:t>Net (losses) gains on sales of</w:t>
            </w:r>
          </w:p>
        </w:tc>
        <w:tc>
          <w:tcPr>
            <w:tcW w:w="500" w:type="dxa"/>
            <w:vAlign w:val="bottom"/>
            <w:gridSpan w:val="2"/>
            <w:vMerge w:val="restart"/>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(193)</w:t>
            </w:r>
          </w:p>
        </w:tc>
        <w:tc>
          <w:tcPr>
            <w:tcW w:w="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2800" w:type="dxa"/>
            <w:vAlign w:val="bottom"/>
            <w:gridSpan w:val="2"/>
            <w:shd w:val="clear" w:color="auto" w:fill="CCEEFF"/>
          </w:tcPr>
          <w:p>
            <w:pPr>
              <w:jc w:val="center"/>
              <w:spacing w:after="0" w:line="227" w:lineRule="exact"/>
              <w:rPr>
                <w:sz w:val="20"/>
                <w:szCs w:val="20"/>
                <w:color w:val="auto"/>
              </w:rPr>
            </w:pPr>
            <w:r>
              <w:rPr>
                <w:rFonts w:ascii="Arial" w:cs="Arial" w:eastAsia="Arial" w:hAnsi="Arial"/>
                <w:sz w:val="17"/>
                <w:szCs w:val="17"/>
                <w:color w:val="auto"/>
                <w:w w:val="90"/>
              </w:rPr>
              <w:t>securities</w:t>
            </w:r>
            <w:r>
              <w:rPr>
                <w:rFonts w:ascii="Arial" w:cs="Arial" w:eastAsia="Arial" w:hAnsi="Arial"/>
                <w:sz w:val="26"/>
                <w:szCs w:val="26"/>
                <w:color w:val="auto"/>
                <w:w w:val="90"/>
                <w:vertAlign w:val="superscript"/>
              </w:rPr>
              <w:t>(1)</w:t>
            </w:r>
          </w:p>
        </w:tc>
        <w:tc>
          <w:tcPr>
            <w:tcW w:w="50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9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40" w:right="140" w:hanging="323"/>
        <w:spacing w:after="0" w:line="200" w:lineRule="auto"/>
        <w:tabs>
          <w:tab w:leader="none" w:pos="44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Net (losses) gains on sales of securities reported on the unaudited Consolidated Statements of Income includes sale of equity securities, excluded in this table.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Debt securities with carrying amounts of $755.1 million and $498.3 million on June 30, 2019 and December 31, 2018, respectively, were pledged as collateral for public deposits, securities sold under agreements to repurchase and for other purposes as required or permitted by law.</w:t>
      </w:r>
    </w:p>
    <w:p>
      <w:pPr>
        <w:spacing w:after="0" w:line="19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Information pertaining to debt securities with gross unrealized losses aggregated by investment category and length of time that individual securities have been in a continuous loss position, follows </w:t>
      </w:r>
      <w:r>
        <w:rPr>
          <w:rFonts w:ascii="Arial" w:cs="Arial" w:eastAsia="Arial" w:hAnsi="Arial"/>
          <w:sz w:val="18"/>
          <w:szCs w:val="18"/>
          <w:i w:val="1"/>
          <w:i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For less than</w:t>
            </w:r>
          </w:p>
        </w:tc>
        <w:tc>
          <w:tcPr>
            <w:tcW w:w="220" w:type="dxa"/>
            <w:vAlign w:val="bottom"/>
          </w:tcPr>
          <w:p>
            <w:pPr>
              <w:spacing w:after="0"/>
              <w:rPr>
                <w:sz w:val="15"/>
                <w:szCs w:val="15"/>
                <w:color w:val="auto"/>
              </w:rPr>
            </w:pPr>
          </w:p>
        </w:tc>
        <w:tc>
          <w:tcPr>
            <w:tcW w:w="184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For greater</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12 months, gross</w:t>
            </w: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w w:val="97"/>
              </w:rPr>
              <w:t>than 12 months, gross</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920" w:type="dxa"/>
            <w:vAlign w:val="bottom"/>
          </w:tcPr>
          <w:p>
            <w:pPr>
              <w:jc w:val="right"/>
              <w:ind w:right="148"/>
              <w:spacing w:after="0" w:line="160"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3"/>
                <w:szCs w:val="13"/>
                <w:color w:val="auto"/>
              </w:rPr>
            </w:pPr>
          </w:p>
        </w:tc>
        <w:tc>
          <w:tcPr>
            <w:tcW w:w="70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920" w:type="dxa"/>
            <w:vAlign w:val="bottom"/>
          </w:tcPr>
          <w:p>
            <w:pPr>
              <w:jc w:val="right"/>
              <w:ind w:right="148"/>
              <w:spacing w:after="0" w:line="160"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3"/>
                <w:szCs w:val="13"/>
                <w:color w:val="auto"/>
              </w:rPr>
            </w:pPr>
          </w:p>
        </w:tc>
        <w:tc>
          <w:tcPr>
            <w:tcW w:w="70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84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58"/>
        </w:trPr>
        <w:tc>
          <w:tcPr>
            <w:tcW w:w="294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3"/>
                <w:szCs w:val="13"/>
                <w:color w:val="auto"/>
              </w:rPr>
            </w:pPr>
          </w:p>
        </w:tc>
        <w:tc>
          <w:tcPr>
            <w:tcW w:w="920" w:type="dxa"/>
            <w:vAlign w:val="bottom"/>
          </w:tcPr>
          <w:p>
            <w:pPr>
              <w:jc w:val="right"/>
              <w:ind w:right="288"/>
              <w:spacing w:after="0" w:line="158" w:lineRule="exact"/>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3"/>
                <w:szCs w:val="13"/>
                <w:color w:val="auto"/>
              </w:rPr>
            </w:pPr>
          </w:p>
        </w:tc>
        <w:tc>
          <w:tcPr>
            <w:tcW w:w="70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3"/>
                <w:szCs w:val="13"/>
                <w:color w:val="auto"/>
              </w:rPr>
            </w:pPr>
          </w:p>
        </w:tc>
        <w:tc>
          <w:tcPr>
            <w:tcW w:w="920" w:type="dxa"/>
            <w:vAlign w:val="bottom"/>
          </w:tcPr>
          <w:p>
            <w:pPr>
              <w:jc w:val="right"/>
              <w:ind w:right="288"/>
              <w:spacing w:after="0" w:line="158" w:lineRule="exact"/>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3"/>
                <w:szCs w:val="13"/>
                <w:color w:val="auto"/>
              </w:rPr>
            </w:pPr>
          </w:p>
        </w:tc>
        <w:tc>
          <w:tcPr>
            <w:tcW w:w="70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3"/>
                <w:szCs w:val="13"/>
                <w:color w:val="auto"/>
              </w:rPr>
            </w:pPr>
          </w:p>
        </w:tc>
        <w:tc>
          <w:tcPr>
            <w:tcW w:w="84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3"/>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Debt securities available for sale</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gridSpan w:val="3"/>
          </w:tcPr>
          <w:p>
            <w:pPr>
              <w:spacing w:after="0"/>
              <w:rPr>
                <w:sz w:val="20"/>
                <w:szCs w:val="20"/>
                <w:color w:val="auto"/>
              </w:rPr>
            </w:pPr>
            <w:r>
              <w:rPr>
                <w:rFonts w:ascii="Arial" w:cs="Arial" w:eastAsia="Arial" w:hAnsi="Arial"/>
                <w:sz w:val="14"/>
                <w:szCs w:val="14"/>
                <w:color w:val="auto"/>
              </w:rPr>
              <w:t>U.S. Treasury securities</w:t>
            </w:r>
          </w:p>
        </w:tc>
        <w:tc>
          <w:tcPr>
            <w:tcW w:w="2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24,768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24,768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5"/>
              </w:rPr>
              <w:t>Obligations of U.S. government corporations and</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22,468</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2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22,519</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20" w:type="dxa"/>
            <w:vAlign w:val="bottom"/>
            <w:gridSpan w:val="3"/>
            <w:shd w:val="clear" w:color="auto" w:fill="CCEEFF"/>
          </w:tcPr>
          <w:p>
            <w:pPr>
              <w:ind w:left="100"/>
              <w:spacing w:after="0" w:line="172" w:lineRule="exact"/>
              <w:rPr>
                <w:sz w:val="20"/>
                <w:szCs w:val="20"/>
                <w:color w:val="auto"/>
              </w:rPr>
            </w:pPr>
            <w:r>
              <w:rPr>
                <w:rFonts w:ascii="Arial" w:cs="Arial" w:eastAsia="Arial" w:hAnsi="Arial"/>
                <w:sz w:val="13"/>
                <w:szCs w:val="13"/>
                <w:color w:val="auto"/>
              </w:rPr>
              <w:t>agencies</w:t>
            </w:r>
            <w:r>
              <w:rPr>
                <w:rFonts w:ascii="Arial" w:cs="Arial" w:eastAsia="Arial" w:hAnsi="Arial"/>
                <w:sz w:val="19"/>
                <w:szCs w:val="19"/>
                <w:color w:val="auto"/>
                <w:vertAlign w:val="superscript"/>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gridSpan w:val="3"/>
          </w:tcPr>
          <w:p>
            <w:pPr>
              <w:spacing w:after="0"/>
              <w:rPr>
                <w:sz w:val="20"/>
                <w:szCs w:val="20"/>
                <w:color w:val="auto"/>
              </w:rPr>
            </w:pPr>
            <w:r>
              <w:rPr>
                <w:rFonts w:ascii="Arial" w:cs="Arial" w:eastAsia="Arial" w:hAnsi="Arial"/>
                <w:sz w:val="14"/>
                <w:szCs w:val="14"/>
                <w:color w:val="auto"/>
              </w:rPr>
              <w:t>Obligations of states and political subdivisions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1,394</w:t>
            </w:r>
          </w:p>
        </w:tc>
        <w:tc>
          <w:tcPr>
            <w:tcW w:w="2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24,192</w:t>
            </w:r>
          </w:p>
        </w:tc>
        <w:tc>
          <w:tcPr>
            <w:tcW w:w="2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25,586</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mortgage-backed securities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14,746</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14,746</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gridSpan w:val="3"/>
          </w:tcPr>
          <w:p>
            <w:pPr>
              <w:spacing w:after="0"/>
              <w:rPr>
                <w:sz w:val="20"/>
                <w:szCs w:val="20"/>
                <w:color w:val="auto"/>
              </w:rPr>
            </w:pPr>
            <w:r>
              <w:rPr>
                <w:rFonts w:ascii="Arial" w:cs="Arial" w:eastAsia="Arial" w:hAnsi="Arial"/>
                <w:sz w:val="14"/>
                <w:szCs w:val="14"/>
                <w:color w:val="auto"/>
              </w:rPr>
              <w:t>Residential mortgage-backed securities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13,629</w:t>
            </w:r>
          </w:p>
        </w:tc>
        <w:tc>
          <w:tcPr>
            <w:tcW w:w="2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183,552</w:t>
            </w:r>
          </w:p>
        </w:tc>
        <w:tc>
          <w:tcPr>
            <w:tcW w:w="2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(1,247)</w:t>
            </w:r>
          </w:p>
        </w:tc>
        <w:tc>
          <w:tcPr>
            <w:tcW w:w="24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197,181</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Corporate debt securities</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1,765</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15,049</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16,814</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9"/>
        </w:trPr>
        <w:tc>
          <w:tcPr>
            <w:tcW w:w="2940" w:type="dxa"/>
            <w:vAlign w:val="bottom"/>
            <w:gridSpan w:val="4"/>
          </w:tcPr>
          <w:p>
            <w:pPr>
              <w:spacing w:after="0"/>
              <w:rPr>
                <w:sz w:val="20"/>
                <w:szCs w:val="20"/>
                <w:color w:val="auto"/>
              </w:rPr>
            </w:pPr>
            <w:r>
              <w:rPr>
                <w:rFonts w:ascii="Arial" w:cs="Arial" w:eastAsia="Arial" w:hAnsi="Arial"/>
                <w:sz w:val="14"/>
                <w:szCs w:val="14"/>
                <w:color w:val="auto"/>
              </w:rPr>
              <w:t>Total temporarily impaired securities</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284,775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(1,417)</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301,614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Debt securities held to maturity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gridSpan w:val="3"/>
            <w:shd w:val="clear" w:color="auto" w:fill="CCEEFF"/>
          </w:tcPr>
          <w:p>
            <w:pPr>
              <w:spacing w:after="0" w:line="176" w:lineRule="exact"/>
              <w:rPr>
                <w:sz w:val="20"/>
                <w:szCs w:val="20"/>
                <w:color w:val="auto"/>
              </w:rPr>
            </w:pPr>
            <w:r>
              <w:rPr>
                <w:rFonts w:ascii="Arial" w:cs="Arial" w:eastAsia="Arial" w:hAnsi="Arial"/>
                <w:sz w:val="14"/>
                <w:szCs w:val="14"/>
                <w:color w:val="auto"/>
                <w:w w:val="96"/>
              </w:rPr>
              <w:t>Obligations of states and political subdivisions</w:t>
            </w:r>
            <w:r>
              <w:rPr>
                <w:rFonts w:ascii="Arial" w:cs="Arial" w:eastAsia="Arial" w:hAnsi="Arial"/>
                <w:sz w:val="20"/>
                <w:szCs w:val="20"/>
                <w:color w:val="auto"/>
                <w:w w:val="96"/>
                <w:vertAlign w:val="superscript"/>
              </w:rPr>
              <w:t>(1)</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440" w:hanging="323"/>
        <w:spacing w:after="0" w:line="229" w:lineRule="auto"/>
        <w:tabs>
          <w:tab w:leader="none" w:pos="44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Unrealized losses less than one thousand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For less than</w:t>
            </w:r>
          </w:p>
        </w:tc>
        <w:tc>
          <w:tcPr>
            <w:tcW w:w="220" w:type="dxa"/>
            <w:vAlign w:val="bottom"/>
          </w:tcPr>
          <w:p>
            <w:pPr>
              <w:spacing w:after="0"/>
              <w:rPr>
                <w:sz w:val="15"/>
                <w:szCs w:val="15"/>
                <w:color w:val="auto"/>
              </w:rPr>
            </w:pPr>
          </w:p>
        </w:tc>
        <w:tc>
          <w:tcPr>
            <w:tcW w:w="184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For greater</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12 months, gross</w:t>
            </w: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w w:val="97"/>
              </w:rPr>
              <w:t>than 12 months, gross</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920" w:type="dxa"/>
            <w:vAlign w:val="bottom"/>
          </w:tcPr>
          <w:p>
            <w:pPr>
              <w:jc w:val="right"/>
              <w:ind w:right="148"/>
              <w:spacing w:after="0" w:line="160"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3"/>
                <w:szCs w:val="13"/>
                <w:color w:val="auto"/>
              </w:rPr>
            </w:pPr>
          </w:p>
        </w:tc>
        <w:tc>
          <w:tcPr>
            <w:tcW w:w="70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920" w:type="dxa"/>
            <w:vAlign w:val="bottom"/>
          </w:tcPr>
          <w:p>
            <w:pPr>
              <w:jc w:val="right"/>
              <w:ind w:right="148"/>
              <w:spacing w:after="0" w:line="160"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3"/>
                <w:szCs w:val="13"/>
                <w:color w:val="auto"/>
              </w:rPr>
            </w:pPr>
          </w:p>
        </w:tc>
        <w:tc>
          <w:tcPr>
            <w:tcW w:w="70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84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58"/>
        </w:trPr>
        <w:tc>
          <w:tcPr>
            <w:tcW w:w="30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3"/>
                <w:szCs w:val="13"/>
                <w:color w:val="auto"/>
              </w:rPr>
            </w:pPr>
          </w:p>
        </w:tc>
        <w:tc>
          <w:tcPr>
            <w:tcW w:w="920" w:type="dxa"/>
            <w:vAlign w:val="bottom"/>
          </w:tcPr>
          <w:p>
            <w:pPr>
              <w:jc w:val="right"/>
              <w:ind w:right="288"/>
              <w:spacing w:after="0" w:line="158" w:lineRule="exact"/>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3"/>
                <w:szCs w:val="13"/>
                <w:color w:val="auto"/>
              </w:rPr>
            </w:pPr>
          </w:p>
        </w:tc>
        <w:tc>
          <w:tcPr>
            <w:tcW w:w="70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3"/>
                <w:szCs w:val="13"/>
                <w:color w:val="auto"/>
              </w:rPr>
            </w:pPr>
          </w:p>
        </w:tc>
        <w:tc>
          <w:tcPr>
            <w:tcW w:w="920" w:type="dxa"/>
            <w:vAlign w:val="bottom"/>
          </w:tcPr>
          <w:p>
            <w:pPr>
              <w:jc w:val="right"/>
              <w:ind w:right="288"/>
              <w:spacing w:after="0" w:line="158" w:lineRule="exact"/>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3"/>
                <w:szCs w:val="13"/>
                <w:color w:val="auto"/>
              </w:rPr>
            </w:pPr>
          </w:p>
        </w:tc>
        <w:tc>
          <w:tcPr>
            <w:tcW w:w="70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3"/>
                <w:szCs w:val="13"/>
                <w:color w:val="auto"/>
              </w:rPr>
            </w:pPr>
          </w:p>
        </w:tc>
        <w:tc>
          <w:tcPr>
            <w:tcW w:w="84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Debt securities available for sale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U.S. Treasury securities</w:t>
            </w: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995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24,343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25,338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Obligations of U.S. government corporations and</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agencies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749</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50,744</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51,493</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Obligations of states and political subdivisions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49,893</w:t>
            </w:r>
          </w:p>
        </w:tc>
        <w:tc>
          <w:tcPr>
            <w:tcW w:w="2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(460)</w:t>
            </w:r>
          </w:p>
        </w:tc>
        <w:tc>
          <w:tcPr>
            <w:tcW w:w="2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77,651</w:t>
            </w:r>
          </w:p>
        </w:tc>
        <w:tc>
          <w:tcPr>
            <w:tcW w:w="2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(1,111)</w:t>
            </w:r>
          </w:p>
        </w:tc>
        <w:tc>
          <w:tcPr>
            <w:tcW w:w="24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127,544</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mortgage-backed securities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1,942</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1,942</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Residential mortgage-backed securities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48,387</w:t>
            </w:r>
          </w:p>
        </w:tc>
        <w:tc>
          <w:tcPr>
            <w:tcW w:w="2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(496)</w:t>
            </w:r>
          </w:p>
        </w:tc>
        <w:tc>
          <w:tcPr>
            <w:tcW w:w="2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247,573</w:t>
            </w:r>
          </w:p>
        </w:tc>
        <w:tc>
          <w:tcPr>
            <w:tcW w:w="2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(6,647)</w:t>
            </w:r>
          </w:p>
        </w:tc>
        <w:tc>
          <w:tcPr>
            <w:tcW w:w="24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295,960</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 debt securities</w:t>
            </w: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90,713</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w:t>
            </w: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15,083</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105,796</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09"/>
        </w:trPr>
        <w:tc>
          <w:tcPr>
            <w:tcW w:w="3040" w:type="dxa"/>
            <w:vAlign w:val="bottom"/>
            <w:gridSpan w:val="3"/>
          </w:tcPr>
          <w:p>
            <w:pPr>
              <w:spacing w:after="0"/>
              <w:rPr>
                <w:sz w:val="20"/>
                <w:szCs w:val="20"/>
                <w:color w:val="auto"/>
              </w:rPr>
            </w:pPr>
            <w:r>
              <w:rPr>
                <w:rFonts w:ascii="Arial" w:cs="Arial" w:eastAsia="Arial" w:hAnsi="Arial"/>
                <w:sz w:val="14"/>
                <w:szCs w:val="14"/>
                <w:color w:val="auto"/>
              </w:rPr>
              <w:t>Total temporarily impaired securities</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190,737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417,336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(9,095)</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608,073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Debt securities held to maturity</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Obligations of states and political subdivisions</w:t>
            </w:r>
          </w:p>
        </w:tc>
        <w:tc>
          <w:tcPr>
            <w:tcW w:w="14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9,531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9,538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19,069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Commercial mortgage-backed securities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12,067</w:t>
            </w:r>
          </w:p>
        </w:tc>
        <w:tc>
          <w:tcPr>
            <w:tcW w:w="2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2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45,041</w:t>
            </w:r>
          </w:p>
        </w:tc>
        <w:tc>
          <w:tcPr>
            <w:tcW w:w="2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(791)</w:t>
            </w:r>
          </w:p>
        </w:tc>
        <w:tc>
          <w:tcPr>
            <w:tcW w:w="24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57,108</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Residential mortgage-backed securities</w:t>
            </w: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77,071</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(974)</w:t>
            </w: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245,128</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(5,063)</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322,199</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(6,037)</w:t>
            </w:r>
          </w:p>
        </w:tc>
        <w:tc>
          <w:tcPr>
            <w:tcW w:w="0" w:type="dxa"/>
            <w:vAlign w:val="bottom"/>
          </w:tcPr>
          <w:p>
            <w:pPr>
              <w:spacing w:after="0"/>
              <w:rPr>
                <w:sz w:val="1"/>
                <w:szCs w:val="1"/>
                <w:color w:val="auto"/>
              </w:rPr>
            </w:pPr>
          </w:p>
        </w:tc>
      </w:tr>
      <w:tr>
        <w:trPr>
          <w:trHeight w:val="169"/>
        </w:trPr>
        <w:tc>
          <w:tcPr>
            <w:tcW w:w="3040" w:type="dxa"/>
            <w:vAlign w:val="bottom"/>
            <w:gridSpan w:val="3"/>
          </w:tcPr>
          <w:p>
            <w:pPr>
              <w:spacing w:after="0"/>
              <w:rPr>
                <w:sz w:val="20"/>
                <w:szCs w:val="20"/>
                <w:color w:val="auto"/>
              </w:rPr>
            </w:pPr>
            <w:r>
              <w:rPr>
                <w:rFonts w:ascii="Arial" w:cs="Arial" w:eastAsia="Arial" w:hAnsi="Arial"/>
                <w:sz w:val="14"/>
                <w:szCs w:val="14"/>
                <w:color w:val="auto"/>
              </w:rPr>
              <w:t>Total temporarily impaired securities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98,669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299,707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(5,908)</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398,376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Debt securities are periodically evaluated for other-than-temporary impairment (“OTTI”). As of June 30, 2019, the Company’s debt security portfolio consisted of 1,273 securities. The total number of debt securities in the investment portfolio in an unrealized loss position as of June 30, 2019 was 126 and represented an unrealized loss of 0.47% of the aggregate amortized cost. The unrealized losses relate to changes in market interest rates and market conditions that do not represent credit-related impairments. Furthermore, the Company does not intend to sell such securities and it is more likely than not that the Company will recover the amortized cost prior to being required to sell the debt securities. Full collection of the amounts due according to the contractual terms of the debt securities is expected; therefore, the Company does not consider these investments to be OTTI at June 30, 2019. As of June 30, 2019, the Company did not hold general obligation bonds of any single issuer, the aggregate of which exceeded 10% of the Company’s stockholders’ equity.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Portfolio loans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distribution of portfolio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5"/>
                <w:szCs w:val="15"/>
                <w:color w:val="auto"/>
              </w:rPr>
            </w:pPr>
          </w:p>
        </w:tc>
        <w:tc>
          <w:tcPr>
            <w:tcW w:w="1120" w:type="dxa"/>
            <w:vAlign w:val="bottom"/>
          </w:tcPr>
          <w:p>
            <w:pPr>
              <w:jc w:val="right"/>
              <w:ind w:right="154"/>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1,668,098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2,661,905</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2,366,823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429,326</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Retail real estate</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1,721,370</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1,480,133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51,427</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28,169</w:t>
            </w:r>
          </w:p>
        </w:tc>
        <w:tc>
          <w:tcPr>
            <w:tcW w:w="0" w:type="dxa"/>
            <w:vAlign w:val="bottom"/>
          </w:tcPr>
          <w:p>
            <w:pPr>
              <w:spacing w:after="0"/>
              <w:rPr>
                <w:sz w:val="1"/>
                <w:szCs w:val="1"/>
                <w:color w:val="auto"/>
              </w:rPr>
            </w:pPr>
          </w:p>
        </w:tc>
      </w:tr>
      <w:tr>
        <w:trPr>
          <w:trHeight w:val="223"/>
        </w:trPr>
        <w:tc>
          <w:tcPr>
            <w:tcW w:w="3140" w:type="dxa"/>
            <w:vAlign w:val="bottom"/>
            <w:gridSpan w:val="2"/>
          </w:tcPr>
          <w:p>
            <w:pPr>
              <w:spacing w:after="0"/>
              <w:rPr>
                <w:sz w:val="20"/>
                <w:szCs w:val="20"/>
                <w:color w:val="auto"/>
              </w:rPr>
            </w:pPr>
            <w:r>
              <w:rPr>
                <w:rFonts w:ascii="Arial" w:cs="Arial" w:eastAsia="Arial" w:hAnsi="Arial"/>
                <w:sz w:val="18"/>
                <w:szCs w:val="18"/>
                <w:color w:val="auto"/>
              </w:rPr>
              <w:t>Portfolio loans</w:t>
            </w:r>
          </w:p>
        </w:tc>
        <w:tc>
          <w:tcPr>
            <w:tcW w:w="13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6,532,126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5,568,428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1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(51,375)</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3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6,480,751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59"/>
        <w:spacing w:after="0" w:line="248" w:lineRule="auto"/>
        <w:rPr>
          <w:sz w:val="20"/>
          <w:szCs w:val="20"/>
          <w:color w:val="auto"/>
        </w:rPr>
      </w:pPr>
      <w:r>
        <w:rPr>
          <w:rFonts w:ascii="Arial" w:cs="Arial" w:eastAsia="Arial" w:hAnsi="Arial"/>
          <w:sz w:val="18"/>
          <w:szCs w:val="18"/>
          <w:color w:val="auto"/>
        </w:rPr>
        <w:t>Net deferred loan origination costs included in the table above were $5.4 million as of June 30, 2019 and $5.6 million as of December 31, 2018. Net accretable purchase accounting adjustments included in the table above reduced loans by $25.0 million as of June 30, 2019 and $13.9 million as of December 31, 2018.</w:t>
      </w:r>
    </w:p>
    <w:p>
      <w:pPr>
        <w:spacing w:after="0" w:line="196" w:lineRule="exact"/>
        <w:rPr>
          <w:sz w:val="20"/>
          <w:szCs w:val="20"/>
          <w:color w:val="auto"/>
        </w:rPr>
      </w:pPr>
    </w:p>
    <w:p>
      <w:pPr>
        <w:ind w:right="1059"/>
        <w:spacing w:after="0" w:line="262" w:lineRule="auto"/>
        <w:rPr>
          <w:sz w:val="20"/>
          <w:szCs w:val="20"/>
          <w:color w:val="auto"/>
        </w:rPr>
      </w:pPr>
      <w:r>
        <w:rPr>
          <w:rFonts w:ascii="Arial" w:cs="Arial" w:eastAsia="Arial" w:hAnsi="Arial"/>
          <w:sz w:val="18"/>
          <w:szCs w:val="18"/>
          <w:color w:val="auto"/>
        </w:rPr>
        <w:t>The Company utilizes a loan grading scale to assign a risk grade to all of its loans. A description of the general characteristics of each grade is as follows:</w:t>
      </w:r>
    </w:p>
    <w:p>
      <w:pPr>
        <w:spacing w:after="0" w:line="291" w:lineRule="exact"/>
        <w:rPr>
          <w:sz w:val="20"/>
          <w:szCs w:val="20"/>
          <w:color w:val="auto"/>
        </w:rPr>
      </w:pPr>
    </w:p>
    <w:p>
      <w:pPr>
        <w:ind w:left="680" w:right="179" w:hanging="320"/>
        <w:spacing w:after="0" w:line="248"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Pass</w:t>
      </w:r>
      <w:r>
        <w:rPr>
          <w:rFonts w:ascii="Arial" w:cs="Arial" w:eastAsia="Arial" w:hAnsi="Arial"/>
          <w:sz w:val="18"/>
          <w:szCs w:val="18"/>
          <w:color w:val="auto"/>
        </w:rPr>
        <w:t>- This category includes loans that are all considered strong credits, ranging from investment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to loans made to borrowers who exhibit credit fundamentals that exceed industry standards and loan policy guidelines and loans that exhibit acceptable credit fundamentals.</w:t>
      </w:r>
    </w:p>
    <w:p>
      <w:pPr>
        <w:spacing w:after="0" w:line="195" w:lineRule="exact"/>
        <w:rPr>
          <w:rFonts w:ascii="Arial" w:cs="Arial" w:eastAsia="Arial" w:hAnsi="Arial"/>
          <w:sz w:val="18"/>
          <w:szCs w:val="18"/>
          <w:color w:val="auto"/>
        </w:rPr>
      </w:pPr>
    </w:p>
    <w:p>
      <w:pPr>
        <w:ind w:left="680" w:right="199" w:hanging="320"/>
        <w:spacing w:after="0" w:line="324"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Watch- </w:t>
      </w:r>
      <w:r>
        <w:rPr>
          <w:rFonts w:ascii="Arial" w:cs="Arial" w:eastAsia="Arial" w:hAnsi="Arial"/>
          <w:sz w:val="16"/>
          <w:szCs w:val="16"/>
          <w:color w:val="auto"/>
        </w:rPr>
        <w:t>This category includes loans on management’s “Watch List” and is intended to be utilized on a temporary</w:t>
      </w:r>
      <w:r>
        <w:rPr>
          <w:rFonts w:ascii="Arial" w:cs="Arial" w:eastAsia="Arial" w:hAnsi="Arial"/>
          <w:sz w:val="16"/>
          <w:szCs w:val="16"/>
          <w:i w:val="1"/>
          <w:iCs w:val="1"/>
          <w:color w:val="auto"/>
        </w:rPr>
        <w:t xml:space="preserve"> </w:t>
      </w:r>
      <w:r>
        <w:rPr>
          <w:rFonts w:ascii="Arial" w:cs="Arial" w:eastAsia="Arial" w:hAnsi="Arial"/>
          <w:sz w:val="16"/>
          <w:szCs w:val="16"/>
          <w:color w:val="auto"/>
        </w:rPr>
        <w:t>basis for a pass grade borrower where a significant risk-modifying action is anticipated in the near future.</w:t>
      </w:r>
    </w:p>
    <w:p>
      <w:pPr>
        <w:spacing w:after="0" w:line="137" w:lineRule="exact"/>
        <w:rPr>
          <w:rFonts w:ascii="Arial" w:cs="Arial" w:eastAsia="Arial" w:hAnsi="Arial"/>
          <w:sz w:val="16"/>
          <w:szCs w:val="16"/>
          <w:color w:val="auto"/>
        </w:rPr>
      </w:pPr>
    </w:p>
    <w:p>
      <w:pPr>
        <w:ind w:left="680" w:right="159" w:hanging="320"/>
        <w:spacing w:after="0" w:line="248"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if not checked or corrected, weaken the asset or inadequately protect the Company’s credit position at some future date.</w:t>
      </w:r>
    </w:p>
    <w:p>
      <w:pPr>
        <w:spacing w:after="0" w:line="195" w:lineRule="exact"/>
        <w:rPr>
          <w:rFonts w:ascii="Arial" w:cs="Arial" w:eastAsia="Arial" w:hAnsi="Arial"/>
          <w:sz w:val="18"/>
          <w:szCs w:val="18"/>
          <w:color w:val="auto"/>
        </w:rPr>
      </w:pPr>
    </w:p>
    <w:p>
      <w:pPr>
        <w:ind w:left="680" w:right="19" w:hanging="320"/>
        <w:spacing w:after="0" w:line="243"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Substandard- </w:t>
      </w:r>
      <w:r>
        <w:rPr>
          <w:rFonts w:ascii="Arial" w:cs="Arial" w:eastAsia="Arial" w:hAnsi="Arial"/>
          <w:sz w:val="18"/>
          <w:szCs w:val="18"/>
          <w:color w:val="auto"/>
        </w:rPr>
        <w:t>This category includes “Substandard” loans, determined in accordance with regulatory guidelines,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201" w:lineRule="exact"/>
        <w:rPr>
          <w:rFonts w:ascii="Arial" w:cs="Arial" w:eastAsia="Arial" w:hAnsi="Arial"/>
          <w:sz w:val="18"/>
          <w:szCs w:val="18"/>
          <w:color w:val="auto"/>
        </w:rPr>
      </w:pPr>
    </w:p>
    <w:p>
      <w:pPr>
        <w:ind w:left="680" w:right="239" w:hanging="320"/>
        <w:spacing w:after="0" w:line="270"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Substandard Non-accrual- </w:t>
      </w:r>
      <w:r>
        <w:rPr>
          <w:rFonts w:ascii="Arial" w:cs="Arial" w:eastAsia="Arial" w:hAnsi="Arial"/>
          <w:sz w:val="17"/>
          <w:szCs w:val="17"/>
          <w:color w:val="auto"/>
        </w:rPr>
        <w:t>This category includes loans that have all the characteristics of a “Substandard” loan</w:t>
      </w:r>
      <w:r>
        <w:rPr>
          <w:rFonts w:ascii="Arial" w:cs="Arial" w:eastAsia="Arial" w:hAnsi="Arial"/>
          <w:sz w:val="17"/>
          <w:szCs w:val="17"/>
          <w:i w:val="1"/>
          <w:iCs w:val="1"/>
          <w:color w:val="auto"/>
        </w:rPr>
        <w:t xml:space="preserve"> </w:t>
      </w:r>
      <w:r>
        <w:rPr>
          <w:rFonts w:ascii="Arial" w:cs="Arial" w:eastAsia="Arial" w:hAnsi="Arial"/>
          <w:sz w:val="17"/>
          <w:szCs w:val="17"/>
          <w:color w:val="auto"/>
        </w:rPr>
        <w:t>with additional factors that make collection in full highly questionable and improbable. Such loans are placed on non-accrual status and may be dependent on collateral with a value that is difficult to determine.</w:t>
      </w:r>
    </w:p>
    <w:p>
      <w:pPr>
        <w:spacing w:after="0" w:line="178" w:lineRule="exact"/>
        <w:rPr>
          <w:sz w:val="20"/>
          <w:szCs w:val="20"/>
          <w:color w:val="auto"/>
        </w:rPr>
      </w:pPr>
    </w:p>
    <w:p>
      <w:pPr>
        <w:ind w:right="139"/>
        <w:spacing w:after="0" w:line="276" w:lineRule="auto"/>
        <w:rPr>
          <w:sz w:val="20"/>
          <w:szCs w:val="20"/>
          <w:color w:val="auto"/>
        </w:rPr>
      </w:pPr>
      <w:r>
        <w:rPr>
          <w:rFonts w:ascii="Arial" w:cs="Arial" w:eastAsia="Arial" w:hAnsi="Arial"/>
          <w:sz w:val="16"/>
          <w:szCs w:val="16"/>
          <w:color w:val="auto"/>
        </w:rPr>
        <w:t>All loans are graded at their inception.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regular basis and reviewed annually.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timely review.</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 xml:space="preserve">The following table is a summary of risk grades segregated by category of portfolio loans (excluding accretable purchase accounting adjustments and clearings)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8" w:lineRule="exact"/>
        <w:rPr>
          <w:sz w:val="20"/>
          <w:szCs w:val="20"/>
          <w:color w:val="auto"/>
        </w:rPr>
      </w:pPr>
    </w:p>
    <w:tbl>
      <w:tblPr>
        <w:tblLayout w:type="fixed"/>
        <w:tblInd w:w="840" w:type="dxa"/>
        <w:tblCellMar>
          <w:top w:w="0" w:type="dxa"/>
          <w:left w:w="0" w:type="dxa"/>
          <w:bottom w:w="0" w:type="dxa"/>
          <w:right w:w="0" w:type="dxa"/>
        </w:tblCellMar>
      </w:tblPr>
      <w:tr>
        <w:trPr>
          <w:trHeight w:val="185"/>
        </w:trPr>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June 30, 2019</w:t>
            </w: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60"/>
        </w:trPr>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268"/>
              <w:spacing w:after="0" w:line="160" w:lineRule="exact"/>
              <w:rPr>
                <w:sz w:val="20"/>
                <w:szCs w:val="20"/>
                <w:color w:val="auto"/>
              </w:rPr>
            </w:pPr>
            <w:r>
              <w:rPr>
                <w:rFonts w:ascii="Arial" w:cs="Arial" w:eastAsia="Arial" w:hAnsi="Arial"/>
                <w:sz w:val="14"/>
                <w:szCs w:val="14"/>
                <w:b w:val="1"/>
                <w:bCs w:val="1"/>
                <w:color w:val="auto"/>
              </w:rPr>
              <w:t>Special</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Substandard</w:t>
            </w:r>
          </w:p>
        </w:tc>
      </w:tr>
      <w:tr>
        <w:trPr>
          <w:trHeight w:val="185"/>
        </w:trPr>
        <w:tc>
          <w:tcPr>
            <w:tcW w:w="2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Pass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Watch</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Mention</w:t>
            </w:r>
          </w:p>
        </w:tc>
        <w:tc>
          <w:tcPr>
            <w:tcW w:w="11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Substandard</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1"/>
              </w:rPr>
              <w:t>Non-accrual</w:t>
            </w:r>
          </w:p>
        </w:tc>
      </w:tr>
      <w:tr>
        <w:trPr>
          <w:trHeight w:val="169"/>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1,378,041</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188,282</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48,181</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45,599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10,647</w:t>
            </w:r>
          </w:p>
        </w:tc>
      </w:tr>
      <w:tr>
        <w:trPr>
          <w:trHeight w:val="176"/>
        </w:trPr>
        <w:tc>
          <w:tcPr>
            <w:tcW w:w="2000" w:type="dxa"/>
            <w:vAlign w:val="bottom"/>
          </w:tcPr>
          <w:p>
            <w:pPr>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2,367,741</w:t>
            </w:r>
          </w:p>
        </w:tc>
        <w:tc>
          <w:tcPr>
            <w:tcW w:w="30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178,859</w:t>
            </w:r>
          </w:p>
        </w:tc>
        <w:tc>
          <w:tcPr>
            <w:tcW w:w="26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85,837</w:t>
            </w:r>
          </w:p>
        </w:tc>
        <w:tc>
          <w:tcPr>
            <w:tcW w:w="38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29,926</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12,780</w:t>
            </w:r>
          </w:p>
        </w:tc>
      </w:tr>
      <w:tr>
        <w:trPr>
          <w:trHeight w:val="176"/>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Real estate construction</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394,416</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34,348</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450</w:t>
            </w: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1,273</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w:t>
            </w:r>
          </w:p>
        </w:tc>
      </w:tr>
      <w:tr>
        <w:trPr>
          <w:trHeight w:val="176"/>
        </w:trPr>
        <w:tc>
          <w:tcPr>
            <w:tcW w:w="2000" w:type="dxa"/>
            <w:vAlign w:val="bottom"/>
          </w:tcPr>
          <w:p>
            <w:pPr>
              <w:spacing w:after="0"/>
              <w:rPr>
                <w:sz w:val="20"/>
                <w:szCs w:val="20"/>
                <w:color w:val="auto"/>
              </w:rPr>
            </w:pPr>
            <w:r>
              <w:rPr>
                <w:rFonts w:ascii="Arial" w:cs="Arial" w:eastAsia="Arial" w:hAnsi="Arial"/>
                <w:sz w:val="14"/>
                <w:szCs w:val="14"/>
                <w:color w:val="auto"/>
              </w:rPr>
              <w:t>Retail real estate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1,674,105</w:t>
            </w:r>
          </w:p>
        </w:tc>
        <w:tc>
          <w:tcPr>
            <w:tcW w:w="30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16,038</w:t>
            </w:r>
          </w:p>
        </w:tc>
        <w:tc>
          <w:tcPr>
            <w:tcW w:w="26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6,317</w:t>
            </w:r>
          </w:p>
        </w:tc>
        <w:tc>
          <w:tcPr>
            <w:tcW w:w="38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9,235</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8,529</w:t>
            </w:r>
          </w:p>
        </w:tc>
      </w:tr>
      <w:tr>
        <w:trPr>
          <w:trHeight w:val="176"/>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Retail other</w:t>
            </w: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51,848</w:t>
            </w: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69"/>
        </w:trPr>
        <w:tc>
          <w:tcPr>
            <w:tcW w:w="2000" w:type="dxa"/>
            <w:vAlign w:val="bottom"/>
          </w:tcPr>
          <w:p>
            <w:pPr>
              <w:ind w:left="20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5,866,151</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417,626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140,785</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86,033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32,816</w:t>
            </w:r>
          </w:p>
        </w:tc>
      </w:tr>
      <w:tr>
        <w:trPr>
          <w:trHeight w:val="20"/>
        </w:trPr>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tbl>
      <w:tblPr>
        <w:tblLayout w:type="fixed"/>
        <w:tblInd w:w="840" w:type="dxa"/>
        <w:tblCellMar>
          <w:top w:w="0" w:type="dxa"/>
          <w:left w:w="0" w:type="dxa"/>
          <w:bottom w:w="0" w:type="dxa"/>
          <w:right w:w="0" w:type="dxa"/>
        </w:tblCellMar>
      </w:tblPr>
      <w:tr>
        <w:trPr>
          <w:trHeight w:val="185"/>
        </w:trPr>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2018</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60"/>
        </w:trPr>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jc w:val="right"/>
              <w:ind w:right="348"/>
              <w:spacing w:after="0" w:line="160" w:lineRule="exact"/>
              <w:rPr>
                <w:sz w:val="20"/>
                <w:szCs w:val="20"/>
                <w:color w:val="auto"/>
              </w:rPr>
            </w:pPr>
            <w:r>
              <w:rPr>
                <w:rFonts w:ascii="Arial" w:cs="Arial" w:eastAsia="Arial" w:hAnsi="Arial"/>
                <w:sz w:val="14"/>
                <w:szCs w:val="14"/>
                <w:b w:val="1"/>
                <w:bCs w:val="1"/>
                <w:color w:val="auto"/>
              </w:rPr>
              <w:t>Special</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Substandard</w:t>
            </w:r>
          </w:p>
        </w:tc>
      </w:tr>
      <w:tr>
        <w:trPr>
          <w:trHeight w:val="185"/>
        </w:trPr>
        <w:tc>
          <w:tcPr>
            <w:tcW w:w="2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Pass</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Watch</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Mention</w:t>
            </w:r>
          </w:p>
        </w:tc>
        <w:tc>
          <w:tcPr>
            <w:tcW w:w="10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Substandard</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1"/>
              </w:rPr>
              <w:t>Non-accrual</w:t>
            </w:r>
          </w:p>
        </w:tc>
      </w:tr>
      <w:tr>
        <w:trPr>
          <w:trHeight w:val="169"/>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1,126,257</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172,449</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47,000</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42,532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17,953</w:t>
            </w:r>
          </w:p>
        </w:tc>
      </w:tr>
      <w:tr>
        <w:trPr>
          <w:trHeight w:val="176"/>
        </w:trPr>
        <w:tc>
          <w:tcPr>
            <w:tcW w:w="2000" w:type="dxa"/>
            <w:vAlign w:val="bottom"/>
          </w:tcPr>
          <w:p>
            <w:pPr>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2,106,711</w:t>
            </w:r>
          </w:p>
        </w:tc>
        <w:tc>
          <w:tcPr>
            <w:tcW w:w="3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137,214</w:t>
            </w:r>
          </w:p>
        </w:tc>
        <w:tc>
          <w:tcPr>
            <w:tcW w:w="32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85,148</w:t>
            </w:r>
          </w:p>
        </w:tc>
        <w:tc>
          <w:tcPr>
            <w:tcW w:w="30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36,205</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10,298</w:t>
            </w:r>
          </w:p>
        </w:tc>
      </w:tr>
      <w:tr>
        <w:trPr>
          <w:trHeight w:val="176"/>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Real estate construction</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268,069</w:t>
            </w: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14,562</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3,899</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1,888</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76"/>
        </w:trPr>
        <w:tc>
          <w:tcPr>
            <w:tcW w:w="2000" w:type="dxa"/>
            <w:vAlign w:val="bottom"/>
          </w:tcPr>
          <w:p>
            <w:pPr>
              <w:spacing w:after="0"/>
              <w:rPr>
                <w:sz w:val="20"/>
                <w:szCs w:val="20"/>
                <w:color w:val="auto"/>
              </w:rPr>
            </w:pPr>
            <w:r>
              <w:rPr>
                <w:rFonts w:ascii="Arial" w:cs="Arial" w:eastAsia="Arial" w:hAnsi="Arial"/>
                <w:sz w:val="14"/>
                <w:szCs w:val="14"/>
                <w:color w:val="auto"/>
              </w:rPr>
              <w:t>Retail real estate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1,448,964</w:t>
            </w:r>
          </w:p>
        </w:tc>
        <w:tc>
          <w:tcPr>
            <w:tcW w:w="3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6,425</w:t>
            </w:r>
          </w:p>
        </w:tc>
        <w:tc>
          <w:tcPr>
            <w:tcW w:w="32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6,792</w:t>
            </w:r>
          </w:p>
        </w:tc>
        <w:tc>
          <w:tcPr>
            <w:tcW w:w="30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5,435</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6,698</w:t>
            </w:r>
          </w:p>
        </w:tc>
      </w:tr>
      <w:tr>
        <w:trPr>
          <w:trHeight w:val="176"/>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Retail other</w:t>
            </w: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26,707</w:t>
            </w: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69"/>
        </w:trPr>
        <w:tc>
          <w:tcPr>
            <w:tcW w:w="2000" w:type="dxa"/>
            <w:vAlign w:val="bottom"/>
          </w:tcPr>
          <w:p>
            <w:pPr>
              <w:ind w:left="20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4,976,708</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330,650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142,839</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86,060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34,997</w:t>
            </w:r>
          </w:p>
        </w:tc>
      </w:tr>
      <w:tr>
        <w:trPr>
          <w:trHeight w:val="20"/>
        </w:trPr>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40"/>
        <w:spacing w:after="0" w:line="251" w:lineRule="auto"/>
        <w:rPr>
          <w:sz w:val="20"/>
          <w:szCs w:val="20"/>
          <w:color w:val="auto"/>
        </w:rPr>
      </w:pPr>
      <w:r>
        <w:rPr>
          <w:rFonts w:ascii="Arial" w:cs="Arial" w:eastAsia="Arial" w:hAnsi="Arial"/>
          <w:sz w:val="18"/>
          <w:szCs w:val="18"/>
          <w:color w:val="auto"/>
        </w:rPr>
        <w:t xml:space="preserve">An analysis of portfolio loans that are past due and still accruing or on a non-accrual status is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920" w:type="dxa"/>
        <w:tblCellMar>
          <w:top w:w="0" w:type="dxa"/>
          <w:left w:w="0" w:type="dxa"/>
          <w:bottom w:w="0" w:type="dxa"/>
          <w:right w:w="0" w:type="dxa"/>
        </w:tblCellMar>
      </w:tblPr>
      <w:tr>
        <w:trPr>
          <w:trHeight w:val="176"/>
        </w:trPr>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b w:val="1"/>
                <w:bCs w:val="1"/>
                <w:color w:val="auto"/>
              </w:rPr>
              <w:t>June 30, 2019</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69"/>
        </w:trPr>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Loans past due, still accruing</w:t>
            </w:r>
          </w:p>
        </w:tc>
        <w:tc>
          <w:tcPr>
            <w:tcW w:w="8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Non-accrual</w:t>
            </w:r>
          </w:p>
        </w:tc>
      </w:tr>
      <w:tr>
        <w:trPr>
          <w:trHeight w:val="169"/>
        </w:trPr>
        <w:tc>
          <w:tcPr>
            <w:tcW w:w="2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5"/>
              </w:rPr>
              <w:t>30-59 Days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60-89 Days</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90+Days</w:t>
            </w: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Loans</w:t>
            </w:r>
          </w:p>
        </w:tc>
      </w:tr>
      <w:tr>
        <w:trPr>
          <w:trHeight w:val="223"/>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2,745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593</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4,519</w:t>
            </w:r>
          </w:p>
        </w:tc>
        <w:tc>
          <w:tcPr>
            <w:tcW w:w="300" w:type="dxa"/>
            <w:vAlign w:val="bottom"/>
          </w:tcPr>
          <w:p>
            <w:pPr>
              <w:spacing w:after="0"/>
              <w:rPr>
                <w:sz w:val="19"/>
                <w:szCs w:val="19"/>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608</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12,780</w:t>
            </w: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107</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8,140</w:t>
            </w:r>
          </w:p>
        </w:tc>
        <w:tc>
          <w:tcPr>
            <w:tcW w:w="300" w:type="dxa"/>
            <w:vAlign w:val="bottom"/>
          </w:tcPr>
          <w:p>
            <w:pPr>
              <w:spacing w:after="0"/>
              <w:rPr>
                <w:sz w:val="19"/>
                <w:szCs w:val="19"/>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987</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8,529</w:t>
            </w: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216</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226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15,723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2,317</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32,816</w:t>
            </w:r>
          </w:p>
        </w:tc>
      </w:tr>
      <w:tr>
        <w:trPr>
          <w:trHeight w:val="20"/>
        </w:trPr>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99"/>
        </w:trPr>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4"/>
                <w:szCs w:val="14"/>
                <w:b w:val="1"/>
                <w:bCs w:val="1"/>
                <w:color w:val="auto"/>
              </w:rPr>
              <w:t>December 31, 2018</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69"/>
        </w:trPr>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Loans past due, still accruing</w:t>
            </w:r>
          </w:p>
        </w:tc>
        <w:tc>
          <w:tcPr>
            <w:tcW w:w="8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Non-accrual</w:t>
            </w:r>
          </w:p>
        </w:tc>
      </w:tr>
      <w:tr>
        <w:trPr>
          <w:trHeight w:val="169"/>
        </w:trPr>
        <w:tc>
          <w:tcPr>
            <w:tcW w:w="2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5"/>
              </w:rPr>
              <w:t>30-59 Days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60-89 Days</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90+Days</w:t>
            </w: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Loans</w:t>
            </w:r>
          </w:p>
        </w:tc>
      </w:tr>
      <w:tr>
        <w:trPr>
          <w:trHeight w:val="223"/>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17,953</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9"/>
                <w:szCs w:val="19"/>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558</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10,298</w:t>
            </w: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4,578</w:t>
            </w:r>
          </w:p>
        </w:tc>
        <w:tc>
          <w:tcPr>
            <w:tcW w:w="300" w:type="dxa"/>
            <w:vAlign w:val="bottom"/>
          </w:tcPr>
          <w:p>
            <w:pPr>
              <w:spacing w:after="0"/>
              <w:rPr>
                <w:sz w:val="19"/>
                <w:szCs w:val="19"/>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1,368</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766</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6,698</w:t>
            </w: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226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5,053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2,068</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34,997</w:t>
            </w:r>
          </w:p>
        </w:tc>
      </w:tr>
      <w:tr>
        <w:trPr>
          <w:trHeight w:val="20"/>
        </w:trPr>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gross interest income that would have been recorded in the three months ended June 30, 2019 and 2018 if impaired loans had been current in accordance with their original terms was $0.4 million and $0.3 million, respectively. The gross interest income that would have been recorded in the six months ended June 30, 2019 and 2018 if impaired loans had been current in accordance with their original terms was $1.1 million and $0.7 million, respectively. The amount of interest collected on those loans and recognized on a cash basis that was included in interest income was insignificant for the three and six months ended June 30, 2019 and 2018.</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troubled debt restructurings (“TDR”)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ind w:right="496"/>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5"/>
                <w:szCs w:val="15"/>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4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23"/>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 compliance with modified terms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8,288</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30 — 89 days past due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Included in non-performing loans</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3,503</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23"/>
        </w:trPr>
        <w:tc>
          <w:tcPr>
            <w:tcW w:w="400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12,112</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w:t>
            </w: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19"/>
        <w:spacing w:after="0" w:line="243" w:lineRule="auto"/>
        <w:rPr>
          <w:sz w:val="20"/>
          <w:szCs w:val="20"/>
          <w:color w:val="auto"/>
        </w:rPr>
      </w:pPr>
      <w:r>
        <w:rPr>
          <w:rFonts w:ascii="Arial" w:cs="Arial" w:eastAsia="Arial" w:hAnsi="Arial"/>
          <w:sz w:val="18"/>
          <w:szCs w:val="18"/>
          <w:color w:val="auto"/>
        </w:rPr>
        <w:t>Loans classified as a TDR during the three and six months ended June 30, 2019, included one commercial loan for payment modification with a recorded investment of $0.6 million. Loans classified as a TDR during the three and six months ended June 30, 2018 included one retail real estate modification for short-term interest rate relief, with a recorded investment of $0.1 million.</w:t>
      </w:r>
    </w:p>
    <w:p>
      <w:pPr>
        <w:spacing w:after="0" w:line="202" w:lineRule="exact"/>
        <w:rPr>
          <w:sz w:val="20"/>
          <w:szCs w:val="20"/>
          <w:color w:val="auto"/>
        </w:rPr>
      </w:pPr>
    </w:p>
    <w:p>
      <w:pPr>
        <w:ind w:right="59"/>
        <w:spacing w:after="0" w:line="291" w:lineRule="auto"/>
        <w:rPr>
          <w:sz w:val="20"/>
          <w:szCs w:val="20"/>
          <w:color w:val="auto"/>
        </w:rPr>
      </w:pPr>
      <w:r>
        <w:rPr>
          <w:rFonts w:ascii="Arial" w:cs="Arial" w:eastAsia="Arial" w:hAnsi="Arial"/>
          <w:sz w:val="17"/>
          <w:szCs w:val="17"/>
          <w:color w:val="auto"/>
        </w:rPr>
        <w:t>The gross interest income that would have been recorded in the three and six months ended June 30, 2019 and 2018 if TDRs had performed in accordance with their original terms compared with their modified terms was insignificant.</w:t>
      </w:r>
    </w:p>
    <w:p>
      <w:pPr>
        <w:spacing w:after="0" w:line="161" w:lineRule="exact"/>
        <w:rPr>
          <w:sz w:val="20"/>
          <w:szCs w:val="20"/>
          <w:color w:val="auto"/>
        </w:rPr>
      </w:pPr>
    </w:p>
    <w:p>
      <w:pPr>
        <w:ind w:right="39"/>
        <w:spacing w:after="0" w:line="241" w:lineRule="auto"/>
        <w:rPr>
          <w:sz w:val="20"/>
          <w:szCs w:val="20"/>
          <w:color w:val="auto"/>
        </w:rPr>
      </w:pPr>
      <w:r>
        <w:rPr>
          <w:rFonts w:ascii="Arial" w:cs="Arial" w:eastAsia="Arial" w:hAnsi="Arial"/>
          <w:sz w:val="18"/>
          <w:szCs w:val="18"/>
          <w:color w:val="auto"/>
        </w:rPr>
        <w:t>One commercial real estate TDR, with a recorded investment of $3.2 million, that was entered into during the last twelve months, was subsequently classified as non-performing and had payment defaults (a default occurs when a loan is 90 days or more past due or transferred to non-accrual) during the three and six months ended June 30, 2019. There were no TDRs that were entered into during the prior twelve months that were subsequently classified as non-performing and had payment defaults during the three and six months ended June 30,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At June 30, 2019, the Company had $2.6 million of residential real estate in the process of foreclosure.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The following tables provide details of loans identified as impaired, segregated by category.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97"/>
              <w:spacing w:after="0" w:line="160" w:lineRule="exact"/>
              <w:rPr>
                <w:sz w:val="20"/>
                <w:szCs w:val="20"/>
                <w:color w:val="auto"/>
              </w:rPr>
            </w:pPr>
            <w:r>
              <w:rPr>
                <w:rFonts w:ascii="Arial" w:cs="Arial" w:eastAsia="Arial" w:hAnsi="Arial"/>
                <w:sz w:val="14"/>
                <w:szCs w:val="14"/>
                <w:b w:val="1"/>
                <w:bCs w:val="1"/>
                <w:color w:val="auto"/>
                <w:w w:val="92"/>
              </w:rPr>
              <w:t>Unpaid</w:t>
            </w:r>
          </w:p>
        </w:tc>
        <w:tc>
          <w:tcPr>
            <w:tcW w:w="260" w:type="dxa"/>
            <w:vAlign w:val="bottom"/>
          </w:tcPr>
          <w:p>
            <w:pPr>
              <w:spacing w:after="0"/>
              <w:rPr>
                <w:sz w:val="13"/>
                <w:szCs w:val="13"/>
                <w:color w:val="auto"/>
              </w:rPr>
            </w:pPr>
          </w:p>
        </w:tc>
        <w:tc>
          <w:tcPr>
            <w:tcW w:w="940" w:type="dxa"/>
            <w:vAlign w:val="bottom"/>
          </w:tcPr>
          <w:p>
            <w:pPr>
              <w:jc w:val="center"/>
              <w:ind w:right="117"/>
              <w:spacing w:after="0" w:line="160" w:lineRule="exact"/>
              <w:rPr>
                <w:sz w:val="20"/>
                <w:szCs w:val="20"/>
                <w:color w:val="auto"/>
              </w:rPr>
            </w:pPr>
            <w:r>
              <w:rPr>
                <w:rFonts w:ascii="Arial" w:cs="Arial" w:eastAsia="Arial" w:hAnsi="Arial"/>
                <w:sz w:val="14"/>
                <w:szCs w:val="14"/>
                <w:b w:val="1"/>
                <w:bCs w:val="1"/>
                <w:color w:val="auto"/>
                <w:w w:val="89"/>
              </w:rPr>
              <w:t>Recorded</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5"/>
                <w:szCs w:val="15"/>
                <w:color w:val="auto"/>
              </w:rPr>
            </w:pPr>
          </w:p>
        </w:tc>
        <w:tc>
          <w:tcPr>
            <w:tcW w:w="9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Investment</w:t>
            </w:r>
          </w:p>
        </w:tc>
        <w:tc>
          <w:tcPr>
            <w:tcW w:w="260" w:type="dxa"/>
            <w:vAlign w:val="bottom"/>
          </w:tcPr>
          <w:p>
            <w:pPr>
              <w:spacing w:after="0"/>
              <w:rPr>
                <w:sz w:val="15"/>
                <w:szCs w:val="15"/>
                <w:color w:val="auto"/>
              </w:rPr>
            </w:pPr>
          </w:p>
        </w:tc>
        <w:tc>
          <w:tcPr>
            <w:tcW w:w="96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Recorded</w:t>
            </w:r>
          </w:p>
        </w:tc>
        <w:tc>
          <w:tcPr>
            <w:tcW w:w="26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5"/>
                <w:szCs w:val="15"/>
                <w:color w:val="auto"/>
              </w:rPr>
            </w:pPr>
          </w:p>
        </w:tc>
        <w:tc>
          <w:tcPr>
            <w:tcW w:w="940" w:type="dxa"/>
            <w:vAlign w:val="bottom"/>
          </w:tcPr>
          <w:p>
            <w:pPr>
              <w:jc w:val="center"/>
              <w:ind w:right="117"/>
              <w:spacing w:after="0"/>
              <w:rPr>
                <w:sz w:val="20"/>
                <w:szCs w:val="20"/>
                <w:color w:val="auto"/>
              </w:rPr>
            </w:pPr>
            <w:r>
              <w:rPr>
                <w:rFonts w:ascii="Arial" w:cs="Arial" w:eastAsia="Arial" w:hAnsi="Arial"/>
                <w:sz w:val="14"/>
                <w:szCs w:val="14"/>
                <w:b w:val="1"/>
                <w:bCs w:val="1"/>
                <w:color w:val="auto"/>
                <w:w w:val="98"/>
              </w:rPr>
              <w:t>with No</w:t>
            </w:r>
          </w:p>
        </w:tc>
        <w:tc>
          <w:tcPr>
            <w:tcW w:w="260" w:type="dxa"/>
            <w:vAlign w:val="bottom"/>
          </w:tcPr>
          <w:p>
            <w:pPr>
              <w:spacing w:after="0"/>
              <w:rPr>
                <w:sz w:val="15"/>
                <w:szCs w:val="15"/>
                <w:color w:val="auto"/>
              </w:rPr>
            </w:pPr>
          </w:p>
        </w:tc>
        <w:tc>
          <w:tcPr>
            <w:tcW w:w="96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Investment</w:t>
            </w:r>
          </w:p>
        </w:tc>
        <w:tc>
          <w:tcPr>
            <w:tcW w:w="26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Recorded</w:t>
            </w:r>
          </w:p>
        </w:tc>
        <w:tc>
          <w:tcPr>
            <w:tcW w:w="280" w:type="dxa"/>
            <w:vAlign w:val="bottom"/>
          </w:tcPr>
          <w:p>
            <w:pPr>
              <w:spacing w:after="0"/>
              <w:rPr>
                <w:sz w:val="15"/>
                <w:szCs w:val="15"/>
                <w:color w:val="auto"/>
              </w:rPr>
            </w:pPr>
          </w:p>
        </w:tc>
        <w:tc>
          <w:tcPr>
            <w:tcW w:w="94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Related</w:t>
            </w:r>
          </w:p>
        </w:tc>
        <w:tc>
          <w:tcPr>
            <w:tcW w:w="280" w:type="dxa"/>
            <w:vAlign w:val="bottom"/>
          </w:tcPr>
          <w:p>
            <w:pPr>
              <w:spacing w:after="0"/>
              <w:rPr>
                <w:sz w:val="15"/>
                <w:szCs w:val="15"/>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Balance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Allowance</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Investment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Allowance</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16,668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7,511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3,856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11,367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2,358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19,784</w:t>
            </w:r>
          </w:p>
        </w:tc>
        <w:tc>
          <w:tcPr>
            <w:tcW w:w="260" w:type="dxa"/>
            <w:vAlign w:val="bottom"/>
          </w:tcPr>
          <w:p>
            <w:pPr>
              <w:spacing w:after="0"/>
              <w:rPr>
                <w:sz w:val="19"/>
                <w:szCs w:val="19"/>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10,498</w:t>
            </w:r>
          </w:p>
        </w:tc>
        <w:tc>
          <w:tcPr>
            <w:tcW w:w="26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7,686</w:t>
            </w:r>
          </w:p>
        </w:tc>
        <w:tc>
          <w:tcPr>
            <w:tcW w:w="26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18,184</w:t>
            </w:r>
          </w:p>
        </w:tc>
        <w:tc>
          <w:tcPr>
            <w:tcW w:w="2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1,367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1,329</w:t>
            </w:r>
          </w:p>
        </w:tc>
        <w:tc>
          <w:tcPr>
            <w:tcW w:w="26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1,186</w:t>
            </w:r>
          </w:p>
        </w:tc>
        <w:tc>
          <w:tcPr>
            <w:tcW w:w="26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1,186</w:t>
            </w:r>
          </w:p>
        </w:tc>
        <w:tc>
          <w:tcPr>
            <w:tcW w:w="28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15,322</w:t>
            </w:r>
          </w:p>
        </w:tc>
        <w:tc>
          <w:tcPr>
            <w:tcW w:w="260" w:type="dxa"/>
            <w:vAlign w:val="bottom"/>
          </w:tcPr>
          <w:p>
            <w:pPr>
              <w:spacing w:after="0"/>
              <w:rPr>
                <w:sz w:val="19"/>
                <w:szCs w:val="19"/>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13,367</w:t>
            </w:r>
          </w:p>
        </w:tc>
        <w:tc>
          <w:tcPr>
            <w:tcW w:w="26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13,841</w:t>
            </w:r>
          </w:p>
        </w:tc>
        <w:tc>
          <w:tcPr>
            <w:tcW w:w="2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474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53,165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32,596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12,016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44,612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4,199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97"/>
              <w:spacing w:after="0" w:line="160" w:lineRule="exact"/>
              <w:rPr>
                <w:sz w:val="20"/>
                <w:szCs w:val="20"/>
                <w:color w:val="auto"/>
              </w:rPr>
            </w:pPr>
            <w:r>
              <w:rPr>
                <w:rFonts w:ascii="Arial" w:cs="Arial" w:eastAsia="Arial" w:hAnsi="Arial"/>
                <w:sz w:val="14"/>
                <w:szCs w:val="14"/>
                <w:b w:val="1"/>
                <w:bCs w:val="1"/>
                <w:color w:val="auto"/>
                <w:w w:val="92"/>
              </w:rPr>
              <w:t>Unpaid</w:t>
            </w:r>
          </w:p>
        </w:tc>
        <w:tc>
          <w:tcPr>
            <w:tcW w:w="260" w:type="dxa"/>
            <w:vAlign w:val="bottom"/>
          </w:tcPr>
          <w:p>
            <w:pPr>
              <w:spacing w:after="0"/>
              <w:rPr>
                <w:sz w:val="13"/>
                <w:szCs w:val="13"/>
                <w:color w:val="auto"/>
              </w:rPr>
            </w:pPr>
          </w:p>
        </w:tc>
        <w:tc>
          <w:tcPr>
            <w:tcW w:w="940" w:type="dxa"/>
            <w:vAlign w:val="bottom"/>
          </w:tcPr>
          <w:p>
            <w:pPr>
              <w:jc w:val="center"/>
              <w:ind w:right="117"/>
              <w:spacing w:after="0" w:line="160" w:lineRule="exact"/>
              <w:rPr>
                <w:sz w:val="20"/>
                <w:szCs w:val="20"/>
                <w:color w:val="auto"/>
              </w:rPr>
            </w:pPr>
            <w:r>
              <w:rPr>
                <w:rFonts w:ascii="Arial" w:cs="Arial" w:eastAsia="Arial" w:hAnsi="Arial"/>
                <w:sz w:val="14"/>
                <w:szCs w:val="14"/>
                <w:b w:val="1"/>
                <w:bCs w:val="1"/>
                <w:color w:val="auto"/>
                <w:w w:val="89"/>
              </w:rPr>
              <w:t>Recorded</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5"/>
                <w:szCs w:val="15"/>
                <w:color w:val="auto"/>
              </w:rPr>
            </w:pPr>
          </w:p>
        </w:tc>
        <w:tc>
          <w:tcPr>
            <w:tcW w:w="9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Investment</w:t>
            </w:r>
          </w:p>
        </w:tc>
        <w:tc>
          <w:tcPr>
            <w:tcW w:w="260" w:type="dxa"/>
            <w:vAlign w:val="bottom"/>
          </w:tcPr>
          <w:p>
            <w:pPr>
              <w:spacing w:after="0"/>
              <w:rPr>
                <w:sz w:val="15"/>
                <w:szCs w:val="15"/>
                <w:color w:val="auto"/>
              </w:rPr>
            </w:pPr>
          </w:p>
        </w:tc>
        <w:tc>
          <w:tcPr>
            <w:tcW w:w="96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Recorded</w:t>
            </w:r>
          </w:p>
        </w:tc>
        <w:tc>
          <w:tcPr>
            <w:tcW w:w="26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5"/>
                <w:szCs w:val="15"/>
                <w:color w:val="auto"/>
              </w:rPr>
            </w:pPr>
          </w:p>
        </w:tc>
        <w:tc>
          <w:tcPr>
            <w:tcW w:w="940" w:type="dxa"/>
            <w:vAlign w:val="bottom"/>
          </w:tcPr>
          <w:p>
            <w:pPr>
              <w:jc w:val="center"/>
              <w:ind w:right="117"/>
              <w:spacing w:after="0"/>
              <w:rPr>
                <w:sz w:val="20"/>
                <w:szCs w:val="20"/>
                <w:color w:val="auto"/>
              </w:rPr>
            </w:pPr>
            <w:r>
              <w:rPr>
                <w:rFonts w:ascii="Arial" w:cs="Arial" w:eastAsia="Arial" w:hAnsi="Arial"/>
                <w:sz w:val="14"/>
                <w:szCs w:val="14"/>
                <w:b w:val="1"/>
                <w:bCs w:val="1"/>
                <w:color w:val="auto"/>
                <w:w w:val="98"/>
              </w:rPr>
              <w:t>with No</w:t>
            </w:r>
          </w:p>
        </w:tc>
        <w:tc>
          <w:tcPr>
            <w:tcW w:w="260" w:type="dxa"/>
            <w:vAlign w:val="bottom"/>
          </w:tcPr>
          <w:p>
            <w:pPr>
              <w:spacing w:after="0"/>
              <w:rPr>
                <w:sz w:val="15"/>
                <w:szCs w:val="15"/>
                <w:color w:val="auto"/>
              </w:rPr>
            </w:pPr>
          </w:p>
        </w:tc>
        <w:tc>
          <w:tcPr>
            <w:tcW w:w="96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Investment</w:t>
            </w:r>
          </w:p>
        </w:tc>
        <w:tc>
          <w:tcPr>
            <w:tcW w:w="26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Recorded</w:t>
            </w:r>
          </w:p>
        </w:tc>
        <w:tc>
          <w:tcPr>
            <w:tcW w:w="280" w:type="dxa"/>
            <w:vAlign w:val="bottom"/>
          </w:tcPr>
          <w:p>
            <w:pPr>
              <w:spacing w:after="0"/>
              <w:rPr>
                <w:sz w:val="15"/>
                <w:szCs w:val="15"/>
                <w:color w:val="auto"/>
              </w:rPr>
            </w:pPr>
          </w:p>
        </w:tc>
        <w:tc>
          <w:tcPr>
            <w:tcW w:w="94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Related</w:t>
            </w:r>
          </w:p>
        </w:tc>
        <w:tc>
          <w:tcPr>
            <w:tcW w:w="280" w:type="dxa"/>
            <w:vAlign w:val="bottom"/>
          </w:tcPr>
          <w:p>
            <w:pPr>
              <w:spacing w:after="0"/>
              <w:rPr>
                <w:sz w:val="15"/>
                <w:szCs w:val="15"/>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Balance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Allowance</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Investment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Allowance</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21,442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6,858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12,001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18,859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4,319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19,079</w:t>
            </w:r>
          </w:p>
        </w:tc>
        <w:tc>
          <w:tcPr>
            <w:tcW w:w="260" w:type="dxa"/>
            <w:vAlign w:val="bottom"/>
          </w:tcPr>
          <w:p>
            <w:pPr>
              <w:spacing w:after="0"/>
              <w:rPr>
                <w:sz w:val="19"/>
                <w:szCs w:val="19"/>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13,082</w:t>
            </w:r>
          </w:p>
        </w:tc>
        <w:tc>
          <w:tcPr>
            <w:tcW w:w="26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4,498</w:t>
            </w:r>
          </w:p>
        </w:tc>
        <w:tc>
          <w:tcPr>
            <w:tcW w:w="26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17,580</w:t>
            </w:r>
          </w:p>
        </w:tc>
        <w:tc>
          <w:tcPr>
            <w:tcW w:w="2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1,181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478</w:t>
            </w:r>
          </w:p>
        </w:tc>
        <w:tc>
          <w:tcPr>
            <w:tcW w:w="26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453</w:t>
            </w:r>
          </w:p>
        </w:tc>
        <w:tc>
          <w:tcPr>
            <w:tcW w:w="28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14,418</w:t>
            </w:r>
          </w:p>
        </w:tc>
        <w:tc>
          <w:tcPr>
            <w:tcW w:w="260" w:type="dxa"/>
            <w:vAlign w:val="bottom"/>
          </w:tcPr>
          <w:p>
            <w:pPr>
              <w:spacing w:after="0"/>
              <w:rPr>
                <w:sz w:val="19"/>
                <w:szCs w:val="19"/>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13,196</w:t>
            </w:r>
          </w:p>
        </w:tc>
        <w:tc>
          <w:tcPr>
            <w:tcW w:w="26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13,257</w:t>
            </w:r>
          </w:p>
        </w:tc>
        <w:tc>
          <w:tcPr>
            <w:tcW w:w="2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55,534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33,622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16,560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50,182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5,561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80"/>
        <w:spacing w:after="0" w:line="248" w:lineRule="auto"/>
        <w:rPr>
          <w:sz w:val="20"/>
          <w:szCs w:val="20"/>
          <w:color w:val="auto"/>
        </w:rPr>
      </w:pPr>
      <w:r>
        <w:rPr>
          <w:rFonts w:ascii="Arial" w:cs="Arial" w:eastAsia="Arial" w:hAnsi="Arial"/>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w:t>
      </w:r>
    </w:p>
    <w:p>
      <w:pPr>
        <w:spacing w:after="0" w:line="19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 holds acquired loans from business combinations with uncollected principal balances. These loans are carried net of a fair value adjustment for credit risk and interest rates and are only included in the allowance calculation to the extent that the reserve requirement exceeds the fair value adjustment. As the acquired loans renew, it is generally necessary to establish an allowance, which represents an amount that, in management’s opinion, will be adequate to absorb probable credit losses in such loans. The recorded investment of all acquired loans as of June 30, 2019 totaled approximately $1.8 billion.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The following table details activity in the allowance for loan losses. Allocation of a portion of the allowance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gridSpan w:val="7"/>
          </w:tcPr>
          <w:p>
            <w:pPr>
              <w:jc w:val="center"/>
              <w:ind w:right="53"/>
              <w:spacing w:after="0"/>
              <w:rPr>
                <w:sz w:val="20"/>
                <w:szCs w:val="20"/>
                <w:color w:val="auto"/>
              </w:rPr>
            </w:pPr>
            <w:r>
              <w:rPr>
                <w:rFonts w:ascii="Arial" w:cs="Arial" w:eastAsia="Arial" w:hAnsi="Arial"/>
                <w:sz w:val="14"/>
                <w:szCs w:val="14"/>
                <w:b w:val="1"/>
                <w:bCs w:val="1"/>
                <w:color w:val="auto"/>
                <w:w w:val="93"/>
              </w:rPr>
              <w:t>As of and for the Three Months Ended June 30, 2019</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97"/>
              <w:spacing w:after="0" w:line="160" w:lineRule="exact"/>
              <w:rPr>
                <w:sz w:val="20"/>
                <w:szCs w:val="20"/>
                <w:color w:val="auto"/>
              </w:rPr>
            </w:pPr>
            <w:r>
              <w:rPr>
                <w:rFonts w:ascii="Arial" w:cs="Arial" w:eastAsia="Arial" w:hAnsi="Arial"/>
                <w:sz w:val="14"/>
                <w:szCs w:val="14"/>
                <w:b w:val="1"/>
                <w:bCs w:val="1"/>
                <w:color w:val="auto"/>
                <w:w w:val="94"/>
              </w:rPr>
              <w:t>Commercial</w:t>
            </w:r>
          </w:p>
        </w:tc>
        <w:tc>
          <w:tcPr>
            <w:tcW w:w="240" w:type="dxa"/>
            <w:vAlign w:val="bottom"/>
          </w:tcPr>
          <w:p>
            <w:pPr>
              <w:spacing w:after="0"/>
              <w:rPr>
                <w:sz w:val="13"/>
                <w:szCs w:val="13"/>
                <w:color w:val="auto"/>
              </w:rPr>
            </w:pPr>
          </w:p>
        </w:tc>
        <w:tc>
          <w:tcPr>
            <w:tcW w:w="980" w:type="dxa"/>
            <w:vAlign w:val="bottom"/>
          </w:tcPr>
          <w:p>
            <w:pPr>
              <w:jc w:val="center"/>
              <w:ind w:right="153"/>
              <w:spacing w:after="0" w:line="160" w:lineRule="exact"/>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3"/>
                <w:szCs w:val="13"/>
                <w:color w:val="auto"/>
              </w:rPr>
            </w:pPr>
          </w:p>
        </w:tc>
        <w:tc>
          <w:tcPr>
            <w:tcW w:w="980" w:type="dxa"/>
            <w:vAlign w:val="bottom"/>
          </w:tcPr>
          <w:p>
            <w:pPr>
              <w:jc w:val="center"/>
              <w:ind w:right="135"/>
              <w:spacing w:after="0" w:line="160" w:lineRule="exact"/>
              <w:rPr>
                <w:sz w:val="20"/>
                <w:szCs w:val="20"/>
                <w:color w:val="auto"/>
              </w:rPr>
            </w:pPr>
            <w:r>
              <w:rPr>
                <w:rFonts w:ascii="Arial" w:cs="Arial" w:eastAsia="Arial" w:hAnsi="Arial"/>
                <w:sz w:val="14"/>
                <w:szCs w:val="14"/>
                <w:b w:val="1"/>
                <w:bCs w:val="1"/>
                <w:color w:val="auto"/>
                <w:w w:val="94"/>
              </w:rPr>
              <w:t>Retail Real</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Real Estate</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Construction</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0"/>
              </w:rPr>
              <w:t>Estate</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Retail Other</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23"/>
        </w:trPr>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17,998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20,097</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9,503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510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50,915</w:t>
            </w:r>
          </w:p>
        </w:tc>
      </w:tr>
      <w:tr>
        <w:trPr>
          <w:trHeight w:val="230"/>
        </w:trPr>
        <w:tc>
          <w:tcPr>
            <w:tcW w:w="1840" w:type="dxa"/>
            <w:vAlign w:val="bottom"/>
            <w:gridSpan w:val="2"/>
          </w:tcPr>
          <w:p>
            <w:pPr>
              <w:spacing w:after="0"/>
              <w:rPr>
                <w:sz w:val="20"/>
                <w:szCs w:val="20"/>
                <w:color w:val="auto"/>
              </w:rPr>
            </w:pPr>
            <w:r>
              <w:rPr>
                <w:rFonts w:ascii="Arial" w:cs="Arial" w:eastAsia="Arial" w:hAnsi="Arial"/>
                <w:sz w:val="16"/>
                <w:szCs w:val="16"/>
                <w:color w:val="auto"/>
              </w:rPr>
              <w:t>Provision for loan losses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1,161</w:t>
            </w:r>
          </w:p>
        </w:tc>
        <w:tc>
          <w:tcPr>
            <w:tcW w:w="2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2,517</w:t>
            </w:r>
          </w:p>
        </w:tc>
      </w:tr>
      <w:tr>
        <w:trPr>
          <w:trHeight w:val="230"/>
        </w:trPr>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Charged-off</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(2,563)</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(178)</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230"/>
        </w:trPr>
        <w:tc>
          <w:tcPr>
            <w:tcW w:w="1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Recoveries</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188</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369</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103</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r>
      <w:tr>
        <w:trPr>
          <w:trHeight w:val="223"/>
        </w:trPr>
        <w:tc>
          <w:tcPr>
            <w:tcW w:w="1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16,733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20,188</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3,305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10,613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536</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51,375</w:t>
            </w: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gridSpan w:val="7"/>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600" w:type="dxa"/>
            <w:vAlign w:val="bottom"/>
            <w:tcBorders>
              <w:bottom w:val="single" w:sz="8" w:color="auto"/>
            </w:tcBorders>
            <w:gridSpan w:val="7"/>
            <w:shd w:val="clear" w:color="auto" w:fill="CCEEFF"/>
          </w:tcPr>
          <w:p>
            <w:pPr>
              <w:jc w:val="center"/>
              <w:ind w:right="73"/>
              <w:spacing w:after="0"/>
              <w:rPr>
                <w:sz w:val="20"/>
                <w:szCs w:val="20"/>
                <w:color w:val="auto"/>
              </w:rPr>
            </w:pPr>
            <w:r>
              <w:rPr>
                <w:rFonts w:ascii="Arial" w:cs="Arial" w:eastAsia="Arial" w:hAnsi="Arial"/>
                <w:sz w:val="14"/>
                <w:szCs w:val="14"/>
                <w:b w:val="1"/>
                <w:bCs w:val="1"/>
                <w:color w:val="auto"/>
                <w:w w:val="92"/>
              </w:rPr>
              <w:t>As of and for the Six Months Ended June 30, 2019</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Commercial</w:t>
            </w:r>
          </w:p>
        </w:tc>
        <w:tc>
          <w:tcPr>
            <w:tcW w:w="240" w:type="dxa"/>
            <w:vAlign w:val="bottom"/>
          </w:tcPr>
          <w:p>
            <w:pPr>
              <w:spacing w:after="0"/>
              <w:rPr>
                <w:sz w:val="15"/>
                <w:szCs w:val="15"/>
                <w:color w:val="auto"/>
              </w:rPr>
            </w:pPr>
          </w:p>
        </w:tc>
        <w:tc>
          <w:tcPr>
            <w:tcW w:w="98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5"/>
                <w:szCs w:val="15"/>
                <w:color w:val="auto"/>
              </w:rPr>
            </w:pPr>
          </w:p>
        </w:tc>
        <w:tc>
          <w:tcPr>
            <w:tcW w:w="98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Retail Real</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w w:val="92"/>
              </w:rPr>
              <w:t>Real Estate</w:t>
            </w:r>
          </w:p>
        </w:tc>
        <w:tc>
          <w:tcPr>
            <w:tcW w:w="12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Construction</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ind w:right="155"/>
              <w:spacing w:after="0"/>
              <w:rPr>
                <w:sz w:val="20"/>
                <w:szCs w:val="20"/>
                <w:color w:val="auto"/>
              </w:rPr>
            </w:pPr>
            <w:r>
              <w:rPr>
                <w:rFonts w:ascii="Arial" w:cs="Arial" w:eastAsia="Arial" w:hAnsi="Arial"/>
                <w:sz w:val="14"/>
                <w:szCs w:val="14"/>
                <w:b w:val="1"/>
                <w:bCs w:val="1"/>
                <w:color w:val="auto"/>
                <w:w w:val="90"/>
              </w:rPr>
              <w:t>Estate</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w w:val="95"/>
              </w:rPr>
              <w:t>Retail Other</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23"/>
        </w:trPr>
        <w:tc>
          <w:tcPr>
            <w:tcW w:w="1840" w:type="dxa"/>
            <w:vAlign w:val="bottom"/>
            <w:gridSpan w:val="2"/>
          </w:tcPr>
          <w:p>
            <w:pPr>
              <w:spacing w:after="0"/>
              <w:rPr>
                <w:sz w:val="20"/>
                <w:szCs w:val="20"/>
                <w:color w:val="auto"/>
              </w:rPr>
            </w:pPr>
            <w:r>
              <w:rPr>
                <w:rFonts w:ascii="Arial" w:cs="Arial" w:eastAsia="Arial" w:hAnsi="Arial"/>
                <w:sz w:val="16"/>
                <w:szCs w:val="16"/>
                <w:color w:val="auto"/>
              </w:rPr>
              <w:t>Beginning balance</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17,829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21,137</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2,723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8,471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488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50,648</w:t>
            </w:r>
          </w:p>
        </w:tc>
      </w:tr>
      <w:tr>
        <w:trPr>
          <w:trHeight w:val="230"/>
        </w:trPr>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for loan losses</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2,954</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(1,186)</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2,298</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149</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r>
      <w:tr>
        <w:trPr>
          <w:trHeight w:val="230"/>
        </w:trPr>
        <w:tc>
          <w:tcPr>
            <w:tcW w:w="1840" w:type="dxa"/>
            <w:vAlign w:val="bottom"/>
            <w:gridSpan w:val="2"/>
          </w:tcPr>
          <w:p>
            <w:pPr>
              <w:spacing w:after="0"/>
              <w:rPr>
                <w:sz w:val="20"/>
                <w:szCs w:val="20"/>
                <w:color w:val="auto"/>
              </w:rPr>
            </w:pPr>
            <w:r>
              <w:rPr>
                <w:rFonts w:ascii="Arial" w:cs="Arial" w:eastAsia="Arial" w:hAnsi="Arial"/>
                <w:sz w:val="16"/>
                <w:szCs w:val="16"/>
                <w:color w:val="auto"/>
              </w:rPr>
              <w:t>Charged-off</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(4,370)</w:t>
            </w:r>
          </w:p>
        </w:tc>
        <w:tc>
          <w:tcPr>
            <w:tcW w:w="2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(717)</w:t>
            </w:r>
          </w:p>
        </w:tc>
        <w:tc>
          <w:tcPr>
            <w:tcW w:w="2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(308)</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(5,410)</w:t>
            </w:r>
          </w:p>
        </w:tc>
      </w:tr>
      <w:tr>
        <w:trPr>
          <w:trHeight w:val="230"/>
        </w:trPr>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Recoveries</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320</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252</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561</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207</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r>
      <w:tr>
        <w:trPr>
          <w:trHeight w:val="223"/>
        </w:trPr>
        <w:tc>
          <w:tcPr>
            <w:tcW w:w="184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16,733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20,188</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3,305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10,613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536</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51,375</w:t>
            </w: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gridSpan w:val="7"/>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7"/>
          </w:tcPr>
          <w:p>
            <w:pPr>
              <w:jc w:val="center"/>
              <w:ind w:right="113"/>
              <w:spacing w:after="0"/>
              <w:rPr>
                <w:sz w:val="20"/>
                <w:szCs w:val="20"/>
                <w:color w:val="auto"/>
              </w:rPr>
            </w:pPr>
            <w:r>
              <w:rPr>
                <w:rFonts w:ascii="Arial" w:cs="Arial" w:eastAsia="Arial" w:hAnsi="Arial"/>
                <w:sz w:val="14"/>
                <w:szCs w:val="14"/>
                <w:b w:val="1"/>
                <w:bCs w:val="1"/>
                <w:color w:val="auto"/>
                <w:w w:val="92"/>
              </w:rPr>
              <w:t>As of and for the Three Months Ended June 30, 2018</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17"/>
              <w:spacing w:after="0" w:line="160" w:lineRule="exact"/>
              <w:rPr>
                <w:sz w:val="20"/>
                <w:szCs w:val="20"/>
                <w:color w:val="auto"/>
              </w:rPr>
            </w:pPr>
            <w:r>
              <w:rPr>
                <w:rFonts w:ascii="Arial" w:cs="Arial" w:eastAsia="Arial" w:hAnsi="Arial"/>
                <w:sz w:val="14"/>
                <w:szCs w:val="14"/>
                <w:b w:val="1"/>
                <w:bCs w:val="1"/>
                <w:color w:val="auto"/>
                <w:w w:val="92"/>
              </w:rPr>
              <w:t>Commercial</w:t>
            </w:r>
          </w:p>
        </w:tc>
        <w:tc>
          <w:tcPr>
            <w:tcW w:w="240" w:type="dxa"/>
            <w:vAlign w:val="bottom"/>
          </w:tcPr>
          <w:p>
            <w:pPr>
              <w:spacing w:after="0"/>
              <w:rPr>
                <w:sz w:val="13"/>
                <w:szCs w:val="13"/>
                <w:color w:val="auto"/>
              </w:rPr>
            </w:pPr>
          </w:p>
        </w:tc>
        <w:tc>
          <w:tcPr>
            <w:tcW w:w="980" w:type="dxa"/>
            <w:vAlign w:val="bottom"/>
          </w:tcPr>
          <w:p>
            <w:pPr>
              <w:jc w:val="center"/>
              <w:ind w:right="153"/>
              <w:spacing w:after="0" w:line="160" w:lineRule="exact"/>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3"/>
                <w:szCs w:val="13"/>
                <w:color w:val="auto"/>
              </w:rPr>
            </w:pPr>
          </w:p>
        </w:tc>
        <w:tc>
          <w:tcPr>
            <w:tcW w:w="980" w:type="dxa"/>
            <w:vAlign w:val="bottom"/>
          </w:tcPr>
          <w:p>
            <w:pPr>
              <w:jc w:val="center"/>
              <w:ind w:right="135"/>
              <w:spacing w:after="0" w:line="160" w:lineRule="exact"/>
              <w:rPr>
                <w:sz w:val="20"/>
                <w:szCs w:val="20"/>
                <w:color w:val="auto"/>
              </w:rPr>
            </w:pPr>
            <w:r>
              <w:rPr>
                <w:rFonts w:ascii="Arial" w:cs="Arial" w:eastAsia="Arial" w:hAnsi="Arial"/>
                <w:sz w:val="14"/>
                <w:szCs w:val="14"/>
                <w:b w:val="1"/>
                <w:bCs w:val="1"/>
                <w:color w:val="auto"/>
                <w:w w:val="94"/>
              </w:rPr>
              <w:t>Retail Real</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Real Estate</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Construction</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0"/>
              </w:rPr>
              <w:t>Estate</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Retail Other</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17,577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22,090</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2,799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9,836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347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52,649</w:t>
            </w:r>
          </w:p>
        </w:tc>
      </w:tr>
      <w:tr>
        <w:trPr>
          <w:trHeight w:val="230"/>
        </w:trPr>
        <w:tc>
          <w:tcPr>
            <w:tcW w:w="1840" w:type="dxa"/>
            <w:vAlign w:val="bottom"/>
            <w:gridSpan w:val="2"/>
          </w:tcPr>
          <w:p>
            <w:pPr>
              <w:spacing w:after="0"/>
              <w:rPr>
                <w:sz w:val="20"/>
                <w:szCs w:val="20"/>
                <w:color w:val="auto"/>
              </w:rPr>
            </w:pPr>
            <w:r>
              <w:rPr>
                <w:rFonts w:ascii="Arial" w:cs="Arial" w:eastAsia="Arial" w:hAnsi="Arial"/>
                <w:sz w:val="16"/>
                <w:szCs w:val="16"/>
                <w:color w:val="auto"/>
              </w:rPr>
              <w:t>Provision for loan losses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1,720</w:t>
            </w:r>
          </w:p>
        </w:tc>
        <w:tc>
          <w:tcPr>
            <w:tcW w:w="200" w:type="dxa"/>
            <w:vAlign w:val="bottom"/>
          </w:tcPr>
          <w:p>
            <w:pPr>
              <w:spacing w:after="0"/>
              <w:rPr>
                <w:sz w:val="19"/>
                <w:szCs w:val="19"/>
                <w:color w:val="auto"/>
              </w:rPr>
            </w:pP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9"/>
                <w:szCs w:val="19"/>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2,258</w:t>
            </w:r>
          </w:p>
        </w:tc>
      </w:tr>
      <w:tr>
        <w:trPr>
          <w:trHeight w:val="230"/>
        </w:trPr>
        <w:tc>
          <w:tcPr>
            <w:tcW w:w="20" w:type="dxa"/>
            <w:vAlign w:val="bottom"/>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Charged-off</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(1,916)</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r>
      <w:tr>
        <w:trPr>
          <w:trHeight w:val="230"/>
        </w:trPr>
        <w:tc>
          <w:tcPr>
            <w:tcW w:w="1840" w:type="dxa"/>
            <w:vAlign w:val="bottom"/>
            <w:gridSpan w:val="2"/>
          </w:tcPr>
          <w:p>
            <w:pPr>
              <w:spacing w:after="0"/>
              <w:rPr>
                <w:sz w:val="20"/>
                <w:szCs w:val="20"/>
                <w:color w:val="auto"/>
              </w:rPr>
            </w:pPr>
            <w:r>
              <w:rPr>
                <w:rFonts w:ascii="Arial" w:cs="Arial" w:eastAsia="Arial" w:hAnsi="Arial"/>
                <w:sz w:val="16"/>
                <w:szCs w:val="16"/>
                <w:color w:val="auto"/>
              </w:rPr>
              <w:t>Recoveries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9"/>
                <w:szCs w:val="19"/>
                <w:color w:val="auto"/>
              </w:rPr>
            </w:pP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951</w:t>
            </w:r>
          </w:p>
        </w:tc>
      </w:tr>
      <w:tr>
        <w:trPr>
          <w:trHeight w:val="223"/>
        </w:trPr>
        <w:tc>
          <w:tcPr>
            <w:tcW w:w="20" w:type="dxa"/>
            <w:vAlign w:val="bottom"/>
          </w:tcPr>
          <w:p>
            <w:pPr>
              <w:spacing w:after="0"/>
              <w:rPr>
                <w:sz w:val="19"/>
                <w:szCs w:val="19"/>
                <w:color w:val="auto"/>
              </w:rPr>
            </w:pPr>
          </w:p>
        </w:tc>
        <w:tc>
          <w:tcPr>
            <w:tcW w:w="1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17,586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23,047</w:t>
            </w:r>
          </w:p>
        </w:tc>
        <w:tc>
          <w:tcPr>
            <w:tcW w:w="2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2,915</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9,293</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464</w:t>
            </w:r>
          </w:p>
        </w:tc>
        <w:tc>
          <w:tcPr>
            <w:tcW w:w="3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53,305</w:t>
            </w: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gridSpan w:val="7"/>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600" w:type="dxa"/>
            <w:vAlign w:val="bottom"/>
            <w:tcBorders>
              <w:bottom w:val="single" w:sz="8" w:color="auto"/>
            </w:tcBorders>
            <w:gridSpan w:val="7"/>
            <w:shd w:val="clear" w:color="auto" w:fill="CCEEFF"/>
          </w:tcPr>
          <w:p>
            <w:pPr>
              <w:jc w:val="center"/>
              <w:ind w:right="93"/>
              <w:spacing w:after="0"/>
              <w:rPr>
                <w:sz w:val="20"/>
                <w:szCs w:val="20"/>
                <w:color w:val="auto"/>
              </w:rPr>
            </w:pPr>
            <w:r>
              <w:rPr>
                <w:rFonts w:ascii="Arial" w:cs="Arial" w:eastAsia="Arial" w:hAnsi="Arial"/>
                <w:sz w:val="14"/>
                <w:szCs w:val="14"/>
                <w:b w:val="1"/>
                <w:bCs w:val="1"/>
                <w:color w:val="auto"/>
                <w:w w:val="92"/>
              </w:rPr>
              <w:t>As of and for the Six Months Ended June 30, 2018</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Commercial</w:t>
            </w:r>
          </w:p>
        </w:tc>
        <w:tc>
          <w:tcPr>
            <w:tcW w:w="240" w:type="dxa"/>
            <w:vAlign w:val="bottom"/>
          </w:tcPr>
          <w:p>
            <w:pPr>
              <w:spacing w:after="0"/>
              <w:rPr>
                <w:sz w:val="15"/>
                <w:szCs w:val="15"/>
                <w:color w:val="auto"/>
              </w:rPr>
            </w:pPr>
          </w:p>
        </w:tc>
        <w:tc>
          <w:tcPr>
            <w:tcW w:w="98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5"/>
                <w:szCs w:val="15"/>
                <w:color w:val="auto"/>
              </w:rPr>
            </w:pPr>
          </w:p>
        </w:tc>
        <w:tc>
          <w:tcPr>
            <w:tcW w:w="98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Retail Real</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w w:val="92"/>
              </w:rPr>
              <w:t>Real Estate</w:t>
            </w:r>
          </w:p>
        </w:tc>
        <w:tc>
          <w:tcPr>
            <w:tcW w:w="12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Construction</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ind w:right="155"/>
              <w:spacing w:after="0"/>
              <w:rPr>
                <w:sz w:val="20"/>
                <w:szCs w:val="20"/>
                <w:color w:val="auto"/>
              </w:rPr>
            </w:pPr>
            <w:r>
              <w:rPr>
                <w:rFonts w:ascii="Arial" w:cs="Arial" w:eastAsia="Arial" w:hAnsi="Arial"/>
                <w:sz w:val="14"/>
                <w:szCs w:val="14"/>
                <w:b w:val="1"/>
                <w:bCs w:val="1"/>
                <w:color w:val="auto"/>
                <w:w w:val="90"/>
              </w:rPr>
              <w:t>Estate</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w w:val="95"/>
              </w:rPr>
              <w:t>Retail Other</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23"/>
        </w:trPr>
        <w:tc>
          <w:tcPr>
            <w:tcW w:w="1840" w:type="dxa"/>
            <w:vAlign w:val="bottom"/>
            <w:gridSpan w:val="2"/>
          </w:tcPr>
          <w:p>
            <w:pPr>
              <w:spacing w:after="0"/>
              <w:rPr>
                <w:sz w:val="20"/>
                <w:szCs w:val="20"/>
                <w:color w:val="auto"/>
              </w:rPr>
            </w:pPr>
            <w:r>
              <w:rPr>
                <w:rFonts w:ascii="Arial" w:cs="Arial" w:eastAsia="Arial" w:hAnsi="Arial"/>
                <w:sz w:val="16"/>
                <w:szCs w:val="16"/>
                <w:color w:val="auto"/>
              </w:rPr>
              <w:t>Beginning balance</w:t>
            </w:r>
          </w:p>
        </w:tc>
        <w:tc>
          <w:tcPr>
            <w:tcW w:w="240" w:type="dxa"/>
            <w:vAlign w:val="bottom"/>
          </w:tcPr>
          <w:p>
            <w:pPr>
              <w:spacing w:after="0"/>
              <w:rPr>
                <w:sz w:val="19"/>
                <w:szCs w:val="19"/>
                <w:color w:val="auto"/>
              </w:rPr>
            </w:pPr>
          </w:p>
        </w:tc>
        <w:tc>
          <w:tcPr>
            <w:tcW w:w="260" w:type="dxa"/>
            <w:vAlign w:val="bottom"/>
            <w:gridSpan w:val="2"/>
          </w:tcPr>
          <w:p>
            <w:pPr>
              <w:jc w:val="right"/>
              <w:ind w:right="99"/>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14,779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21,813</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2,861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13,783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346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53,582</w:t>
            </w:r>
          </w:p>
        </w:tc>
      </w:tr>
      <w:tr>
        <w:trPr>
          <w:trHeight w:val="230"/>
        </w:trPr>
        <w:tc>
          <w:tcPr>
            <w:tcW w:w="20" w:type="dxa"/>
            <w:vAlign w:val="bottom"/>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loan losses</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4,723</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2,445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(4,210)</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r>
      <w:tr>
        <w:trPr>
          <w:trHeight w:val="230"/>
        </w:trPr>
        <w:tc>
          <w:tcPr>
            <w:tcW w:w="1840" w:type="dxa"/>
            <w:vAlign w:val="bottom"/>
            <w:gridSpan w:val="2"/>
          </w:tcPr>
          <w:p>
            <w:pPr>
              <w:spacing w:after="0"/>
              <w:rPr>
                <w:sz w:val="20"/>
                <w:szCs w:val="20"/>
                <w:color w:val="auto"/>
              </w:rPr>
            </w:pPr>
            <w:r>
              <w:rPr>
                <w:rFonts w:ascii="Arial" w:cs="Arial" w:eastAsia="Arial" w:hAnsi="Arial"/>
                <w:sz w:val="16"/>
                <w:szCs w:val="16"/>
                <w:color w:val="auto"/>
              </w:rPr>
              <w:t>Charged-off</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(2,697)</w:t>
            </w:r>
          </w:p>
        </w:tc>
        <w:tc>
          <w:tcPr>
            <w:tcW w:w="2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(1,425)</w:t>
            </w: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(942)</w:t>
            </w:r>
          </w:p>
        </w:tc>
        <w:tc>
          <w:tcPr>
            <w:tcW w:w="2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(5,483)</w:t>
            </w:r>
          </w:p>
        </w:tc>
      </w:tr>
      <w:tr>
        <w:trPr>
          <w:trHeight w:val="230"/>
        </w:trPr>
        <w:tc>
          <w:tcPr>
            <w:tcW w:w="20" w:type="dxa"/>
            <w:vAlign w:val="bottom"/>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Recoveries</w:t>
            </w:r>
          </w:p>
        </w:tc>
        <w:tc>
          <w:tcPr>
            <w:tcW w:w="2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781</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214</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662</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169</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r>
      <w:tr>
        <w:trPr>
          <w:trHeight w:val="223"/>
        </w:trPr>
        <w:tc>
          <w:tcPr>
            <w:tcW w:w="184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24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17,586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23,047</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2,915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9,293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464</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53,305</w:t>
            </w: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30"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The following table presents the allowance for loan losses and recorded investments in portfolio loans by category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ectPr>
          <w:pgSz w:w="11900" w:h="16838" w:orient="portrait"/>
          <w:cols w:equalWidth="0" w:num="1">
            <w:col w:w="9060"/>
          </w:cols>
          <w:pgMar w:left="1420" w:top="530" w:right="141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Allowance for loan losses Ending balance attributed to: Loans individually evaluated for</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impairment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Loans collectively evaluated for</w:t>
      </w:r>
    </w:p>
    <w:p>
      <w:pPr>
        <w:spacing w:after="0" w:line="45" w:lineRule="exact"/>
        <w:rPr>
          <w:sz w:val="20"/>
          <w:szCs w:val="20"/>
          <w:color w:val="auto"/>
        </w:rPr>
      </w:pPr>
    </w:p>
    <w:p>
      <w:pPr>
        <w:jc w:val="center"/>
        <w:ind w:right="1260"/>
        <w:spacing w:after="0"/>
        <w:rPr>
          <w:sz w:val="20"/>
          <w:szCs w:val="20"/>
          <w:color w:val="auto"/>
        </w:rPr>
      </w:pPr>
      <w:r>
        <w:rPr>
          <w:rFonts w:ascii="Arial" w:cs="Arial" w:eastAsia="Arial" w:hAnsi="Arial"/>
          <w:sz w:val="18"/>
          <w:szCs w:val="18"/>
          <w:color w:val="auto"/>
        </w:rPr>
        <w:t>impairment</w:t>
      </w:r>
    </w:p>
    <w:p>
      <w:pPr>
        <w:spacing w:after="0" w:line="3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br w:type="column"/>
      </w:r>
    </w:p>
    <w:p>
      <w:pPr>
        <w:ind w:left="2560"/>
        <w:spacing w:after="0"/>
        <w:rPr>
          <w:sz w:val="20"/>
          <w:szCs w:val="20"/>
          <w:color w:val="auto"/>
        </w:rPr>
      </w:pPr>
      <w:r>
        <w:rPr>
          <w:rFonts w:ascii="Arial" w:cs="Arial" w:eastAsia="Arial" w:hAnsi="Arial"/>
          <w:sz w:val="14"/>
          <w:szCs w:val="14"/>
          <w:b w:val="1"/>
          <w:bCs w:val="1"/>
          <w:color w:val="auto"/>
        </w:rPr>
        <w:t>As of June 30, 2019</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2"/>
              </w:rPr>
              <w:t>Commercial</w:t>
            </w:r>
          </w:p>
        </w:tc>
        <w:tc>
          <w:tcPr>
            <w:tcW w:w="10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Real Estate</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7"/>
              </w:rPr>
              <w:t>Retail Real</w:t>
            </w:r>
          </w:p>
        </w:tc>
        <w:tc>
          <w:tcPr>
            <w:tcW w:w="4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Commercial</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5"/>
              </w:rPr>
              <w:t>Real Estate</w:t>
            </w: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Construction</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Estate</w:t>
            </w: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r>
      <w:tr>
        <w:trPr>
          <w:trHeight w:val="898"/>
        </w:trPr>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2,358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1,367</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474</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4,199</w:t>
            </w:r>
          </w:p>
        </w:tc>
      </w:tr>
      <w:tr>
        <w:trPr>
          <w:trHeight w:val="459"/>
        </w:trPr>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14,375</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18,821</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3,305</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10,139</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536</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47,176</w:t>
            </w:r>
          </w:p>
        </w:tc>
      </w:tr>
      <w:tr>
        <w:trPr>
          <w:trHeight w:val="223"/>
        </w:trPr>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16,733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20,188</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10,613</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536</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51,375</w:t>
            </w:r>
          </w:p>
        </w:tc>
      </w:tr>
      <w:tr>
        <w:trPr>
          <w:trHeight w:val="20"/>
        </w:trPr>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-908685</wp:posOffset>
            </wp:positionV>
            <wp:extent cx="574611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46115" cy="14605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-471170</wp:posOffset>
            </wp:positionV>
            <wp:extent cx="5746115"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6115" cy="291465"/>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-16510</wp:posOffset>
            </wp:positionV>
            <wp:extent cx="574611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4611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400"/>
            <w:col w:w="6300"/>
          </w:cols>
          <w:pgMar w:left="1420" w:top="530" w:right="141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Loans individually evaluated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-130810</wp:posOffset>
            </wp:positionV>
            <wp:extent cx="574611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46115" cy="29146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740" w:type="dxa"/>
            <w:vAlign w:val="bottom"/>
          </w:tcPr>
          <w:p>
            <w:pPr>
              <w:jc w:val="center"/>
              <w:ind w:right="1570"/>
              <w:spacing w:after="0"/>
              <w:rPr>
                <w:sz w:val="20"/>
                <w:szCs w:val="20"/>
                <w:color w:val="auto"/>
              </w:rPr>
            </w:pPr>
            <w:r>
              <w:rPr>
                <w:rFonts w:ascii="Arial" w:cs="Arial" w:eastAsia="Arial" w:hAnsi="Arial"/>
                <w:sz w:val="18"/>
                <w:szCs w:val="18"/>
                <w:color w:val="auto"/>
                <w:w w:val="94"/>
              </w:rPr>
              <w:t>impairment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11,336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15,723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12,668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40,512</w:t>
            </w: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Loans collectively evaluated for</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w w:val="92"/>
              </w:rPr>
              <w:t>1,656,731</w:t>
            </w:r>
          </w:p>
        </w:tc>
        <w:tc>
          <w:tcPr>
            <w:tcW w:w="240" w:type="dxa"/>
            <w:vAlign w:val="bottom"/>
          </w:tcPr>
          <w:p>
            <w:pPr>
              <w:spacing w:after="0"/>
              <w:rPr>
                <w:sz w:val="20"/>
                <w:szCs w:val="20"/>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w w:val="92"/>
              </w:rPr>
              <w:t>2,643,721</w:t>
            </w:r>
          </w:p>
        </w:tc>
        <w:tc>
          <w:tcPr>
            <w:tcW w:w="260" w:type="dxa"/>
            <w:vAlign w:val="bottom"/>
          </w:tcPr>
          <w:p>
            <w:pPr>
              <w:spacing w:after="0"/>
              <w:rPr>
                <w:sz w:val="20"/>
                <w:szCs w:val="20"/>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w w:val="95"/>
              </w:rPr>
              <w:t>428,140</w:t>
            </w:r>
          </w:p>
        </w:tc>
        <w:tc>
          <w:tcPr>
            <w:tcW w:w="220" w:type="dxa"/>
            <w:vAlign w:val="bottom"/>
          </w:tcPr>
          <w:p>
            <w:pPr>
              <w:spacing w:after="0"/>
              <w:rPr>
                <w:sz w:val="20"/>
                <w:szCs w:val="20"/>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w w:val="94"/>
              </w:rPr>
              <w:t>1,707,529</w:t>
            </w:r>
          </w:p>
        </w:tc>
        <w:tc>
          <w:tcPr>
            <w:tcW w:w="300" w:type="dxa"/>
            <w:vAlign w:val="bottom"/>
          </w:tcPr>
          <w:p>
            <w:pPr>
              <w:spacing w:after="0"/>
              <w:rPr>
                <w:sz w:val="20"/>
                <w:szCs w:val="20"/>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51,393</w:t>
            </w:r>
          </w:p>
        </w:tc>
        <w:tc>
          <w:tcPr>
            <w:tcW w:w="26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6,487,514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tcPr>
          <w:p>
            <w:pPr>
              <w:jc w:val="center"/>
              <w:ind w:right="1570"/>
              <w:spacing w:after="0"/>
              <w:rPr>
                <w:sz w:val="20"/>
                <w:szCs w:val="20"/>
                <w:color w:val="auto"/>
              </w:rPr>
            </w:pPr>
            <w:r>
              <w:rPr>
                <w:rFonts w:ascii="Arial" w:cs="Arial" w:eastAsia="Arial" w:hAnsi="Arial"/>
                <w:sz w:val="18"/>
                <w:szCs w:val="18"/>
                <w:color w:val="auto"/>
                <w:w w:val="94"/>
              </w:rPr>
              <w:t>impairment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PCI loans evaluated for</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2,461</w:t>
            </w:r>
          </w:p>
        </w:tc>
        <w:tc>
          <w:tcPr>
            <w:tcW w:w="26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22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c>
          <w:tcPr>
            <w:tcW w:w="30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40" w:type="dxa"/>
            <w:vAlign w:val="bottom"/>
            <w:shd w:val="clear" w:color="auto" w:fill="CCEEFF"/>
          </w:tcPr>
          <w:p>
            <w:pPr>
              <w:jc w:val="center"/>
              <w:ind w:right="1570"/>
              <w:spacing w:after="0"/>
              <w:rPr>
                <w:sz w:val="20"/>
                <w:szCs w:val="20"/>
                <w:color w:val="auto"/>
              </w:rPr>
            </w:pPr>
            <w:r>
              <w:rPr>
                <w:rFonts w:ascii="Arial" w:cs="Arial" w:eastAsia="Arial" w:hAnsi="Arial"/>
                <w:sz w:val="18"/>
                <w:szCs w:val="18"/>
                <w:color w:val="auto"/>
                <w:w w:val="94"/>
              </w:rPr>
              <w:t>impairment</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gridSpan w:val="2"/>
          </w:tcPr>
          <w:p>
            <w:pPr>
              <w:jc w:val="center"/>
              <w:ind w:right="1550"/>
              <w:spacing w:after="0"/>
              <w:rPr>
                <w:sz w:val="20"/>
                <w:szCs w:val="20"/>
                <w:color w:val="auto"/>
              </w:rPr>
            </w:pPr>
            <w:r>
              <w:rPr>
                <w:rFonts w:ascii="Arial" w:cs="Arial" w:eastAsia="Arial" w:hAnsi="Arial"/>
                <w:sz w:val="18"/>
                <w:szCs w:val="18"/>
                <w:color w:val="auto"/>
                <w:w w:val="90"/>
              </w:rPr>
              <w:t>Ending balance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1,668,098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2,661,905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429,326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1,721,370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51,427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6,532,126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30" w:right="141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Allowance for loan losses Ending balance attributed to: Loans individually evaluated for</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impairment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Loans collectively evaluated for</w:t>
      </w:r>
    </w:p>
    <w:p>
      <w:pPr>
        <w:spacing w:after="0" w:line="45" w:lineRule="exact"/>
        <w:rPr>
          <w:sz w:val="20"/>
          <w:szCs w:val="20"/>
          <w:color w:val="auto"/>
        </w:rPr>
      </w:pPr>
    </w:p>
    <w:p>
      <w:pPr>
        <w:jc w:val="center"/>
        <w:ind w:right="1260"/>
        <w:spacing w:after="0"/>
        <w:rPr>
          <w:sz w:val="20"/>
          <w:szCs w:val="20"/>
          <w:color w:val="auto"/>
        </w:rPr>
      </w:pPr>
      <w:r>
        <w:rPr>
          <w:rFonts w:ascii="Arial" w:cs="Arial" w:eastAsia="Arial" w:hAnsi="Arial"/>
          <w:sz w:val="18"/>
          <w:szCs w:val="18"/>
          <w:color w:val="auto"/>
        </w:rPr>
        <w:t>impairment</w:t>
      </w:r>
    </w:p>
    <w:p>
      <w:pPr>
        <w:spacing w:after="0" w:line="3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As of December 31, 2018</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77"/>
              <w:spacing w:after="0" w:line="160" w:lineRule="exact"/>
              <w:rPr>
                <w:sz w:val="20"/>
                <w:szCs w:val="20"/>
                <w:color w:val="auto"/>
              </w:rPr>
            </w:pPr>
            <w:r>
              <w:rPr>
                <w:rFonts w:ascii="Arial" w:cs="Arial" w:eastAsia="Arial" w:hAnsi="Arial"/>
                <w:sz w:val="14"/>
                <w:szCs w:val="14"/>
                <w:b w:val="1"/>
                <w:bCs w:val="1"/>
                <w:color w:val="auto"/>
                <w:w w:val="92"/>
              </w:rPr>
              <w:t>Commercial</w:t>
            </w:r>
          </w:p>
        </w:tc>
        <w:tc>
          <w:tcPr>
            <w:tcW w:w="1020" w:type="dxa"/>
            <w:vAlign w:val="bottom"/>
            <w:tcBorders>
              <w:top w:val="single" w:sz="8" w:color="auto"/>
            </w:tcBorders>
            <w:gridSpan w:val="2"/>
          </w:tcPr>
          <w:p>
            <w:pPr>
              <w:ind w:left="180"/>
              <w:spacing w:after="0" w:line="160" w:lineRule="exact"/>
              <w:rPr>
                <w:sz w:val="20"/>
                <w:szCs w:val="20"/>
                <w:color w:val="auto"/>
              </w:rPr>
            </w:pPr>
            <w:r>
              <w:rPr>
                <w:rFonts w:ascii="Arial" w:cs="Arial" w:eastAsia="Arial" w:hAnsi="Arial"/>
                <w:sz w:val="14"/>
                <w:szCs w:val="14"/>
                <w:b w:val="1"/>
                <w:bCs w:val="1"/>
                <w:color w:val="auto"/>
              </w:rPr>
              <w:t>Real Estate</w:t>
            </w: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97"/>
              <w:spacing w:after="0" w:line="160" w:lineRule="exact"/>
              <w:rPr>
                <w:sz w:val="20"/>
                <w:szCs w:val="20"/>
                <w:color w:val="auto"/>
              </w:rPr>
            </w:pPr>
            <w:r>
              <w:rPr>
                <w:rFonts w:ascii="Arial" w:cs="Arial" w:eastAsia="Arial" w:hAnsi="Arial"/>
                <w:sz w:val="14"/>
                <w:szCs w:val="14"/>
                <w:b w:val="1"/>
                <w:bCs w:val="1"/>
                <w:color w:val="auto"/>
                <w:w w:val="97"/>
              </w:rPr>
              <w:t>Retail Real</w:t>
            </w:r>
          </w:p>
        </w:tc>
        <w:tc>
          <w:tcPr>
            <w:tcW w:w="4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85"/>
        </w:trPr>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Commercial</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5"/>
              </w:rPr>
              <w:t>Real Estate</w:t>
            </w: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Construction</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Estate</w:t>
            </w: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r>
      <w:tr>
        <w:trPr>
          <w:trHeight w:val="898"/>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4,319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1,181</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61</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5,561</w:t>
            </w:r>
          </w:p>
        </w:tc>
      </w:tr>
      <w:tr>
        <w:trPr>
          <w:trHeight w:val="459"/>
        </w:trPr>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13,510</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19,956</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2,723</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8,410</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488</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45,087</w:t>
            </w:r>
          </w:p>
        </w:tc>
      </w:tr>
      <w:tr>
        <w:trPr>
          <w:trHeight w:val="223"/>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17,829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21,137</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8,471</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488</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50,648</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-908685</wp:posOffset>
            </wp:positionV>
            <wp:extent cx="574611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46115" cy="14605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-471170</wp:posOffset>
            </wp:positionV>
            <wp:extent cx="5746115"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46115" cy="29146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-16510</wp:posOffset>
            </wp:positionV>
            <wp:extent cx="574611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4611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380"/>
            <w:col w:w="6320"/>
          </w:cols>
          <w:pgMar w:left="1420" w:top="530" w:right="141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Loans individually evaluated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46115"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6115" cy="29146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Pr>
          <w:p>
            <w:pPr>
              <w:jc w:val="center"/>
              <w:ind w:right="1530"/>
              <w:spacing w:after="0"/>
              <w:rPr>
                <w:sz w:val="20"/>
                <w:szCs w:val="20"/>
                <w:color w:val="auto"/>
              </w:rPr>
            </w:pPr>
            <w:r>
              <w:rPr>
                <w:rFonts w:ascii="Arial" w:cs="Arial" w:eastAsia="Arial" w:hAnsi="Arial"/>
                <w:sz w:val="18"/>
                <w:szCs w:val="18"/>
                <w:color w:val="auto"/>
                <w:w w:val="94"/>
              </w:rPr>
              <w:t>impairment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18,441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15,318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13,159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47,404</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Loans collectively evaluated for</w:t>
            </w:r>
          </w:p>
        </w:tc>
        <w:tc>
          <w:tcPr>
            <w:tcW w:w="140" w:type="dxa"/>
            <w:vAlign w:val="bottom"/>
          </w:tcPr>
          <w:p>
            <w:pPr>
              <w:spacing w:after="0"/>
              <w:rPr>
                <w:sz w:val="20"/>
                <w:szCs w:val="20"/>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w w:val="92"/>
              </w:rPr>
              <w:t>1,386,247</w:t>
            </w:r>
          </w:p>
        </w:tc>
        <w:tc>
          <w:tcPr>
            <w:tcW w:w="240" w:type="dxa"/>
            <w:vAlign w:val="bottom"/>
          </w:tcPr>
          <w:p>
            <w:pPr>
              <w:spacing w:after="0"/>
              <w:rPr>
                <w:sz w:val="20"/>
                <w:szCs w:val="20"/>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w w:val="92"/>
              </w:rPr>
              <w:t>2,349,243</w:t>
            </w:r>
          </w:p>
        </w:tc>
        <w:tc>
          <w:tcPr>
            <w:tcW w:w="260" w:type="dxa"/>
            <w:vAlign w:val="bottom"/>
          </w:tcPr>
          <w:p>
            <w:pPr>
              <w:spacing w:after="0"/>
              <w:rPr>
                <w:sz w:val="20"/>
                <w:szCs w:val="20"/>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w w:val="95"/>
              </w:rPr>
              <w:t>287,744</w:t>
            </w:r>
          </w:p>
        </w:tc>
        <w:tc>
          <w:tcPr>
            <w:tcW w:w="220" w:type="dxa"/>
            <w:vAlign w:val="bottom"/>
          </w:tcPr>
          <w:p>
            <w:pPr>
              <w:spacing w:after="0"/>
              <w:rPr>
                <w:sz w:val="20"/>
                <w:szCs w:val="20"/>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w w:val="92"/>
              </w:rPr>
              <w:t>1,466,876</w:t>
            </w:r>
          </w:p>
        </w:tc>
        <w:tc>
          <w:tcPr>
            <w:tcW w:w="300" w:type="dxa"/>
            <w:vAlign w:val="bottom"/>
          </w:tcPr>
          <w:p>
            <w:pPr>
              <w:spacing w:after="0"/>
              <w:rPr>
                <w:sz w:val="20"/>
                <w:szCs w:val="20"/>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auto"/>
              </w:rPr>
              <w:t>28,136</w:t>
            </w:r>
          </w:p>
        </w:tc>
        <w:tc>
          <w:tcPr>
            <w:tcW w:w="26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5,518,246</w:t>
            </w:r>
          </w:p>
        </w:tc>
        <w:tc>
          <w:tcPr>
            <w:tcW w:w="0" w:type="dxa"/>
            <w:vAlign w:val="bottom"/>
          </w:tcPr>
          <w:p>
            <w:pPr>
              <w:spacing w:after="0"/>
              <w:rPr>
                <w:sz w:val="1"/>
                <w:szCs w:val="1"/>
                <w:color w:val="auto"/>
              </w:rPr>
            </w:pPr>
          </w:p>
        </w:tc>
      </w:tr>
      <w:tr>
        <w:trPr>
          <w:trHeight w:val="230"/>
        </w:trPr>
        <w:tc>
          <w:tcPr>
            <w:tcW w:w="2740" w:type="dxa"/>
            <w:vAlign w:val="bottom"/>
          </w:tcPr>
          <w:p>
            <w:pPr>
              <w:jc w:val="center"/>
              <w:ind w:right="1530"/>
              <w:spacing w:after="0"/>
              <w:rPr>
                <w:sz w:val="20"/>
                <w:szCs w:val="20"/>
                <w:color w:val="auto"/>
              </w:rPr>
            </w:pPr>
            <w:r>
              <w:rPr>
                <w:rFonts w:ascii="Arial" w:cs="Arial" w:eastAsia="Arial" w:hAnsi="Arial"/>
                <w:sz w:val="18"/>
                <w:szCs w:val="18"/>
                <w:color w:val="auto"/>
                <w:w w:val="94"/>
              </w:rPr>
              <w:t>impairment</w:t>
            </w: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PCI loans evaluated for</w:t>
            </w:r>
          </w:p>
        </w:tc>
        <w:tc>
          <w:tcPr>
            <w:tcW w:w="14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2,262</w:t>
            </w:r>
          </w:p>
        </w:tc>
        <w:tc>
          <w:tcPr>
            <w:tcW w:w="26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20"/>
                <w:szCs w:val="20"/>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jc w:val="center"/>
              <w:ind w:right="1530"/>
              <w:spacing w:after="0"/>
              <w:rPr>
                <w:sz w:val="20"/>
                <w:szCs w:val="20"/>
                <w:color w:val="auto"/>
              </w:rPr>
            </w:pPr>
            <w:r>
              <w:rPr>
                <w:rFonts w:ascii="Arial" w:cs="Arial" w:eastAsia="Arial" w:hAnsi="Arial"/>
                <w:sz w:val="18"/>
                <w:szCs w:val="18"/>
                <w:color w:val="auto"/>
                <w:w w:val="94"/>
              </w:rPr>
              <w:t>impairment</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jc w:val="center"/>
              <w:ind w:right="1530"/>
              <w:spacing w:after="0"/>
              <w:rPr>
                <w:sz w:val="20"/>
                <w:szCs w:val="20"/>
                <w:color w:val="auto"/>
              </w:rPr>
            </w:pPr>
            <w:r>
              <w:rPr>
                <w:rFonts w:ascii="Arial" w:cs="Arial" w:eastAsia="Arial" w:hAnsi="Arial"/>
                <w:sz w:val="18"/>
                <w:szCs w:val="18"/>
                <w:color w:val="auto"/>
                <w:w w:val="90"/>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1,405,106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2,366,823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288,197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1,480,133</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28,169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5,568,428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35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3"/>
              </w:rPr>
              <w:t>December 31, 2018</w:t>
            </w:r>
          </w:p>
        </w:tc>
      </w:tr>
      <w:tr>
        <w:trPr>
          <w:trHeight w:val="22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noninterest-bearing</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1,766,681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1,464,700</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Interest-bearing transaction deposits</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1,926,502</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1,435,574</w:t>
            </w: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8"/>
              </w:rPr>
              <w:t>Saving deposits and money market deposits</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2,390,228</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1,852,044</w:t>
            </w:r>
          </w:p>
        </w:tc>
      </w:tr>
      <w:tr>
        <w:trPr>
          <w:trHeight w:val="230"/>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deposits</w:t>
            </w:r>
          </w:p>
        </w:tc>
        <w:tc>
          <w:tcPr>
            <w:tcW w:w="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1,749,811</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1,497,003</w:t>
            </w:r>
          </w:p>
        </w:tc>
      </w:tr>
      <w:tr>
        <w:trPr>
          <w:trHeight w:val="223"/>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7,833,222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6,249,321</w:t>
            </w:r>
          </w:p>
        </w:tc>
      </w:tr>
      <w:tr>
        <w:trPr>
          <w:trHeight w:val="20"/>
        </w:trPr>
        <w:tc>
          <w:tcPr>
            <w:tcW w:w="3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9"/>
        <w:spacing w:after="0" w:line="262" w:lineRule="auto"/>
        <w:rPr>
          <w:sz w:val="20"/>
          <w:szCs w:val="20"/>
          <w:color w:val="auto"/>
        </w:rPr>
      </w:pPr>
      <w:r>
        <w:rPr>
          <w:rFonts w:ascii="Arial" w:cs="Arial" w:eastAsia="Arial" w:hAnsi="Arial"/>
          <w:sz w:val="18"/>
          <w:szCs w:val="18"/>
          <w:color w:val="auto"/>
        </w:rPr>
        <w:t>The Company held brokered saving deposits and money market deposits of $14.4 million and $17.5 million at June 30, 2019 and December 31,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time deposits with a minimum denomination of $100,000 was approximately $934.5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$673.7 million at June 30, 2019 and December 31, 2018, respectively. The aggregate amount of time deposits with 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minimum denomination that meets or exceeds the Federal Deposit Insurance Corporation (“FDIC”) insurance limit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$250,000 was approximately $340.4 million and $264.1 million at June 30, 2019 and December 31, 2018, respectively.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Company held brokered time deposits of $108.8 million and $262.5 million at June 30, 2019 and December 31, 2018,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June 30, 2019, the scheduled maturities of time deposits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July 1, 2019 – June 30, 2020</w:t>
            </w:r>
          </w:p>
        </w:tc>
        <w:tc>
          <w:tcPr>
            <w:tcW w:w="2240" w:type="dxa"/>
            <w:vAlign w:val="bottom"/>
            <w:gridSpan w:val="2"/>
            <w:shd w:val="clear" w:color="auto" w:fill="CCEEFF"/>
          </w:tcPr>
          <w:p>
            <w:pPr>
              <w:jc w:val="right"/>
              <w:ind w:right="56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1,064,812</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July 1, 2020 – June 30, 2021</w:t>
            </w:r>
          </w:p>
        </w:tc>
        <w:tc>
          <w:tcPr>
            <w:tcW w:w="1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389,392</w:t>
            </w: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July 1, 2021 – June 30, 2022</w:t>
            </w:r>
          </w:p>
        </w:tc>
        <w:tc>
          <w:tcPr>
            <w:tcW w:w="1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158,968</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July 1, 2022 – June 30, 2023</w:t>
            </w:r>
          </w:p>
        </w:tc>
        <w:tc>
          <w:tcPr>
            <w:tcW w:w="1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63,863</w:t>
            </w: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July 1, 2023 – June 30, 2024</w:t>
            </w:r>
          </w:p>
        </w:tc>
        <w:tc>
          <w:tcPr>
            <w:tcW w:w="1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71,961</w:t>
            </w:r>
          </w:p>
        </w:tc>
      </w:tr>
      <w:tr>
        <w:trPr>
          <w:trHeight w:val="230"/>
        </w:trPr>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5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r>
      <w:tr>
        <w:trPr>
          <w:trHeight w:val="223"/>
        </w:trPr>
        <w:tc>
          <w:tcPr>
            <w:tcW w:w="35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1,749,811</w:t>
            </w:r>
          </w:p>
        </w:tc>
      </w:tr>
      <w:tr>
        <w:trPr>
          <w:trHeight w:val="20"/>
        </w:trPr>
        <w:tc>
          <w:tcPr>
            <w:tcW w:w="3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229" w:lineRule="exact"/>
        <w:rPr>
          <w:sz w:val="20"/>
          <w:szCs w:val="20"/>
          <w:color w:val="auto"/>
        </w:rPr>
      </w:pPr>
    </w:p>
    <w:p>
      <w:pPr>
        <w:ind w:right="399"/>
        <w:spacing w:after="0" w:line="263" w:lineRule="auto"/>
        <w:rPr>
          <w:sz w:val="20"/>
          <w:szCs w:val="20"/>
          <w:color w:val="auto"/>
        </w:rPr>
      </w:pPr>
      <w:r>
        <w:rPr>
          <w:rFonts w:ascii="Arial" w:cs="Arial" w:eastAsia="Arial" w:hAnsi="Arial"/>
          <w:sz w:val="17"/>
          <w:szCs w:val="17"/>
          <w:color w:val="auto"/>
        </w:rPr>
        <w:t>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include FHLB advances which mature in less than one year from date of origination.</w:t>
      </w:r>
    </w:p>
    <w:p>
      <w:pPr>
        <w:spacing w:after="0" w:line="225" w:lineRule="exact"/>
        <w:rPr>
          <w:sz w:val="20"/>
          <w:szCs w:val="20"/>
          <w:color w:val="auto"/>
        </w:rPr>
      </w:pPr>
    </w:p>
    <w:p>
      <w:pPr>
        <w:jc w:val="both"/>
        <w:ind w:right="119"/>
        <w:spacing w:after="0" w:line="259" w:lineRule="auto"/>
        <w:rPr>
          <w:sz w:val="20"/>
          <w:szCs w:val="20"/>
          <w:color w:val="auto"/>
        </w:rPr>
      </w:pPr>
      <w:r>
        <w:rPr>
          <w:rFonts w:ascii="Arial" w:cs="Arial" w:eastAsia="Arial" w:hAnsi="Arial"/>
          <w:sz w:val="17"/>
          <w:szCs w:val="17"/>
          <w:color w:val="auto"/>
        </w:rPr>
        <w:t>On January 29, 2019, the Company entered into an Amended and Restated Credit Agreement providing for a $60.0 million term loan (the “Term Loan”) with a maturity date of November 30, 2023. The Term Loan has an annual interest rate of one-month LIBOR plus a spread of 1.50%. The proceeds of the Term Loan were used to fund the cash consideration related to the acquisition of Banc Ed. The Company had $57.0 million outstanding indebtedness on June 30, 2019, comprised of $6.0 million of short-term debt and $51.0 million of long-term debt.</w:t>
      </w:r>
    </w:p>
    <w:p>
      <w:pPr>
        <w:spacing w:after="0" w:line="188" w:lineRule="exact"/>
        <w:rPr>
          <w:sz w:val="20"/>
          <w:szCs w:val="20"/>
          <w:color w:val="auto"/>
        </w:rPr>
      </w:pPr>
    </w:p>
    <w:p>
      <w:pPr>
        <w:ind w:right="159"/>
        <w:spacing w:after="0" w:line="241" w:lineRule="auto"/>
        <w:rPr>
          <w:sz w:val="20"/>
          <w:szCs w:val="20"/>
          <w:color w:val="auto"/>
        </w:rPr>
      </w:pPr>
      <w:r>
        <w:rPr>
          <w:rFonts w:ascii="Arial" w:cs="Arial" w:eastAsia="Arial" w:hAnsi="Arial"/>
          <w:sz w:val="18"/>
          <w:szCs w:val="18"/>
          <w:color w:val="auto"/>
        </w:rPr>
        <w:t>The Amended and Restated Credit Agreement also retained the Company’s $20.0 million revolving facility with a maturity date of April 30, 2019. On April 19, 2019, the Company entered into an amendment to the Amended and Restated Credit Agreement to extend the maturity of its revolving loan facility to April 30, 2020. The revolving facility incurs a non-usage fee based on the undrawn amount. The Company had no outstanding balance under the revolving facility on June 30, 2019 or December 31, 2018.</w:t>
      </w:r>
    </w:p>
    <w:p>
      <w:pPr>
        <w:sectPr>
          <w:pgSz w:w="11900" w:h="16838" w:orient="portrait"/>
          <w:cols w:equalWidth="0" w:num="1">
            <w:col w:w="9039"/>
          </w:cols>
          <w:pgMar w:left="142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FHLB, ranging in original maturity from</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nineteen months to ten years, collateralized by FHLB</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deposits, residential and commercial real estate loans and</w:t>
            </w:r>
          </w:p>
        </w:tc>
        <w:tc>
          <w:tcPr>
            <w:tcW w:w="44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35,772</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7"/>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FHLB stock.</w:t>
            </w:r>
          </w:p>
        </w:tc>
        <w:tc>
          <w:tcPr>
            <w:tcW w:w="44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Notes payable</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51,000</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borrowings</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86,772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As of June 30, 2019, long-term debt from the FHLB, consisted of variable-rate notes maturing through September 2024, with interest rates ranging from 2.15% to 3.04%. The weighted average rate on the long-term advances was 2.29% as of June 30, 2019. As of December 31, 2018, funds borrowed from the FHLB, listed above, consisted of variable-rate notes maturing through September 2024, with interest rates ranging from 2.20% to 2.41%. The weighted average rate on the long-term advances was 2.28% as of December 31, 2018.</w:t>
      </w:r>
    </w:p>
    <w:p>
      <w:pPr>
        <w:spacing w:after="0" w:line="20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On May 25, 2017, the Company issued $40.0 million of 3.75% senior notes that mature on May 25, 2022. The senior notes are payable semi-annually on each May 25 and November 25, commencing on November 25, 2017. Additionally, on May 25, 2017, the Company issued $60.0 million of fixed-to-floating rate subordinated notes that mature on May 25, 2027. The subordinated notes, which qualify as Tier 2 capital for First Busey, are at an initial rate of 4.75% for five years and thereafter at an annual floating rate equal to three-month LIBOR plus a spread of 2.919%. The subordinated notes are payable semi-annually on each May 25 and November 25, commencing on November 25, 2017 during the five year fixed-term and thereafter on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 Unamortized debt issuance costs related to the senior notes and subordinated notes totaled $0.4 million and $0.8 million, respectively, at June 30, 2019. Unamortized debt issuance costs related to the senior notes and subordinated notes totaled $0.5 million and $0.9 million, respectively, at December 31,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Junior Subordinated Debt Owed to Unconsolidated Trusts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First Busey maintains statutory trusts for the sole purpose of issuing and servicing trust preferred securities and related trust common securities. The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instruments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acquisition of Pulaski Financial Corp. (“Pulaski”) in 2016, the Company acquired similar statutory trusts maintained by Pulaski and the fair value adjustment is being accreted over the weighted average remaining life. The Company had $71.2 million of junior subordinated debt owed to unconsolidated trusts at June 30, 2019 and December 31, 2018.</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the Company making payment on the related junior subordinated notes. The Company’s obligations under the junior subordinated notes and other relevant trust agreements, in aggregate, constitute a full and unconditional guarantee by the Company of each trust’s obligations under the trust preferred securities issued by each trust. The Company has the right to defer payment of interest on the notes, in which case the distributions on the trust preferred securities will also be deferred, for up to five years, but not beyond the stated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Under current banking regulations, bank holding companies are allowed to include qualifying trust preferred securities in their Tier 1 Capital for regulatory capital purposes, subject to a 25% limitation to all core (Tier 1) capital elements, net of goodwill and other intangible assets less any associated deferred tax liability. As of June 30, 2019, 100% of the trust preferred securities qualified as Tier 1 capital under the final rule adopted in March 2005.</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Dodd-Frank Act mandated the Federal Reserve to establish minimum capital levels for holding companies on a consolidated basis as stringent as those required for FDIC-insured institutions. A result of this change is that the proceeds of hybrid instruments, such as trust preferred securities, are excluded from capital over a phase-out period. However, if such securities were issued prior to May 19, 2010 by bank holding companies with less than $15.0 billion of assets, they may be retained, subject to certain restrictions. Because the Company has assets of less than $15.0 billion, it is able to maintain its trust preferred proceeds as capital, but the Company has to comply with new capital mandates in other respects and will not be able to raise capital in the future through the issuance of trust preferred securities.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24,085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24,862</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49,554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46,779</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55,638</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48,815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54,464</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48,796</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w w:val="97"/>
              </w:rPr>
              <w:t>Dilutive effect of outstanding options, warrants and restricted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80" w:type="dxa"/>
            <w:vAlign w:val="bottom"/>
          </w:tcPr>
          <w:p>
            <w:pPr>
              <w:ind w:left="320"/>
              <w:spacing w:after="0"/>
              <w:rPr>
                <w:sz w:val="20"/>
                <w:szCs w:val="20"/>
                <w:color w:val="auto"/>
              </w:rPr>
            </w:pPr>
            <w:r>
              <w:rPr>
                <w:rFonts w:ascii="Arial" w:cs="Arial" w:eastAsia="Arial" w:hAnsi="Arial"/>
                <w:sz w:val="18"/>
                <w:szCs w:val="18"/>
                <w:color w:val="auto"/>
                <w:w w:val="96"/>
              </w:rPr>
              <w:t>stock units as determined by the application of the treasury</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restart"/>
          </w:tcPr>
          <w:p>
            <w:pPr>
              <w:jc w:val="right"/>
              <w:ind w:right="36"/>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8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stock method</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w w:val="93"/>
              </w:rPr>
              <w:t>Weighted average common shares outstanding, as adjusted for</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8"/>
                <w:szCs w:val="18"/>
                <w:color w:val="auto"/>
              </w:rPr>
              <w:t>55,941</w:t>
            </w:r>
          </w:p>
        </w:tc>
        <w:tc>
          <w:tcPr>
            <w:tcW w:w="28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0"/>
              </w:rPr>
              <w:t>49,224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restart"/>
          </w:tcPr>
          <w:p>
            <w:pPr>
              <w:jc w:val="right"/>
              <w:ind w:right="36"/>
              <w:spacing w:after="0"/>
              <w:rPr>
                <w:sz w:val="20"/>
                <w:szCs w:val="20"/>
                <w:color w:val="auto"/>
              </w:rPr>
            </w:pPr>
            <w:r>
              <w:rPr>
                <w:rFonts w:ascii="Arial" w:cs="Arial" w:eastAsia="Arial" w:hAnsi="Arial"/>
                <w:sz w:val="18"/>
                <w:szCs w:val="18"/>
                <w:color w:val="auto"/>
              </w:rPr>
              <w:t>54,764</w:t>
            </w:r>
          </w:p>
        </w:tc>
        <w:tc>
          <w:tcPr>
            <w:tcW w:w="28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49,203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8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diluted earnings per share calculation</w:t>
            </w:r>
          </w:p>
        </w:tc>
        <w:tc>
          <w:tcPr>
            <w:tcW w:w="2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0.43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0.51</w:t>
            </w:r>
          </w:p>
        </w:tc>
        <w:tc>
          <w:tcPr>
            <w:tcW w:w="200" w:type="dxa"/>
            <w:vAlign w:val="bottom"/>
          </w:tcPr>
          <w:p>
            <w:pPr>
              <w:spacing w:after="0"/>
              <w:rPr>
                <w:sz w:val="23"/>
                <w:szCs w:val="23"/>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0.91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0.43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0.51</w:t>
            </w:r>
          </w:p>
        </w:tc>
        <w:tc>
          <w:tcPr>
            <w:tcW w:w="200" w:type="dxa"/>
            <w:vAlign w:val="bottom"/>
          </w:tcPr>
          <w:p>
            <w:pPr>
              <w:spacing w:after="0"/>
              <w:rPr>
                <w:sz w:val="19"/>
                <w:szCs w:val="19"/>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0.90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Basic earnings per share is computed by dividing net income for the period by the weighted average number of common shares outstanding, which include deferred stock units that are vested but not delivered.</w:t>
      </w:r>
    </w:p>
    <w:p>
      <w:pPr>
        <w:spacing w:after="0" w:line="18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Diluted earnings per common share is computed using the treasury stock method and reflects the potential dilution that could occur if the Company’s outstanding stock options and warrants were exercised and restricted stock units were vested. At June 30, 2019, 169,258 outstanding restricted stock units, 48,107 outstanding stock options, and 191,278 warrants were anti-dilutive and excluded from the calculation of common stock equivalents. At June 30, 2018, 191,278 warrants were anti-dilutive and excluded from the calculation of common stock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requisite service periods ranging from one to five years. The Company annually grants share-based awards in the form of DSUs, which are RSUs with a deferred settlement date, to its board of directors and advisory directors. Each DSU is equivalent to one share of the Company’s common stock. The DSUs vest over a twelve-month period following the grant date or on the date of the</w:t>
      </w:r>
    </w:p>
    <w:p>
      <w:pPr>
        <w:sectPr>
          <w:pgSz w:w="11900" w:h="16838" w:orient="portrait"/>
          <w:cols w:equalWidth="0" w:num="1">
            <w:col w:w="9060"/>
          </w:cols>
          <w:pgMar w:left="1420" w:top="530"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next Annual Meeting of Stockholders, whichever is earlier. These units generally are subject to the same terms as RSUs under the Company’s 2010 Equity Plan or the First Community 2016 Equity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 and stock options assumed from acquisitions.</w:t>
      </w:r>
    </w:p>
    <w:p>
      <w:pPr>
        <w:spacing w:after="0" w:line="188"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A description of the 2010 Equity Incentive Plan, which was amended in 2015, can be found in the Company’s Proxy Statement for the 2015 Annual Meeting of Stockholders. A description of the First Community 2016 Equity Incentive Plan can be found in the Proxy Statement of First Community Financial Partners, Inc. for the 2016 Annual Meeting of Stockholders.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ind w:right="480"/>
        <w:spacing w:after="0" w:line="251" w:lineRule="auto"/>
        <w:rPr>
          <w:sz w:val="20"/>
          <w:szCs w:val="20"/>
          <w:color w:val="auto"/>
        </w:rPr>
      </w:pPr>
      <w:r>
        <w:rPr>
          <w:rFonts w:ascii="Arial" w:cs="Arial" w:eastAsia="Arial" w:hAnsi="Arial"/>
          <w:sz w:val="18"/>
          <w:szCs w:val="18"/>
          <w:color w:val="auto"/>
        </w:rPr>
        <w:t>A summary of the status of and changes in the Company's stock option awards for the six months ended June 30, 2019 follows:</w:t>
      </w:r>
    </w:p>
    <w:tbl>
      <w:tblPr>
        <w:tblLayout w:type="fixed"/>
        <w:tblInd w:w="920" w:type="dxa"/>
        <w:tblCellMar>
          <w:top w:w="0" w:type="dxa"/>
          <w:left w:w="0" w:type="dxa"/>
          <w:bottom w:w="0" w:type="dxa"/>
          <w:right w:w="0" w:type="dxa"/>
        </w:tblCellMar>
      </w:tblPr>
      <w:tr>
        <w:trPr>
          <w:trHeight w:val="166"/>
        </w:trPr>
        <w:tc>
          <w:tcPr>
            <w:tcW w:w="2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1720" w:type="dxa"/>
            <w:vAlign w:val="bottom"/>
          </w:tcPr>
          <w:p>
            <w:pPr>
              <w:jc w:val="center"/>
              <w:ind w:left="62"/>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Average</w:t>
            </w:r>
          </w:p>
        </w:tc>
        <w:tc>
          <w:tcPr>
            <w:tcW w:w="1720" w:type="dxa"/>
            <w:vAlign w:val="bottom"/>
          </w:tcPr>
          <w:p>
            <w:pPr>
              <w:jc w:val="center"/>
              <w:ind w:left="62"/>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w w:val="86"/>
              </w:rPr>
              <w:t>Exercise</w:t>
            </w:r>
          </w:p>
        </w:tc>
        <w:tc>
          <w:tcPr>
            <w:tcW w:w="1720" w:type="dxa"/>
            <w:vAlign w:val="bottom"/>
          </w:tcPr>
          <w:p>
            <w:pPr>
              <w:jc w:val="center"/>
              <w:ind w:left="62"/>
              <w:spacing w:after="0"/>
              <w:rPr>
                <w:sz w:val="20"/>
                <w:szCs w:val="20"/>
                <w:color w:val="auto"/>
              </w:rPr>
            </w:pPr>
            <w:r>
              <w:rPr>
                <w:rFonts w:ascii="Arial" w:cs="Arial" w:eastAsia="Arial" w:hAnsi="Arial"/>
                <w:sz w:val="14"/>
                <w:szCs w:val="14"/>
                <w:b w:val="1"/>
                <w:bCs w:val="1"/>
                <w:color w:val="auto"/>
                <w:w w:val="95"/>
              </w:rPr>
              <w:t>Remaining Contractual</w:t>
            </w:r>
          </w:p>
        </w:tc>
        <w:tc>
          <w:tcPr>
            <w:tcW w:w="0" w:type="dxa"/>
            <w:vAlign w:val="bottom"/>
          </w:tcPr>
          <w:p>
            <w:pPr>
              <w:spacing w:after="0"/>
              <w:rPr>
                <w:sz w:val="1"/>
                <w:szCs w:val="1"/>
                <w:color w:val="auto"/>
              </w:rPr>
            </w:pPr>
          </w:p>
        </w:tc>
      </w:tr>
      <w:tr>
        <w:trPr>
          <w:trHeight w:val="185"/>
        </w:trPr>
        <w:tc>
          <w:tcPr>
            <w:tcW w:w="27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7"/>
              </w:rPr>
              <w:t>Price</w:t>
            </w:r>
          </w:p>
        </w:tc>
        <w:tc>
          <w:tcPr>
            <w:tcW w:w="1720" w:type="dxa"/>
            <w:vAlign w:val="bottom"/>
            <w:tcBorders>
              <w:bottom w:val="single" w:sz="8" w:color="auto"/>
            </w:tcBorders>
          </w:tcPr>
          <w:p>
            <w:pPr>
              <w:jc w:val="center"/>
              <w:ind w:left="62"/>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9"/>
              </w:rPr>
              <w:t>Outstanding at beginning of period</w:t>
            </w: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87,600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(21,799)</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Expired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7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58,354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8"/>
                <w:szCs w:val="18"/>
                <w:color w:val="auto"/>
              </w:rPr>
              <w:t>Exercisable at end of period</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60" w:type="dxa"/>
            <w:vAlign w:val="bottom"/>
            <w:vMerge w:val="continue"/>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42,472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21.09</w:t>
            </w:r>
          </w:p>
        </w:tc>
        <w:tc>
          <w:tcPr>
            <w:tcW w:w="172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Company recorded an insignificant amount and $0.1 million in stock option compensation expense for the three and six months ended June 30, 2019, related to the converted options from First Community. The Company recorded an insignificant amount and $0.1 million in stock option compensation expense for the three and six months ended June 30, 2018, respectively. As of June 30, 2019, the Company had $0.1 million of unrecognized stock option expense. This cost is expected to be recognized in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Plan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changes in the Company’s stock unit awards for the six months ended June 30, 2019, is as follows: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2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237"/>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24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w:t>
            </w:r>
          </w:p>
        </w:tc>
      </w:tr>
      <w:tr>
        <w:trPr>
          <w:trHeight w:val="176"/>
        </w:trPr>
        <w:tc>
          <w:tcPr>
            <w:tcW w:w="2820" w:type="dxa"/>
            <w:vAlign w:val="bottom"/>
          </w:tcPr>
          <w:p>
            <w:pPr>
              <w:spacing w:after="0"/>
              <w:rPr>
                <w:sz w:val="15"/>
                <w:szCs w:val="15"/>
                <w:color w:val="auto"/>
              </w:rPr>
            </w:pPr>
          </w:p>
        </w:tc>
        <w:tc>
          <w:tcPr>
            <w:tcW w:w="90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Restricted</w:t>
            </w:r>
          </w:p>
        </w:tc>
        <w:tc>
          <w:tcPr>
            <w:tcW w:w="180" w:type="dxa"/>
            <w:vAlign w:val="bottom"/>
          </w:tcPr>
          <w:p>
            <w:pPr>
              <w:spacing w:after="0"/>
              <w:rPr>
                <w:sz w:val="15"/>
                <w:szCs w:val="15"/>
                <w:color w:val="auto"/>
              </w:rPr>
            </w:pPr>
          </w:p>
        </w:tc>
        <w:tc>
          <w:tcPr>
            <w:tcW w:w="1100" w:type="dxa"/>
            <w:vAlign w:val="bottom"/>
          </w:tcPr>
          <w:p>
            <w:pPr>
              <w:jc w:val="center"/>
              <w:ind w:right="237"/>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Deferred</w:t>
            </w:r>
          </w:p>
        </w:tc>
        <w:tc>
          <w:tcPr>
            <w:tcW w:w="24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Average</w:t>
            </w:r>
          </w:p>
        </w:tc>
      </w:tr>
      <w:tr>
        <w:trPr>
          <w:trHeight w:val="176"/>
        </w:trPr>
        <w:tc>
          <w:tcPr>
            <w:tcW w:w="28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5"/>
                <w:szCs w:val="15"/>
                <w:color w:val="auto"/>
              </w:rPr>
            </w:pPr>
          </w:p>
        </w:tc>
        <w:tc>
          <w:tcPr>
            <w:tcW w:w="1100" w:type="dxa"/>
            <w:vAlign w:val="bottom"/>
          </w:tcPr>
          <w:p>
            <w:pPr>
              <w:jc w:val="center"/>
              <w:ind w:right="237"/>
              <w:spacing w:after="0"/>
              <w:rPr>
                <w:sz w:val="20"/>
                <w:szCs w:val="20"/>
                <w:color w:val="auto"/>
              </w:rPr>
            </w:pPr>
            <w:r>
              <w:rPr>
                <w:rFonts w:ascii="Arial" w:cs="Arial" w:eastAsia="Arial" w:hAnsi="Arial"/>
                <w:sz w:val="14"/>
                <w:szCs w:val="14"/>
                <w:b w:val="1"/>
                <w:bCs w:val="1"/>
                <w:color w:val="auto"/>
                <w:w w:val="97"/>
              </w:rPr>
              <w:t>Grant Date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28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Units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5"/>
              </w:rPr>
              <w:t>Fair Value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period</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690,495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26.14</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20,449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r>
      <w:tr>
        <w:trPr>
          <w:trHeight w:val="230"/>
        </w:trPr>
        <w:tc>
          <w:tcPr>
            <w:tcW w:w="2820" w:type="dxa"/>
            <w:vAlign w:val="bottom"/>
          </w:tcPr>
          <w:p>
            <w:pPr>
              <w:ind w:left="2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equivalents earned</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11,359</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25.56</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1,269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r>
      <w:tr>
        <w:trPr>
          <w:trHeight w:val="230"/>
        </w:trPr>
        <w:tc>
          <w:tcPr>
            <w:tcW w:w="2820" w:type="dxa"/>
            <w:vAlign w:val="bottom"/>
          </w:tcPr>
          <w:p>
            <w:pPr>
              <w:ind w:left="220"/>
              <w:spacing w:after="0"/>
              <w:rPr>
                <w:sz w:val="20"/>
                <w:szCs w:val="20"/>
                <w:color w:val="auto"/>
              </w:rPr>
            </w:pPr>
            <w:r>
              <w:rPr>
                <w:rFonts w:ascii="Arial" w:cs="Arial" w:eastAsia="Arial" w:hAnsi="Arial"/>
                <w:sz w:val="18"/>
                <w:szCs w:val="18"/>
                <w:color w:val="auto"/>
              </w:rPr>
              <w:t>Vested</w:t>
            </w:r>
          </w:p>
        </w:tc>
        <w:tc>
          <w:tcPr>
            <w:tcW w:w="900" w:type="dxa"/>
            <w:vAlign w:val="bottom"/>
          </w:tcPr>
          <w:p>
            <w:pPr>
              <w:jc w:val="right"/>
              <w:spacing w:after="0"/>
              <w:rPr>
                <w:sz w:val="20"/>
                <w:szCs w:val="20"/>
                <w:color w:val="auto"/>
              </w:rPr>
            </w:pPr>
            <w:r>
              <w:rPr>
                <w:rFonts w:ascii="Arial" w:cs="Arial" w:eastAsia="Arial" w:hAnsi="Arial"/>
                <w:sz w:val="18"/>
                <w:szCs w:val="18"/>
                <w:color w:val="auto"/>
              </w:rPr>
              <w:t>(104,760)</w:t>
            </w:r>
          </w:p>
        </w:tc>
        <w:tc>
          <w:tcPr>
            <w:tcW w:w="180" w:type="dxa"/>
            <w:vAlign w:val="bottom"/>
          </w:tcPr>
          <w:p>
            <w:pPr>
              <w:spacing w:after="0"/>
              <w:rPr>
                <w:sz w:val="19"/>
                <w:szCs w:val="19"/>
                <w:color w:val="auto"/>
              </w:rPr>
            </w:pPr>
          </w:p>
        </w:tc>
        <w:tc>
          <w:tcPr>
            <w:tcW w:w="1100" w:type="dxa"/>
            <w:vAlign w:val="bottom"/>
          </w:tcPr>
          <w:p>
            <w:pPr>
              <w:jc w:val="right"/>
              <w:ind w:right="177"/>
              <w:spacing w:after="0"/>
              <w:rPr>
                <w:sz w:val="20"/>
                <w:szCs w:val="20"/>
                <w:color w:val="auto"/>
              </w:rPr>
            </w:pPr>
            <w:r>
              <w:rPr>
                <w:rFonts w:ascii="Arial" w:cs="Arial" w:eastAsia="Arial" w:hAnsi="Arial"/>
                <w:sz w:val="18"/>
                <w:szCs w:val="18"/>
                <w:color w:val="auto"/>
              </w:rPr>
              <w:t>18.40</w:t>
            </w:r>
          </w:p>
        </w:tc>
        <w:tc>
          <w:tcPr>
            <w:tcW w:w="1020" w:type="dxa"/>
            <w:vAlign w:val="bottom"/>
          </w:tcPr>
          <w:p>
            <w:pPr>
              <w:jc w:val="right"/>
              <w:spacing w:after="0"/>
              <w:rPr>
                <w:sz w:val="20"/>
                <w:szCs w:val="20"/>
                <w:color w:val="auto"/>
              </w:rPr>
            </w:pPr>
            <w:r>
              <w:rPr>
                <w:rFonts w:ascii="Arial" w:cs="Arial" w:eastAsia="Arial" w:hAnsi="Arial"/>
                <w:sz w:val="18"/>
                <w:szCs w:val="18"/>
                <w:color w:val="auto"/>
              </w:rPr>
              <w:t>(20,195)</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30"/>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30.47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r>
      <w:tr>
        <w:trPr>
          <w:trHeight w:val="263"/>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Non-vested at end of period</w:t>
            </w: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592,382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27.46</w:t>
            </w: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592,382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27.46</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68,153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r>
    </w:tbl>
    <w:p>
      <w:pPr>
        <w:spacing w:after="0" w:line="21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Recipients earn quarterly dividend equivalents on their respective units which entitle the recipients to additional units. Therefore, dividends earned each quarter compound based upon the updated unit balances. Upon vesting/delivery, shares are expected (though not required) to be issued from treasury.</w:t>
      </w:r>
    </w:p>
    <w:p>
      <w:pPr>
        <w:sectPr>
          <w:pgSz w:w="11900" w:h="16838" w:orient="portrait"/>
          <w:cols w:equalWidth="0" w:num="1">
            <w:col w:w="9040"/>
          </w:cols>
          <w:pgMar w:left="1420" w:top="530"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recognized $1.0 million and $0.8 million of compensation expense related to both non-vested RSUs and DSUs for the three months ended June 30, 2019 and 2018, respectively. The Company recognized $1.9 million and $1.6 million of compensation expense related to both non-vested RSUs and DSUs for the six months ended June 30, 2019 and 2018, respectively. As of June 30, 2019, there was $8.8 million of total unrecognized compensation cost related to these non-vested stock awards. This cost is expected to be recognized over a period of 3.3 years.</w:t>
      </w:r>
    </w:p>
    <w:p>
      <w:pPr>
        <w:spacing w:after="0" w:line="188" w:lineRule="exact"/>
        <w:rPr>
          <w:sz w:val="20"/>
          <w:szCs w:val="20"/>
          <w:color w:val="auto"/>
        </w:rPr>
      </w:pPr>
    </w:p>
    <w:p>
      <w:pPr>
        <w:jc w:val="both"/>
        <w:ind w:right="220"/>
        <w:spacing w:after="0" w:line="270" w:lineRule="auto"/>
        <w:rPr>
          <w:sz w:val="20"/>
          <w:szCs w:val="20"/>
          <w:color w:val="auto"/>
        </w:rPr>
      </w:pPr>
      <w:r>
        <w:rPr>
          <w:rFonts w:ascii="Arial" w:cs="Arial" w:eastAsia="Arial" w:hAnsi="Arial"/>
          <w:sz w:val="17"/>
          <w:szCs w:val="17"/>
          <w:color w:val="auto"/>
        </w:rPr>
        <w:t>As of June 30, 2019, 766,824 shares remain available for issuance pursuant to the Company’s 2010 Equity Incentive Plan, 54,841 shares remain available for issuance pursuant to the Company’s Employee Stock Purchase Plan and 309,326 shares remain available for issuance pursuant to the First Community 2016 Equity Incentive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Outstanding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 xml:space="preserve">A summary of the contractual amount of the Company’s exposure to off-balance-sheet risk relating to the Company’s commitments to extend credit and standby letters of credit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2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June 30, 2019</w:t>
            </w: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8"/>
              </w:rPr>
              <w:t>December 31, 2018</w:t>
            </w:r>
          </w:p>
        </w:tc>
      </w:tr>
      <w:tr>
        <w:trPr>
          <w:trHeight w:val="223"/>
        </w:trPr>
        <w:tc>
          <w:tcPr>
            <w:tcW w:w="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6"/>
              </w:rPr>
              <w:t>Financial instruments whose contract amounts represent credit risk:</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Commitments to extend credit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6"/>
              <w:spacing w:after="0"/>
              <w:rPr>
                <w:sz w:val="20"/>
                <w:szCs w:val="20"/>
                <w:color w:val="auto"/>
              </w:rPr>
            </w:pPr>
            <w:r>
              <w:rPr>
                <w:rFonts w:ascii="Arial" w:cs="Arial" w:eastAsia="Arial" w:hAnsi="Arial"/>
                <w:sz w:val="18"/>
                <w:szCs w:val="18"/>
                <w:color w:val="auto"/>
              </w:rPr>
              <w:t>1,567,091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1,398,483</w:t>
            </w: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Standby letters of credit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37,560</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Regulatory Capital</w:t>
      </w:r>
    </w:p>
    <w:p>
      <w:pPr>
        <w:spacing w:after="0" w:line="22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Company and the subsidiary banks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the Company's consolidated financial statements. The capital amounts and classification also are subject to qualitative judgments by the regulators about components, risk weightings and other factors.</w:t>
      </w:r>
    </w:p>
    <w:p>
      <w:pPr>
        <w:spacing w:after="0" w:line="203" w:lineRule="exact"/>
        <w:rPr>
          <w:sz w:val="20"/>
          <w:szCs w:val="20"/>
          <w:color w:val="auto"/>
        </w:rPr>
      </w:pPr>
    </w:p>
    <w:p>
      <w:pPr>
        <w:ind w:right="780"/>
        <w:spacing w:after="0" w:line="274" w:lineRule="auto"/>
        <w:rPr>
          <w:sz w:val="20"/>
          <w:szCs w:val="20"/>
          <w:color w:val="auto"/>
        </w:rPr>
      </w:pPr>
      <w:r>
        <w:rPr>
          <w:rFonts w:ascii="Arial" w:cs="Arial" w:eastAsia="Arial" w:hAnsi="Arial"/>
          <w:sz w:val="16"/>
          <w:szCs w:val="16"/>
          <w:color w:val="auto"/>
        </w:rPr>
        <w:t>Banking regulations identify five capital categories for insured depository institutions: well capitalized, adequately capitalized, undercapitalized, significantly undercapitalized and critically undercapitalized. As of June 30,</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2019 and December 31, 2018, all capital ratios of the Company and the subsidiary banks exceeded the well capitalized levels under the applicable regulatory capital adequacy guidelines. Management believes that no events or changes have occurred subsequent to June 30, 2019 that would change this designation.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80"/>
        <w:spacing w:after="0" w:line="251" w:lineRule="auto"/>
        <w:rPr>
          <w:sz w:val="20"/>
          <w:szCs w:val="20"/>
          <w:color w:val="auto"/>
        </w:rPr>
      </w:pPr>
      <w:r>
        <w:rPr>
          <w:rFonts w:ascii="Arial" w:cs="Arial" w:eastAsia="Arial" w:hAnsi="Arial"/>
          <w:sz w:val="18"/>
          <w:szCs w:val="18"/>
          <w:color w:val="auto"/>
        </w:rPr>
        <w:t xml:space="preserve">The following tables summarize the applicable holding company and bank regulatory capital requirements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left="215"/>
              <w:spacing w:after="0"/>
              <w:rPr>
                <w:sz w:val="20"/>
                <w:szCs w:val="20"/>
                <w:color w:val="auto"/>
              </w:rPr>
            </w:pPr>
            <w:r>
              <w:rPr>
                <w:rFonts w:ascii="Arial" w:cs="Arial" w:eastAsia="Arial" w:hAnsi="Arial"/>
                <w:sz w:val="14"/>
                <w:szCs w:val="14"/>
                <w:b w:val="1"/>
                <w:bCs w:val="1"/>
                <w:color w:val="auto"/>
              </w:rPr>
              <w:t>Minimum</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Minimum</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center"/>
              <w:ind w:left="215"/>
              <w:spacing w:after="0"/>
              <w:rPr>
                <w:sz w:val="20"/>
                <w:szCs w:val="20"/>
                <w:color w:val="auto"/>
              </w:rPr>
            </w:pPr>
            <w:r>
              <w:rPr>
                <w:rFonts w:ascii="Arial" w:cs="Arial" w:eastAsia="Arial" w:hAnsi="Arial"/>
                <w:sz w:val="14"/>
                <w:szCs w:val="14"/>
                <w:b w:val="1"/>
                <w:bCs w:val="1"/>
                <w:color w:val="auto"/>
                <w:w w:val="92"/>
              </w:rPr>
              <w:t>To Be Well</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Actual</w:t>
            </w: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w w:val="96"/>
              </w:rPr>
              <w:t>Capital Requirement</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215"/>
              <w:spacing w:after="0"/>
              <w:rPr>
                <w:sz w:val="20"/>
                <w:szCs w:val="20"/>
                <w:color w:val="auto"/>
              </w:rPr>
            </w:pPr>
            <w:r>
              <w:rPr>
                <w:rFonts w:ascii="Arial" w:cs="Arial" w:eastAsia="Arial" w:hAnsi="Arial"/>
                <w:sz w:val="14"/>
                <w:szCs w:val="14"/>
                <w:b w:val="1"/>
                <w:bCs w:val="1"/>
                <w:color w:val="auto"/>
                <w:w w:val="94"/>
              </w:rPr>
              <w:t>Capitalized</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1"/>
              </w:rPr>
              <w:t>Ratio</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1"/>
              </w:rPr>
              <w:t>Ratio</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1"/>
              </w:rPr>
              <w:t>Ratio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June 30, 2019: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gridSpan w:val="4"/>
          </w:tcPr>
          <w:p>
            <w:pPr>
              <w:spacing w:after="0" w:line="189" w:lineRule="exact"/>
              <w:rPr>
                <w:sz w:val="20"/>
                <w:szCs w:val="20"/>
                <w:color w:val="auto"/>
              </w:rPr>
            </w:pPr>
            <w:r>
              <w:rPr>
                <w:rFonts w:ascii="Arial" w:cs="Arial" w:eastAsia="Arial" w:hAnsi="Arial"/>
                <w:sz w:val="18"/>
                <w:szCs w:val="18"/>
                <w:color w:val="auto"/>
                <w:w w:val="95"/>
              </w:rPr>
              <w:t>Total Capital (to Risk Weighted Assets)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9"/>
              </w:rPr>
              <w:t>1,015,740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13.96 %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581,993</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727,491</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893,175</w:t>
            </w: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14.53 %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w w:val="95"/>
              </w:rPr>
              <w:t>491,782</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614,727</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TheBANK</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194,755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17.34 %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89,849</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112,312</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0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w w:val="93"/>
              </w:rPr>
              <w:t>Tier 1 Capital (to Risk Weighted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rPr>
              <w:t>Consolidated</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ind w:right="73"/>
              <w:spacing w:after="0"/>
              <w:rPr>
                <w:sz w:val="20"/>
                <w:szCs w:val="20"/>
                <w:color w:val="auto"/>
              </w:rPr>
            </w:pPr>
            <w:r>
              <w:rPr>
                <w:rFonts w:ascii="Arial" w:cs="Arial" w:eastAsia="Arial" w:hAnsi="Arial"/>
                <w:sz w:val="18"/>
                <w:szCs w:val="18"/>
                <w:color w:val="auto"/>
              </w:rPr>
              <w:t>904,365</w:t>
            </w:r>
          </w:p>
        </w:tc>
        <w:tc>
          <w:tcPr>
            <w:tcW w:w="1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12.43 %</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ind w:right="274"/>
              <w:spacing w:after="0"/>
              <w:rPr>
                <w:sz w:val="20"/>
                <w:szCs w:val="20"/>
                <w:color w:val="auto"/>
              </w:rPr>
            </w:pPr>
            <w:r>
              <w:rPr>
                <w:rFonts w:ascii="Arial" w:cs="Arial" w:eastAsia="Arial" w:hAnsi="Arial"/>
                <w:sz w:val="18"/>
                <w:szCs w:val="18"/>
                <w:color w:val="auto"/>
                <w:w w:val="95"/>
              </w:rPr>
              <w:t>436,495</w:t>
            </w:r>
          </w:p>
        </w:tc>
        <w:tc>
          <w:tcPr>
            <w:tcW w:w="74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6.00 %</w:t>
            </w: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ind w:right="235"/>
              <w:spacing w:after="0"/>
              <w:rPr>
                <w:sz w:val="20"/>
                <w:szCs w:val="20"/>
                <w:color w:val="auto"/>
              </w:rPr>
            </w:pPr>
            <w:r>
              <w:rPr>
                <w:rFonts w:ascii="Arial" w:cs="Arial" w:eastAsia="Arial" w:hAnsi="Arial"/>
                <w:sz w:val="18"/>
                <w:szCs w:val="18"/>
                <w:color w:val="auto"/>
              </w:rPr>
              <w:t>581,993</w:t>
            </w:r>
          </w:p>
        </w:tc>
        <w:tc>
          <w:tcPr>
            <w:tcW w:w="72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Busey Bank</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842,312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13.70 %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368,837</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491,782</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color w:val="auto"/>
              </w:rPr>
              <w:t>TheBANK</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194,243</w:t>
            </w: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17.30 %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rPr>
              <w:t>67,387</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89,849</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40" w:type="dxa"/>
            <w:vAlign w:val="bottom"/>
            <w:gridSpan w:val="8"/>
          </w:tcPr>
          <w:p>
            <w:pPr>
              <w:spacing w:after="0" w:line="189" w:lineRule="exact"/>
              <w:rPr>
                <w:sz w:val="20"/>
                <w:szCs w:val="20"/>
                <w:color w:val="auto"/>
              </w:rPr>
            </w:pPr>
            <w:r>
              <w:rPr>
                <w:rFonts w:ascii="Arial" w:cs="Arial" w:eastAsia="Arial" w:hAnsi="Arial"/>
                <w:sz w:val="18"/>
                <w:szCs w:val="18"/>
                <w:color w:val="auto"/>
                <w:w w:val="93"/>
              </w:rPr>
              <w:t>Common Equity Tier 1 Capital (to Risk Weighted Assets)</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830,365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11.41 %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327,371</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472,869</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842,312</w:t>
            </w: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13.70 %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w w:val="95"/>
              </w:rPr>
              <w:t>276,628</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4.50 %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399,573</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TheBANK</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194,243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17.30 %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50,540</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73,003</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0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Tier 1 Capital (to Average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Consolidated</w:t>
            </w:r>
          </w:p>
        </w:tc>
        <w:tc>
          <w:tcPr>
            <w:tcW w:w="560" w:type="dxa"/>
            <w:vAlign w:val="bottom"/>
            <w:tcBorders>
              <w:top w:val="single" w:sz="8" w:color="CCEEFF"/>
            </w:tcBorders>
            <w:gridSpan w:val="3"/>
          </w:tcPr>
          <w:p>
            <w:pPr>
              <w:spacing w:after="0"/>
              <w:rPr>
                <w:sz w:val="19"/>
                <w:szCs w:val="19"/>
                <w:color w:val="auto"/>
              </w:rPr>
            </w:pPr>
          </w:p>
        </w:tc>
        <w:tc>
          <w:tcPr>
            <w:tcW w:w="2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ind w:right="73"/>
              <w:spacing w:after="0"/>
              <w:rPr>
                <w:sz w:val="20"/>
                <w:szCs w:val="20"/>
                <w:color w:val="auto"/>
              </w:rPr>
            </w:pPr>
            <w:r>
              <w:rPr>
                <w:rFonts w:ascii="Arial" w:cs="Arial" w:eastAsia="Arial" w:hAnsi="Arial"/>
                <w:sz w:val="18"/>
                <w:szCs w:val="18"/>
                <w:color w:val="auto"/>
              </w:rPr>
              <w:t>904,365</w:t>
            </w:r>
          </w:p>
        </w:tc>
        <w:tc>
          <w:tcPr>
            <w:tcW w:w="1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9.87 %</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ind w:right="274"/>
              <w:spacing w:after="0"/>
              <w:rPr>
                <w:sz w:val="20"/>
                <w:szCs w:val="20"/>
                <w:color w:val="auto"/>
              </w:rPr>
            </w:pPr>
            <w:r>
              <w:rPr>
                <w:rFonts w:ascii="Arial" w:cs="Arial" w:eastAsia="Arial" w:hAnsi="Arial"/>
                <w:sz w:val="18"/>
                <w:szCs w:val="18"/>
                <w:color w:val="auto"/>
                <w:w w:val="95"/>
              </w:rPr>
              <w:t>366,386</w:t>
            </w:r>
          </w:p>
        </w:tc>
        <w:tc>
          <w:tcPr>
            <w:tcW w:w="74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4.00 %</w:t>
            </w:r>
          </w:p>
        </w:tc>
        <w:tc>
          <w:tcPr>
            <w:tcW w:w="2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jc w:val="right"/>
              <w:ind w:right="235"/>
              <w:spacing w:after="0"/>
              <w:rPr>
                <w:sz w:val="20"/>
                <w:szCs w:val="20"/>
                <w:color w:val="auto"/>
              </w:rPr>
            </w:pPr>
            <w:r>
              <w:rPr>
                <w:rFonts w:ascii="Arial" w:cs="Arial" w:eastAsia="Arial" w:hAnsi="Arial"/>
                <w:sz w:val="18"/>
                <w:szCs w:val="18"/>
                <w:color w:val="auto"/>
              </w:rPr>
              <w:t>N/A</w:t>
            </w:r>
          </w:p>
        </w:tc>
        <w:tc>
          <w:tcPr>
            <w:tcW w:w="720" w:type="dxa"/>
            <w:vAlign w:val="bottom"/>
            <w:tcBorders>
              <w:top w:val="single" w:sz="8" w:color="CCEEFF"/>
            </w:tcBorders>
          </w:tcPr>
          <w:p>
            <w:pPr>
              <w:jc w:val="right"/>
              <w:ind w:right="2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Busey Bank</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842,312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11.40 %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295,539</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369,424</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color w:val="auto"/>
              </w:rPr>
              <w:t>TheBANK</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194,243</w:t>
            </w: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10.93 %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rPr>
              <w:t>71,062</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88,827</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center"/>
              <w:ind w:left="215"/>
              <w:spacing w:after="0"/>
              <w:rPr>
                <w:sz w:val="20"/>
                <w:szCs w:val="20"/>
                <w:color w:val="auto"/>
              </w:rPr>
            </w:pPr>
            <w:r>
              <w:rPr>
                <w:rFonts w:ascii="Arial" w:cs="Arial" w:eastAsia="Arial" w:hAnsi="Arial"/>
                <w:sz w:val="14"/>
                <w:szCs w:val="14"/>
                <w:b w:val="1"/>
                <w:bCs w:val="1"/>
                <w:color w:val="auto"/>
              </w:rPr>
              <w:t>Minimum</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Minimum</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center"/>
              <w:ind w:left="215"/>
              <w:spacing w:after="0"/>
              <w:rPr>
                <w:sz w:val="20"/>
                <w:szCs w:val="20"/>
                <w:color w:val="auto"/>
              </w:rPr>
            </w:pPr>
            <w:r>
              <w:rPr>
                <w:rFonts w:ascii="Arial" w:cs="Arial" w:eastAsia="Arial" w:hAnsi="Arial"/>
                <w:sz w:val="14"/>
                <w:szCs w:val="14"/>
                <w:b w:val="1"/>
                <w:bCs w:val="1"/>
                <w:color w:val="auto"/>
                <w:w w:val="92"/>
              </w:rPr>
              <w:t>To Be Well</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Actual</w:t>
            </w: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w w:val="96"/>
              </w:rPr>
              <w:t>Capital Requirement</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215"/>
              <w:spacing w:after="0"/>
              <w:rPr>
                <w:sz w:val="20"/>
                <w:szCs w:val="20"/>
                <w:color w:val="auto"/>
              </w:rPr>
            </w:pPr>
            <w:r>
              <w:rPr>
                <w:rFonts w:ascii="Arial" w:cs="Arial" w:eastAsia="Arial" w:hAnsi="Arial"/>
                <w:sz w:val="14"/>
                <w:szCs w:val="14"/>
                <w:b w:val="1"/>
                <w:bCs w:val="1"/>
                <w:color w:val="auto"/>
                <w:w w:val="94"/>
              </w:rPr>
              <w:t>Capitalized</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1"/>
              </w:rPr>
              <w:t>Ratio</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1"/>
              </w:rPr>
              <w:t>Ratio</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1"/>
              </w:rPr>
              <w:t>Ratio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gridSpan w:val="4"/>
          </w:tcPr>
          <w:p>
            <w:pPr>
              <w:spacing w:after="0" w:line="189" w:lineRule="exact"/>
              <w:rPr>
                <w:sz w:val="20"/>
                <w:szCs w:val="20"/>
                <w:color w:val="auto"/>
              </w:rPr>
            </w:pPr>
            <w:r>
              <w:rPr>
                <w:rFonts w:ascii="Arial" w:cs="Arial" w:eastAsia="Arial" w:hAnsi="Arial"/>
                <w:sz w:val="18"/>
                <w:szCs w:val="18"/>
                <w:color w:val="auto"/>
                <w:w w:val="95"/>
              </w:rPr>
              <w:t>Total Capital (to Risk Weighted Assets)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894,572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14.83 %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482,638</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603,297</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854,351</w:t>
            </w: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14.19 %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w w:val="95"/>
              </w:rPr>
              <w:t>481,701</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602,126</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000" w:type="dxa"/>
            <w:vAlign w:val="bottom"/>
            <w:gridSpan w:val="4"/>
          </w:tcPr>
          <w:p>
            <w:pPr>
              <w:spacing w:after="0" w:line="189" w:lineRule="exact"/>
              <w:rPr>
                <w:sz w:val="20"/>
                <w:szCs w:val="20"/>
                <w:color w:val="auto"/>
              </w:rPr>
            </w:pPr>
            <w:r>
              <w:rPr>
                <w:rFonts w:ascii="Arial" w:cs="Arial" w:eastAsia="Arial" w:hAnsi="Arial"/>
                <w:sz w:val="18"/>
                <w:szCs w:val="18"/>
                <w:color w:val="auto"/>
                <w:w w:val="93"/>
              </w:rPr>
              <w:t>Tier 1 Capital (to Risk Weighted Assets)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783,924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12.99 %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361,978</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482,638</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803,703</w:t>
            </w: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13.35 %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w w:val="95"/>
              </w:rPr>
              <w:t>361,276</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481,701</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40" w:type="dxa"/>
            <w:vAlign w:val="bottom"/>
            <w:gridSpan w:val="8"/>
          </w:tcPr>
          <w:p>
            <w:pPr>
              <w:spacing w:after="0" w:line="189" w:lineRule="exact"/>
              <w:rPr>
                <w:sz w:val="20"/>
                <w:szCs w:val="20"/>
                <w:color w:val="auto"/>
              </w:rPr>
            </w:pPr>
            <w:r>
              <w:rPr>
                <w:rFonts w:ascii="Arial" w:cs="Arial" w:eastAsia="Arial" w:hAnsi="Arial"/>
                <w:sz w:val="18"/>
                <w:szCs w:val="18"/>
                <w:color w:val="auto"/>
                <w:w w:val="93"/>
              </w:rPr>
              <w:t>Common Equity Tier 1 Capital (to Risk Weighted Assets)</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709,924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11.77 %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271,484</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392,143</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803,703</w:t>
            </w: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13.35 %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w w:val="95"/>
              </w:rPr>
              <w:t>270,957</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4.50 %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391,382</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000" w:type="dxa"/>
            <w:vAlign w:val="bottom"/>
            <w:gridSpan w:val="4"/>
          </w:tcPr>
          <w:p>
            <w:pPr>
              <w:spacing w:after="0" w:line="189" w:lineRule="exact"/>
              <w:rPr>
                <w:sz w:val="20"/>
                <w:szCs w:val="20"/>
                <w:color w:val="auto"/>
              </w:rPr>
            </w:pPr>
            <w:r>
              <w:rPr>
                <w:rFonts w:ascii="Arial" w:cs="Arial" w:eastAsia="Arial" w:hAnsi="Arial"/>
                <w:sz w:val="18"/>
                <w:szCs w:val="18"/>
                <w:color w:val="auto"/>
              </w:rPr>
              <w:t>Tier 1 Capital (to Average Assets)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783,924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10.36 %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302,704</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4.00 %</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803,703</w:t>
            </w:r>
          </w:p>
        </w:tc>
        <w:tc>
          <w:tcPr>
            <w:tcW w:w="1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10.64 %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w w:val="95"/>
              </w:rPr>
              <w:t>302,232</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377,789</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715"/>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192"/>
              <w:spacing w:after="0"/>
              <w:rPr>
                <w:sz w:val="20"/>
                <w:szCs w:val="20"/>
                <w:color w:val="auto"/>
              </w:rPr>
            </w:pPr>
            <w:r>
              <w:rPr>
                <w:rFonts w:ascii="Arial" w:cs="Arial" w:eastAsia="Arial" w:hAnsi="Arial"/>
                <w:sz w:val="18"/>
                <w:szCs w:val="18"/>
                <w:color w:val="auto"/>
                <w:w w:val="89"/>
              </w:rPr>
              <w:t>29</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30"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In July 2013, the U.S. federal banking authorities approved the Basel III Rule for strengthening international capital standards. The Basel III Rule introduced a capital conservation buffer, composed entirely of Common Equity Tier 1 Capital (“CET1”), which is added to the minimum risk-weighted asset ratios. The capital conservation buffer is not a minimum capital requirement; however, banking institutions with a ratio of CET1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CET1 to risk-weighted assets of at least 7.0%, (ii) Tier 1 capital to risk-weighted assets of at least 8.5%, and (iii) Total capital to risk-weighted assets of at least 10.5%.</w:t>
      </w:r>
    </w:p>
    <w:p>
      <w:pPr>
        <w:spacing w:after="0" w:line="18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ability of the Company to pay cash dividends to its stockholders and to service its debt is dependent on the receipt of cash dividends from its subsidiaries. Under applicable regulatory requirements, an Illinois state-chartered bank such as Busey Bank may not pay dividends in excess of its net profits. Because Busey Bank had been in an accumulated deficit position 2009 thru 2018, it was not able to pay dividends in prior years. With prior approval from its regulators, however, an Illinois state-chartered bank in that situation was able to reduce its capital stock by amending its charter to decrease the authorized number of shares, and then make a subsequent distribution to its holding company. Using this approach, and with the approval of its regulators, Busey Bank has distributed funds to the Company, the most recent of which was $40.0 million on October 12, 2018. Busey Bank returned to a positive retained earnings position in the second quarter of 2018 and, in 2019, returned to paying dividends.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Operating Segments and Related Information</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Company has three reportable operating segments, Banking, Remittance Processing and Wealth Management. The Banking operating segment provides a full range of banking services to individual and corporate customers through its banking center network in Illinois, St. Louis, Missouri metropolitan area, southwest Florida and through its banking center in Indianapolis, Indiana. Banking services for Busey Bank and TheBANK are aggregated into the banking operating segment as they have similar operations and activities.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19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96"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the “Note 1. Significant Accounting Policies” to Form 10-K. The Company accounts for intersegment revenue and transfers at current market value.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Following is a summary of selected financial information for the Company’s operating segments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ectPr>
          <w:pgSz w:w="11900" w:h="16838" w:orient="portrait"/>
          <w:cols w:equalWidth="0" w:num="1">
            <w:col w:w="9060"/>
          </w:cols>
          <w:pgMar w:left="1420" w:top="530" w:right="1419" w:bottom="1440" w:gutter="0" w:footer="0" w:header="0"/>
        </w:sectPr>
      </w:pPr>
    </w:p>
    <w:p>
      <w:pPr>
        <w:spacing w:after="0" w:line="255"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15240</wp:posOffset>
            </wp:positionV>
            <wp:extent cx="18522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620" w:val="left"/>
        </w:tabs>
        <w:rPr>
          <w:sz w:val="20"/>
          <w:szCs w:val="20"/>
          <w:color w:val="auto"/>
        </w:rPr>
      </w:pPr>
      <w:r>
        <w:rPr>
          <w:rFonts w:ascii="Arial" w:cs="Arial" w:eastAsia="Arial" w:hAnsi="Arial"/>
          <w:sz w:val="14"/>
          <w:szCs w:val="14"/>
          <w:b w:val="1"/>
          <w:bCs w:val="1"/>
          <w:color w:val="auto"/>
        </w:rPr>
        <w:t>June 30, 2019</w:t>
      </w:r>
      <w:r>
        <w:rPr>
          <w:sz w:val="20"/>
          <w:szCs w:val="20"/>
          <w:color w:val="auto"/>
        </w:rPr>
        <w:tab/>
      </w:r>
      <w:r>
        <w:rPr>
          <w:rFonts w:ascii="Arial" w:cs="Arial" w:eastAsia="Arial" w:hAnsi="Arial"/>
          <w:sz w:val="13"/>
          <w:szCs w:val="13"/>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15240</wp:posOffset>
            </wp:positionV>
            <wp:extent cx="18522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15240</wp:posOffset>
            </wp:positionV>
            <wp:extent cx="18611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8" w:lineRule="exact"/>
        <w:rPr>
          <w:sz w:val="20"/>
          <w:szCs w:val="20"/>
          <w:color w:val="auto"/>
        </w:rPr>
      </w:pPr>
    </w:p>
    <w:p>
      <w:pPr>
        <w:spacing w:after="0"/>
        <w:tabs>
          <w:tab w:leader="none" w:pos="1400" w:val="left"/>
        </w:tabs>
        <w:rPr>
          <w:sz w:val="20"/>
          <w:szCs w:val="20"/>
          <w:color w:val="auto"/>
        </w:rPr>
      </w:pPr>
      <w:r>
        <w:rPr>
          <w:rFonts w:ascii="Arial" w:cs="Arial" w:eastAsia="Arial" w:hAnsi="Arial"/>
          <w:sz w:val="14"/>
          <w:szCs w:val="14"/>
          <w:b w:val="1"/>
          <w:bCs w:val="1"/>
          <w:color w:val="auto"/>
        </w:rPr>
        <w:t>June 30, 2019</w:t>
      </w:r>
      <w:r>
        <w:rPr>
          <w:sz w:val="20"/>
          <w:szCs w:val="20"/>
          <w:color w:val="auto"/>
        </w:rPr>
        <w:tab/>
      </w:r>
      <w:r>
        <w:rPr>
          <w:rFonts w:ascii="Arial" w:cs="Arial" w:eastAsia="Arial" w:hAnsi="Arial"/>
          <w:sz w:val="12"/>
          <w:szCs w:val="12"/>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15240</wp:posOffset>
            </wp:positionV>
            <wp:extent cx="18611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560"/>
            <w:col w:w="2680"/>
          </w:cols>
          <w:pgMar w:left="1420" w:top="530" w:right="1419" w:bottom="1440"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Banking</w:t>
            </w:r>
          </w:p>
        </w:tc>
        <w:tc>
          <w:tcPr>
            <w:tcW w:w="10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293,657</w:t>
            </w:r>
          </w:p>
        </w:tc>
        <w:tc>
          <w:tcPr>
            <w:tcW w:w="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246,999</w:t>
            </w:r>
          </w:p>
        </w:tc>
        <w:tc>
          <w:tcPr>
            <w:tcW w:w="5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9,568,148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7,656,709</w:t>
            </w:r>
          </w:p>
        </w:tc>
      </w:tr>
      <w:tr>
        <w:trPr>
          <w:trHeight w:val="230"/>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Remittance Processing</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8,992</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42,083</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39,278</w:t>
            </w:r>
          </w:p>
        </w:tc>
      </w:tr>
      <w:tr>
        <w:trPr>
          <w:trHeight w:val="230"/>
        </w:trPr>
        <w:tc>
          <w:tcPr>
            <w:tcW w:w="20" w:type="dxa"/>
            <w:vAlign w:val="bottom"/>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26,015</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20,992</w:t>
            </w:r>
          </w:p>
        </w:tc>
      </w:tr>
      <w:tr>
        <w:trPr>
          <w:trHeight w:val="230"/>
        </w:trPr>
        <w:tc>
          <w:tcPr>
            <w:tcW w:w="20" w:type="dxa"/>
            <w:vAlign w:val="bottom"/>
          </w:tcPr>
          <w:p>
            <w:pPr>
              <w:spacing w:after="0"/>
              <w:rPr>
                <w:sz w:val="19"/>
                <w:szCs w:val="19"/>
                <w:color w:val="auto"/>
              </w:rPr>
            </w:pPr>
          </w:p>
        </w:tc>
        <w:tc>
          <w:tcPr>
            <w:tcW w:w="2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(23,579)</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(14,622)</w:t>
            </w:r>
          </w:p>
        </w:tc>
      </w:tr>
      <w:tr>
        <w:trPr>
          <w:trHeight w:val="223"/>
        </w:trPr>
        <w:tc>
          <w:tcPr>
            <w:tcW w:w="20" w:type="dxa"/>
            <w:vAlign w:val="bottom"/>
          </w:tcPr>
          <w:p>
            <w:pPr>
              <w:spacing w:after="0"/>
              <w:rPr>
                <w:sz w:val="19"/>
                <w:szCs w:val="19"/>
                <w:color w:val="auto"/>
              </w:rPr>
            </w:pPr>
          </w:p>
        </w:tc>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6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314,343</w:t>
            </w:r>
          </w:p>
        </w:tc>
        <w:tc>
          <w:tcPr>
            <w:tcW w:w="6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267,685</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9,612,667</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7,702,357</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30</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30" w:right="141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9060"/>
          </w:cols>
          <w:pgMar w:left="1420" w:top="53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22225</wp:posOffset>
            </wp:positionV>
            <wp:extent cx="16725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 w:lineRule="exact"/>
        <w:rPr>
          <w:sz w:val="20"/>
          <w:szCs w:val="20"/>
          <w:color w:val="auto"/>
        </w:rPr>
      </w:pPr>
    </w:p>
    <w:p>
      <w:pPr>
        <w:ind w:left="3680"/>
        <w:spacing w:after="0"/>
        <w:tabs>
          <w:tab w:leader="none" w:pos="51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15240</wp:posOffset>
            </wp:positionV>
            <wp:extent cx="572833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2833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22225</wp:posOffset>
            </wp:positionV>
            <wp:extent cx="16979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 w:lineRule="exact"/>
        <w:rPr>
          <w:sz w:val="20"/>
          <w:szCs w:val="20"/>
          <w:color w:val="auto"/>
        </w:rPr>
      </w:pPr>
    </w:p>
    <w:p>
      <w:pPr>
        <w:spacing w:after="0"/>
        <w:tabs>
          <w:tab w:leader="none" w:pos="146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59" w:lineRule="exact"/>
        <w:rPr>
          <w:sz w:val="20"/>
          <w:szCs w:val="20"/>
          <w:color w:val="auto"/>
        </w:rPr>
      </w:pPr>
    </w:p>
    <w:p>
      <w:pPr>
        <w:sectPr>
          <w:pgSz w:w="11900" w:h="16838" w:orient="portrait"/>
          <w:cols w:equalWidth="0" w:num="2">
            <w:col w:w="5860" w:space="720"/>
            <w:col w:w="2480"/>
          </w:cols>
          <w:pgMar w:left="1420" w:top="530" w:right="1419" w:bottom="1440" w:gutter="0" w:footer="0" w:header="0"/>
          <w:type w:val="continuous"/>
        </w:sectPr>
      </w:pPr>
    </w:p>
    <w:p>
      <w:pPr>
        <w:ind w:left="20"/>
        <w:spacing w:after="0"/>
        <w:rPr>
          <w:sz w:val="20"/>
          <w:szCs w:val="20"/>
          <w:color w:val="auto"/>
        </w:rPr>
      </w:pPr>
      <w:r>
        <w:rPr>
          <w:rFonts w:ascii="Arial" w:cs="Arial" w:eastAsia="Arial" w:hAnsi="Arial"/>
          <w:sz w:val="18"/>
          <w:szCs w:val="18"/>
          <w:u w:val="single" w:color="auto"/>
          <w:color w:val="auto"/>
        </w:rPr>
        <w:t>Net interest income:</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980" w:type="dxa"/>
            <w:vAlign w:val="bottom"/>
            <w:gridSpan w:val="5"/>
          </w:tcPr>
          <w:p>
            <w:pPr>
              <w:ind w:left="100"/>
              <w:spacing w:after="0"/>
              <w:rPr>
                <w:sz w:val="20"/>
                <w:szCs w:val="20"/>
                <w:color w:val="auto"/>
              </w:rPr>
            </w:pPr>
            <w:r>
              <w:rPr>
                <w:rFonts w:ascii="Arial" w:cs="Arial" w:eastAsia="Arial" w:hAnsi="Arial"/>
                <w:sz w:val="18"/>
                <w:szCs w:val="18"/>
                <w:color w:val="auto"/>
              </w:rPr>
              <w:t>Banking</w:t>
            </w:r>
          </w:p>
        </w:tc>
        <w:tc>
          <w:tcPr>
            <w:tcW w:w="5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75,944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62,109</w:t>
            </w:r>
          </w:p>
        </w:tc>
        <w:tc>
          <w:tcPr>
            <w:tcW w:w="240" w:type="dxa"/>
            <w:vAlign w:val="bottom"/>
          </w:tcPr>
          <w:p>
            <w:pPr>
              <w:spacing w:after="0"/>
              <w:rPr>
                <w:sz w:val="19"/>
                <w:szCs w:val="19"/>
                <w:color w:val="auto"/>
              </w:rPr>
            </w:pP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146,582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123,525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5"/>
          </w:tcPr>
          <w:p>
            <w:pPr>
              <w:ind w:left="100"/>
              <w:spacing w:after="0"/>
              <w:rPr>
                <w:sz w:val="20"/>
                <w:szCs w:val="20"/>
                <w:color w:val="auto"/>
              </w:rPr>
            </w:pPr>
            <w:r>
              <w:rPr>
                <w:rFonts w:ascii="Arial" w:cs="Arial" w:eastAsia="Arial" w:hAnsi="Arial"/>
                <w:sz w:val="18"/>
                <w:szCs w:val="18"/>
                <w:color w:val="auto"/>
              </w:rPr>
              <w:t>Wealth Management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(2,534)</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(4,807)</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80" w:type="dxa"/>
            <w:vAlign w:val="bottom"/>
            <w:tcBorders>
              <w:bottom w:val="single" w:sz="8" w:color="CCEEFF"/>
            </w:tcBorders>
            <w:gridSpan w:val="5"/>
          </w:tcPr>
          <w:p>
            <w:pPr>
              <w:ind w:left="300"/>
              <w:spacing w:after="0"/>
              <w:rPr>
                <w:sz w:val="20"/>
                <w:szCs w:val="20"/>
                <w:color w:val="auto"/>
              </w:rPr>
            </w:pPr>
            <w:r>
              <w:rPr>
                <w:rFonts w:ascii="Arial" w:cs="Arial" w:eastAsia="Arial" w:hAnsi="Arial"/>
                <w:sz w:val="18"/>
                <w:szCs w:val="18"/>
                <w:color w:val="auto"/>
              </w:rPr>
              <w:t>Total net interest income</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73,428</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60,372</w:t>
            </w:r>
          </w:p>
        </w:tc>
        <w:tc>
          <w:tcPr>
            <w:tcW w:w="2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141,811</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120,129</w:t>
            </w:r>
          </w:p>
        </w:tc>
        <w:tc>
          <w:tcPr>
            <w:tcW w:w="2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80" w:type="dxa"/>
            <w:vAlign w:val="bottom"/>
            <w:gridSpan w:val="5"/>
          </w:tcPr>
          <w:p>
            <w:pPr>
              <w:spacing w:after="0" w:line="189" w:lineRule="exact"/>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5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15,659</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2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28,442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22,631</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5"/>
          </w:tcPr>
          <w:p>
            <w:pPr>
              <w:ind w:left="100"/>
              <w:spacing w:after="0"/>
              <w:rPr>
                <w:sz w:val="20"/>
                <w:szCs w:val="20"/>
                <w:color w:val="auto"/>
              </w:rPr>
            </w:pPr>
            <w:r>
              <w:rPr>
                <w:rFonts w:ascii="Arial" w:cs="Arial" w:eastAsia="Arial" w:hAnsi="Arial"/>
                <w:sz w:val="18"/>
                <w:szCs w:val="18"/>
                <w:color w:val="auto"/>
              </w:rPr>
              <w:t>Remittance Processing</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4,117</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8,298</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9,594</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18,727</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16,449</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Borders>
              <w:bottom w:val="single" w:sz="8" w:color="CCEEFF"/>
            </w:tcBorders>
            <w:gridSpan w:val="5"/>
          </w:tcPr>
          <w:p>
            <w:pPr>
              <w:ind w:left="1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(1,474)</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(1,626)</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CCEEFF"/>
            </w:tcBorders>
            <w:gridSpan w:val="5"/>
            <w:shd w:val="clear" w:color="auto" w:fill="CCEEFF"/>
          </w:tcPr>
          <w:p>
            <w:pPr>
              <w:ind w:left="300"/>
              <w:spacing w:after="0"/>
              <w:rPr>
                <w:sz w:val="20"/>
                <w:szCs w:val="20"/>
                <w:color w:val="auto"/>
              </w:rPr>
            </w:pPr>
            <w:r>
              <w:rPr>
                <w:rFonts w:ascii="Arial" w:cs="Arial" w:eastAsia="Arial" w:hAnsi="Arial"/>
                <w:sz w:val="18"/>
                <w:szCs w:val="18"/>
                <w:color w:val="auto"/>
              </w:rPr>
              <w:t>Total non-interest income</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27,896</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22,802</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53,841</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45,288</w:t>
            </w:r>
          </w:p>
        </w:tc>
        <w:tc>
          <w:tcPr>
            <w:tcW w:w="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w w:val="87"/>
              </w:rPr>
              <w:t>Non-interest expense:</w:t>
            </w:r>
          </w:p>
        </w:tc>
        <w:tc>
          <w:tcPr>
            <w:tcW w:w="142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5"/>
          </w:tcPr>
          <w:p>
            <w:pPr>
              <w:ind w:left="100"/>
              <w:spacing w:after="0"/>
              <w:rPr>
                <w:sz w:val="20"/>
                <w:szCs w:val="20"/>
                <w:color w:val="auto"/>
              </w:rPr>
            </w:pPr>
            <w:r>
              <w:rPr>
                <w:rFonts w:ascii="Arial" w:cs="Arial" w:eastAsia="Arial" w:hAnsi="Arial"/>
                <w:sz w:val="18"/>
                <w:szCs w:val="18"/>
                <w:color w:val="auto"/>
              </w:rPr>
              <w:t>Banking</w:t>
            </w:r>
          </w:p>
        </w:tc>
        <w:tc>
          <w:tcPr>
            <w:tcW w:w="5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56,895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37,855</w:t>
            </w:r>
          </w:p>
        </w:tc>
        <w:tc>
          <w:tcPr>
            <w:tcW w:w="240" w:type="dxa"/>
            <w:vAlign w:val="bottom"/>
          </w:tcPr>
          <w:p>
            <w:pPr>
              <w:spacing w:after="0"/>
              <w:rPr>
                <w:sz w:val="19"/>
                <w:szCs w:val="19"/>
                <w:color w:val="auto"/>
              </w:rPr>
            </w:pP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102,066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79,241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2,589</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5,353</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5"/>
          </w:tcPr>
          <w:p>
            <w:pPr>
              <w:ind w:left="100"/>
              <w:spacing w:after="0"/>
              <w:rPr>
                <w:sz w:val="20"/>
                <w:szCs w:val="20"/>
                <w:color w:val="auto"/>
              </w:rPr>
            </w:pPr>
            <w:r>
              <w:rPr>
                <w:rFonts w:ascii="Arial" w:cs="Arial" w:eastAsia="Arial" w:hAnsi="Arial"/>
                <w:sz w:val="18"/>
                <w:szCs w:val="18"/>
                <w:color w:val="auto"/>
              </w:rPr>
              <w:t>Wealth Management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5,749</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4,703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11,313</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9,614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2,787</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6,451</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80" w:type="dxa"/>
            <w:vAlign w:val="bottom"/>
            <w:tcBorders>
              <w:bottom w:val="single" w:sz="8" w:color="CCEEFF"/>
            </w:tcBorders>
            <w:gridSpan w:val="5"/>
          </w:tcPr>
          <w:p>
            <w:pPr>
              <w:ind w:left="300"/>
              <w:spacing w:after="0"/>
              <w:rPr>
                <w:sz w:val="20"/>
                <w:szCs w:val="20"/>
                <w:color w:val="auto"/>
              </w:rPr>
            </w:pPr>
            <w:r>
              <w:rPr>
                <w:rFonts w:ascii="Arial" w:cs="Arial" w:eastAsia="Arial" w:hAnsi="Arial"/>
                <w:sz w:val="18"/>
                <w:szCs w:val="18"/>
                <w:color w:val="auto"/>
              </w:rPr>
              <w:t>Total non-interest expense</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68,020</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47,305</w:t>
            </w:r>
          </w:p>
        </w:tc>
        <w:tc>
          <w:tcPr>
            <w:tcW w:w="2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125,183</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98,345</w:t>
            </w:r>
          </w:p>
        </w:tc>
        <w:tc>
          <w:tcPr>
            <w:tcW w:w="2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80" w:type="dxa"/>
            <w:vAlign w:val="bottom"/>
            <w:gridSpan w:val="5"/>
          </w:tcPr>
          <w:p>
            <w:pPr>
              <w:spacing w:after="0" w:line="189" w:lineRule="exact"/>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5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32,191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33,730</w:t>
            </w:r>
          </w:p>
        </w:tc>
        <w:tc>
          <w:tcPr>
            <w:tcW w:w="2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68,330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63,649</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5"/>
          </w:tcPr>
          <w:p>
            <w:pPr>
              <w:ind w:left="100"/>
              <w:spacing w:after="0"/>
              <w:rPr>
                <w:sz w:val="20"/>
                <w:szCs w:val="20"/>
                <w:color w:val="auto"/>
              </w:rPr>
            </w:pPr>
            <w:r>
              <w:rPr>
                <w:rFonts w:ascii="Arial" w:cs="Arial" w:eastAsia="Arial" w:hAnsi="Arial"/>
                <w:sz w:val="18"/>
                <w:szCs w:val="18"/>
                <w:color w:val="auto"/>
              </w:rPr>
              <w:t>Remittance Processing</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1,546</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2,981</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3,845</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7,414</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Borders>
              <w:bottom w:val="single" w:sz="8" w:color="CCEEFF"/>
            </w:tcBorders>
            <w:gridSpan w:val="5"/>
          </w:tcPr>
          <w:p>
            <w:pPr>
              <w:ind w:left="1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(6,795)</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(12,884)</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(9,584)</w:t>
            </w:r>
          </w:p>
        </w:tc>
        <w:tc>
          <w:tcPr>
            <w:tcW w:w="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CCEEFF"/>
            </w:tcBorders>
            <w:gridSpan w:val="5"/>
            <w:shd w:val="clear" w:color="auto" w:fill="CCEEFF"/>
          </w:tcPr>
          <w:p>
            <w:pPr>
              <w:ind w:left="300"/>
              <w:spacing w:after="0"/>
              <w:rPr>
                <w:sz w:val="20"/>
                <w:szCs w:val="20"/>
                <w:color w:val="auto"/>
              </w:rPr>
            </w:pPr>
            <w:r>
              <w:rPr>
                <w:rFonts w:ascii="Arial" w:cs="Arial" w:eastAsia="Arial" w:hAnsi="Arial"/>
                <w:sz w:val="18"/>
                <w:szCs w:val="18"/>
                <w:color w:val="auto"/>
                <w:w w:val="98"/>
              </w:rPr>
              <w:t>Total income before income taxes</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30,787</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33,611</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65,841</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63,806</w:t>
            </w:r>
          </w:p>
        </w:tc>
        <w:tc>
          <w:tcPr>
            <w:tcW w:w="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Banking</w:t>
            </w:r>
          </w:p>
        </w:tc>
        <w:tc>
          <w:tcPr>
            <w:tcW w:w="2120" w:type="dxa"/>
            <w:vAlign w:val="bottom"/>
            <w:tcBorders>
              <w:top w:val="single" w:sz="8" w:color="CCEEFF"/>
            </w:tcBorders>
            <w:gridSpan w:val="4"/>
          </w:tcPr>
          <w:p>
            <w:pPr>
              <w:spacing w:after="0"/>
              <w:rPr>
                <w:sz w:val="19"/>
                <w:szCs w:val="19"/>
                <w:color w:val="auto"/>
              </w:rPr>
            </w:pPr>
          </w:p>
        </w:tc>
        <w:tc>
          <w:tcPr>
            <w:tcW w:w="580" w:type="dxa"/>
            <w:vAlign w:val="bottom"/>
            <w:tcBorders>
              <w:top w:val="single" w:sz="8" w:color="CCEEFF"/>
            </w:tcBorders>
            <w:gridSpan w:val="2"/>
          </w:tcPr>
          <w:p>
            <w:pPr>
              <w:jc w:val="right"/>
              <w:ind w:right="205"/>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24,441</w:t>
            </w:r>
          </w:p>
        </w:tc>
        <w:tc>
          <w:tcPr>
            <w:tcW w:w="4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24,904</w:t>
            </w:r>
          </w:p>
        </w:tc>
        <w:tc>
          <w:tcPr>
            <w:tcW w:w="2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51,106</w:t>
            </w:r>
          </w:p>
        </w:tc>
        <w:tc>
          <w:tcPr>
            <w:tcW w:w="46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46,749</w:t>
            </w:r>
          </w:p>
        </w:tc>
        <w:tc>
          <w:tcPr>
            <w:tcW w:w="2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1,105</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2,130</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5"/>
          </w:tcPr>
          <w:p>
            <w:pPr>
              <w:ind w:left="100"/>
              <w:spacing w:after="0"/>
              <w:rPr>
                <w:sz w:val="20"/>
                <w:szCs w:val="20"/>
                <w:color w:val="auto"/>
              </w:rPr>
            </w:pPr>
            <w:r>
              <w:rPr>
                <w:rFonts w:ascii="Arial" w:cs="Arial" w:eastAsia="Arial" w:hAnsi="Arial"/>
                <w:sz w:val="18"/>
                <w:szCs w:val="18"/>
                <w:color w:val="auto"/>
              </w:rPr>
              <w:t>Wealth Management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2,845</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5,486</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(4,306)</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(9,168)</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5"/>
          </w:tcPr>
          <w:p>
            <w:pPr>
              <w:ind w:left="300"/>
              <w:spacing w:after="0"/>
              <w:rPr>
                <w:sz w:val="20"/>
                <w:szCs w:val="20"/>
                <w:color w:val="auto"/>
              </w:rPr>
            </w:pPr>
            <w:r>
              <w:rPr>
                <w:rFonts w:ascii="Arial" w:cs="Arial" w:eastAsia="Arial" w:hAnsi="Arial"/>
                <w:sz w:val="18"/>
                <w:szCs w:val="18"/>
                <w:color w:val="auto"/>
              </w:rPr>
              <w:t>Total net income</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24,085</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49,554</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22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Company enters into derivative financial instruments, including interest rate lock commitments issued to residential loan customers for loans that will be held for sale, forward sales commitments to sell residential mortgage loans to loan investors and derivatives to customers for interest rate swaps. See “Note 14: Fair Value Measurements” for further discussion of the fair value measurement of such derivatives.</w:t>
      </w:r>
    </w:p>
    <w:p>
      <w:pPr>
        <w:spacing w:after="0" w:line="202"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i w:val="1"/>
          <w:iCs w:val="1"/>
          <w:color w:val="auto"/>
        </w:rPr>
        <w:t>Interest Rate Lock Commitments</w:t>
      </w:r>
      <w:r>
        <w:rPr>
          <w:rFonts w:ascii="Arial" w:cs="Arial" w:eastAsia="Arial" w:hAnsi="Arial"/>
          <w:sz w:val="16"/>
          <w:szCs w:val="16"/>
          <w:color w:val="auto"/>
        </w:rPr>
        <w:t>. At June 30, 2019 and December 31, 2018, the Company had issued $73.5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$27.2 million, respectively, of unexpired interest rate lock commitments to loan customers. Such interest rate lock commitments that meet the definition of derivative financial instruments under ASC Topic 815, Derivatives and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Hedging, are carried at their fair values in other assets or other liabilities in the unaudited consolidated financial statements, with changes in the fair values of the corresponding derivative financial assets or liabilities recorded as either a charge or credit to current earnings during the period in which the changes occurred.</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Forward Sales Commitments</w:t>
      </w:r>
      <w:r>
        <w:rPr>
          <w:rFonts w:ascii="Arial" w:cs="Arial" w:eastAsia="Arial" w:hAnsi="Arial"/>
          <w:sz w:val="17"/>
          <w:szCs w:val="17"/>
          <w:color w:val="auto"/>
        </w:rPr>
        <w:t>. At June 30, 2019 and December 31, 2018, the Company had issued $107.5 million and $48.6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of unexpired forward sales commitments to mortgage loan investors. Typically, 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Derivatives and Hedging, are carried at their fair values in other assets or other liabilities in the unaudited consolidated financial statements. While such forward sales commitments generally served as an economic hedge to the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191"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color w:val="auto"/>
        </w:rPr>
        <w:t xml:space="preserve">The fair values of derivative assets and liabilities related to interest rate lock commitments and forward sales commitments recorded in the unaudited Consolidated Balance Sheets are summarized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8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June 30, 2019</w:t>
            </w: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December 31, 2018</w:t>
            </w:r>
          </w:p>
        </w:tc>
      </w:tr>
      <w:tr>
        <w:trPr>
          <w:trHeight w:val="22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1,135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220" w:type="dxa"/>
            <w:vAlign w:val="bottom"/>
          </w:tcPr>
          <w:p>
            <w:pPr>
              <w:spacing w:after="0"/>
              <w:rPr>
                <w:sz w:val="20"/>
                <w:szCs w:val="20"/>
                <w:color w:val="auto"/>
              </w:rPr>
            </w:pP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1,949</w:t>
            </w: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1,205</w:t>
            </w:r>
          </w:p>
        </w:tc>
      </w:tr>
    </w:tbl>
    <w:p>
      <w:pPr>
        <w:spacing w:after="0" w:line="214" w:lineRule="exact"/>
        <w:rPr>
          <w:sz w:val="20"/>
          <w:szCs w:val="20"/>
          <w:color w:val="auto"/>
        </w:rPr>
      </w:pPr>
    </w:p>
    <w:p>
      <w:pPr>
        <w:jc w:val="both"/>
        <w:ind w:right="300"/>
        <w:spacing w:after="0" w:line="248" w:lineRule="auto"/>
        <w:rPr>
          <w:sz w:val="20"/>
          <w:szCs w:val="20"/>
          <w:color w:val="auto"/>
        </w:rPr>
      </w:pPr>
      <w:r>
        <w:rPr>
          <w:rFonts w:ascii="Arial" w:cs="Arial" w:eastAsia="Arial" w:hAnsi="Arial"/>
          <w:sz w:val="18"/>
          <w:szCs w:val="18"/>
          <w:color w:val="auto"/>
        </w:rPr>
        <w:t xml:space="preserve">The gross gains and losses on these derivative assets and liabilities related to interest rate lock commitments and forward sales commitments recorded in non-interest income and expense in the unaudited Consolidated Statements of Income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4" w:lineRule="exact"/>
        <w:rPr>
          <w:sz w:val="20"/>
          <w:szCs w:val="20"/>
          <w:color w:val="auto"/>
        </w:rPr>
      </w:pPr>
    </w:p>
    <w:tbl>
      <w:tblPr>
        <w:tblLayout w:type="fixed"/>
        <w:tblInd w:w="90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44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16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23"/>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1,929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3,007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00" w:type="dxa"/>
            <w:vAlign w:val="bottom"/>
            <w:shd w:val="clear" w:color="auto" w:fill="CCEEFF"/>
          </w:tcPr>
          <w:p>
            <w:pPr>
              <w:spacing w:after="0"/>
              <w:rPr>
                <w:sz w:val="19"/>
                <w:szCs w:val="19"/>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Gross (losses)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(1,949)</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(1,054)</w:t>
            </w: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(3,067)</w:t>
            </w:r>
          </w:p>
        </w:tc>
        <w:tc>
          <w:tcPr>
            <w:tcW w:w="3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(2,108)</w:t>
            </w:r>
          </w:p>
        </w:tc>
      </w:tr>
      <w:tr>
        <w:trPr>
          <w:trHeight w:val="223"/>
        </w:trPr>
        <w:tc>
          <w:tcPr>
            <w:tcW w:w="16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gains (losses)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(60)</w:t>
            </w:r>
          </w:p>
        </w:tc>
        <w:tc>
          <w:tcPr>
            <w:tcW w:w="3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i w:val="1"/>
          <w:iCs w:val="1"/>
          <w:color w:val="auto"/>
        </w:rPr>
        <w:t xml:space="preserve">Derivatives to Customers. </w:t>
      </w:r>
      <w:r>
        <w:rPr>
          <w:rFonts w:ascii="Arial" w:cs="Arial" w:eastAsia="Arial" w:hAnsi="Arial"/>
          <w:sz w:val="17"/>
          <w:szCs w:val="17"/>
          <w:color w:val="auto"/>
        </w:rPr>
        <w:t>The Company may offer derivative contracts to its customers in connection with their risk</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needs. These derivatives are primarily interest rate swaps. The Company manages the risk associated with these contracts by entering into an equal and offsetting derivative with a third-party dealer. With notional values of $407.4 million and $243.7 million at June 30, 2019 and December 31, 2018, respectively, these contracts support variable rate, commercial loan relationships totaling $203.7 million and $121.8 million, respectively.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The fair values of derivative assets and liabilities related to derivatives for customers for interest rate swaps recorded in the unaudited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June 30, 2019</w:t>
            </w: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8"/>
              </w:rPr>
              <w:t>December 31, 2018</w:t>
            </w:r>
          </w:p>
        </w:tc>
      </w:tr>
      <w:tr>
        <w:trPr>
          <w:trHeight w:val="22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11,948</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260" w:type="dxa"/>
            <w:vAlign w:val="bottom"/>
          </w:tcPr>
          <w:p>
            <w:pPr>
              <w:spacing w:after="0"/>
              <w:rPr>
                <w:sz w:val="20"/>
                <w:szCs w:val="20"/>
                <w:color w:val="auto"/>
              </w:rPr>
            </w:pPr>
          </w:p>
        </w:tc>
        <w:tc>
          <w:tcPr>
            <w:tcW w:w="1380" w:type="dxa"/>
            <w:vAlign w:val="bottom"/>
          </w:tcPr>
          <w:p>
            <w:pPr>
              <w:jc w:val="right"/>
              <w:ind w:right="76"/>
              <w:spacing w:after="0"/>
              <w:rPr>
                <w:sz w:val="20"/>
                <w:szCs w:val="20"/>
                <w:color w:val="auto"/>
              </w:rPr>
            </w:pPr>
            <w:r>
              <w:rPr>
                <w:rFonts w:ascii="Arial" w:cs="Arial" w:eastAsia="Arial" w:hAnsi="Arial"/>
                <w:sz w:val="18"/>
                <w:szCs w:val="18"/>
                <w:color w:val="auto"/>
              </w:rPr>
              <w:t>11,948</w:t>
            </w:r>
          </w:p>
        </w:tc>
        <w:tc>
          <w:tcPr>
            <w:tcW w:w="3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1,438</w:t>
            </w:r>
          </w:p>
        </w:tc>
      </w:tr>
    </w:tbl>
    <w:p>
      <w:pPr>
        <w:spacing w:after="0" w:line="214"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 xml:space="preserve">The gross gains and losses on these derivative assets and liabilities recorded in non-interest income and non-interest expense in the unaudited Consolidated Statements of Income are summarized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79" w:lineRule="exact"/>
        <w:rPr>
          <w:sz w:val="20"/>
          <w:szCs w:val="20"/>
          <w:color w:val="auto"/>
        </w:rPr>
      </w:pPr>
    </w:p>
    <w:tbl>
      <w:tblPr>
        <w:tblLayout w:type="fixed"/>
        <w:tblInd w:w="800" w:type="dxa"/>
        <w:tblCellMar>
          <w:top w:w="0" w:type="dxa"/>
          <w:left w:w="0" w:type="dxa"/>
          <w:bottom w:w="0" w:type="dxa"/>
          <w:right w:w="0" w:type="dxa"/>
        </w:tblCellMar>
      </w:tblPr>
      <w:tr>
        <w:trPr>
          <w:trHeight w:val="185"/>
        </w:trPr>
        <w:tc>
          <w:tcPr>
            <w:tcW w:w="2060" w:type="dxa"/>
            <w:vAlign w:val="bottom"/>
          </w:tcPr>
          <w:p>
            <w:pPr>
              <w:spacing w:after="0"/>
              <w:rPr>
                <w:sz w:val="16"/>
                <w:szCs w:val="16"/>
                <w:color w:val="auto"/>
              </w:rPr>
            </w:pPr>
          </w:p>
        </w:tc>
        <w:tc>
          <w:tcPr>
            <w:tcW w:w="27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40" w:type="dxa"/>
            <w:vAlign w:val="bottom"/>
            <w:gridSpan w:val="3"/>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206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23"/>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164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Gross losses</w:t>
            </w:r>
          </w:p>
        </w:tc>
        <w:tc>
          <w:tcPr>
            <w:tcW w:w="82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(489)</w:t>
            </w:r>
          </w:p>
        </w:tc>
        <w:tc>
          <w:tcPr>
            <w:tcW w:w="280" w:type="dxa"/>
            <w:vAlign w:val="bottom"/>
          </w:tcPr>
          <w:p>
            <w:pPr>
              <w:spacing w:after="0"/>
              <w:rPr>
                <w:sz w:val="19"/>
                <w:szCs w:val="19"/>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(1,443)</w:t>
            </w:r>
          </w:p>
        </w:tc>
      </w:tr>
      <w:tr>
        <w:trPr>
          <w:trHeight w:val="223"/>
        </w:trPr>
        <w:tc>
          <w:tcPr>
            <w:tcW w:w="2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gains (losses)</w:t>
            </w: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Company pledged $12.3 million in cash to secure its obligation under these contracts at June 30, 2019. The Company pledged $1.0 million in cash to secure its obligation under contracts at December 31,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Fair Value Measurement,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8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to access at the measurement date.</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7"/>
          <w:szCs w:val="17"/>
          <w:i w:val="1"/>
          <w:iCs w:val="1"/>
          <w:color w:val="auto"/>
        </w:rPr>
        <w:t xml:space="preserve">Level 2 Inputs </w:t>
      </w:r>
      <w:r>
        <w:rPr>
          <w:rFonts w:ascii="Arial" w:cs="Arial" w:eastAsia="Arial" w:hAnsi="Arial"/>
          <w:sz w:val="17"/>
          <w:szCs w:val="17"/>
          <w:color w:val="auto"/>
        </w:rPr>
        <w:t>- Inputs other than quoted prices included in level 1 that are observable for the asset or liability, either 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8"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i w:val="1"/>
          <w:iCs w:val="1"/>
          <w:color w:val="auto"/>
        </w:rPr>
        <w:t xml:space="preserve">Level 3 Inputs </w:t>
      </w:r>
      <w:r>
        <w:rPr>
          <w:rFonts w:ascii="Arial" w:cs="Arial" w:eastAsia="Arial" w:hAnsi="Arial"/>
          <w:sz w:val="17"/>
          <w:szCs w:val="17"/>
          <w:color w:val="auto"/>
        </w:rPr>
        <w:t>- Unobservable inputs for determining the fair values of assets or liabilities that reflect the Company’s own</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about the assumptions that market participants would use in pricing the assets or liabilities.</w:t>
      </w:r>
    </w:p>
    <w:p>
      <w:pPr>
        <w:spacing w:after="0" w:line="16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96"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9"/>
        <w:spacing w:after="0"/>
        <w:rPr>
          <w:sz w:val="20"/>
          <w:szCs w:val="20"/>
          <w:color w:val="auto"/>
        </w:rPr>
      </w:pPr>
      <w:r>
        <w:rPr>
          <w:rFonts w:ascii="Arial" w:cs="Arial" w:eastAsia="Arial" w:hAnsi="Arial"/>
          <w:sz w:val="18"/>
          <w:szCs w:val="18"/>
          <w:i w:val="1"/>
          <w:iCs w:val="1"/>
          <w:color w:val="auto"/>
        </w:rPr>
        <w:t xml:space="preserve">Debt securities available for sale. </w:t>
      </w:r>
      <w:r>
        <w:rPr>
          <w:rFonts w:ascii="Arial" w:cs="Arial" w:eastAsia="Arial" w:hAnsi="Arial"/>
          <w:sz w:val="18"/>
          <w:szCs w:val="18"/>
          <w:color w:val="auto"/>
        </w:rPr>
        <w:t>Debt securities available for sale are reported at fair value utilizing level 2 measurements.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203" w:lineRule="exact"/>
        <w:rPr>
          <w:sz w:val="20"/>
          <w:szCs w:val="20"/>
          <w:color w:val="auto"/>
        </w:rPr>
      </w:pPr>
    </w:p>
    <w:p>
      <w:pPr>
        <w:ind w:right="99"/>
        <w:spacing w:after="0" w:line="263" w:lineRule="auto"/>
        <w:rPr>
          <w:sz w:val="20"/>
          <w:szCs w:val="20"/>
          <w:color w:val="auto"/>
        </w:rPr>
      </w:pPr>
      <w:r>
        <w:rPr>
          <w:rFonts w:ascii="Arial" w:cs="Arial" w:eastAsia="Arial" w:hAnsi="Arial"/>
          <w:sz w:val="17"/>
          <w:szCs w:val="17"/>
          <w:color w:val="auto"/>
        </w:rPr>
        <w:t>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83" w:lineRule="exact"/>
        <w:rPr>
          <w:sz w:val="20"/>
          <w:szCs w:val="20"/>
          <w:color w:val="auto"/>
        </w:rPr>
      </w:pPr>
    </w:p>
    <w:p>
      <w:pPr>
        <w:ind w:right="139"/>
        <w:spacing w:after="0" w:line="274" w:lineRule="auto"/>
        <w:rPr>
          <w:sz w:val="20"/>
          <w:szCs w:val="20"/>
          <w:color w:val="auto"/>
        </w:rPr>
      </w:pPr>
      <w:r>
        <w:rPr>
          <w:rFonts w:ascii="Arial" w:cs="Arial" w:eastAsia="Arial" w:hAnsi="Arial"/>
          <w:sz w:val="16"/>
          <w:szCs w:val="16"/>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77" w:lineRule="exact"/>
        <w:rPr>
          <w:sz w:val="20"/>
          <w:szCs w:val="20"/>
          <w:color w:val="auto"/>
        </w:rPr>
      </w:pPr>
    </w:p>
    <w:p>
      <w:pPr>
        <w:jc w:val="both"/>
        <w:ind w:right="219"/>
        <w:spacing w:after="0" w:line="243"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Equity securities are reported at fair value utilizing level 1 or level 2 measurements. For mutual funds,</w:t>
      </w:r>
      <w:r>
        <w:rPr>
          <w:rFonts w:ascii="Arial" w:cs="Arial" w:eastAsia="Arial" w:hAnsi="Arial"/>
          <w:sz w:val="18"/>
          <w:szCs w:val="18"/>
          <w:i w:val="1"/>
          <w:iCs w:val="1"/>
          <w:color w:val="auto"/>
        </w:rPr>
        <w:t xml:space="preserve"> </w:t>
      </w:r>
      <w:r>
        <w:rPr>
          <w:rFonts w:ascii="Arial" w:cs="Arial" w:eastAsia="Arial" w:hAnsi="Arial"/>
          <w:sz w:val="18"/>
          <w:szCs w:val="18"/>
          <w:color w:val="auto"/>
        </w:rPr>
        <w:t>unadjusted quoted prices in active markets for identical assets are utilized to determine fair value at the measurement date and have been classified as level 1. For stock, quoted prices for identical or similar assets in markets that are not active are utilized and classified as level 2.</w:t>
      </w:r>
    </w:p>
    <w:p>
      <w:pPr>
        <w:spacing w:after="0" w:line="202" w:lineRule="exact"/>
        <w:rPr>
          <w:sz w:val="20"/>
          <w:szCs w:val="20"/>
          <w:color w:val="auto"/>
        </w:rPr>
      </w:pPr>
    </w:p>
    <w:p>
      <w:pPr>
        <w:ind w:right="39"/>
        <w:spacing w:after="0" w:line="248"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reported at fair value utilizing level 2 measurements.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held for sale are measured using observable quoted market or contract prices or market price equivalents and are classified as level 2.</w:t>
      </w:r>
    </w:p>
    <w:p>
      <w:pPr>
        <w:spacing w:after="0" w:line="196" w:lineRule="exact"/>
        <w:rPr>
          <w:sz w:val="20"/>
          <w:szCs w:val="20"/>
          <w:color w:val="auto"/>
        </w:rPr>
      </w:pPr>
    </w:p>
    <w:p>
      <w:pPr>
        <w:ind w:right="59"/>
        <w:spacing w:after="0" w:line="270" w:lineRule="auto"/>
        <w:rPr>
          <w:sz w:val="20"/>
          <w:szCs w:val="20"/>
          <w:color w:val="auto"/>
        </w:rPr>
      </w:pPr>
      <w:r>
        <w:rPr>
          <w:rFonts w:ascii="Arial" w:cs="Arial" w:eastAsia="Arial" w:hAnsi="Arial"/>
          <w:sz w:val="17"/>
          <w:szCs w:val="17"/>
          <w:i w:val="1"/>
          <w:iCs w:val="1"/>
          <w:color w:val="auto"/>
        </w:rPr>
        <w:t>Derivative Assets and Derivative Liabilities</w:t>
      </w:r>
      <w:r>
        <w:rPr>
          <w:rFonts w:ascii="Arial" w:cs="Arial" w:eastAsia="Arial" w:hAnsi="Arial"/>
          <w:sz w:val="17"/>
          <w:szCs w:val="17"/>
          <w:color w:val="auto"/>
        </w:rPr>
        <w:t>. Derivative assets and derivative liabilities are reported at fair value utilizing</w:t>
      </w:r>
      <w:r>
        <w:rPr>
          <w:rFonts w:ascii="Arial" w:cs="Arial" w:eastAsia="Arial" w:hAnsi="Arial"/>
          <w:sz w:val="17"/>
          <w:szCs w:val="17"/>
          <w:i w:val="1"/>
          <w:iCs w:val="1"/>
          <w:color w:val="auto"/>
        </w:rPr>
        <w:t xml:space="preserve"> </w:t>
      </w:r>
      <w:r>
        <w:rPr>
          <w:rFonts w:ascii="Arial" w:cs="Arial" w:eastAsia="Arial" w:hAnsi="Arial"/>
          <w:sz w:val="17"/>
          <w:szCs w:val="17"/>
          <w:color w:val="auto"/>
        </w:rPr>
        <w:t>level 2 measurements. The fair value of derivative assets and liabilities is determined based on prices that are obtained from a third-party which uses observable market inputs. Derivative assets and liabilities are classified as level 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60"/>
        <w:spacing w:after="0" w:line="248" w:lineRule="auto"/>
        <w:rPr>
          <w:sz w:val="20"/>
          <w:szCs w:val="20"/>
          <w:color w:val="auto"/>
        </w:rPr>
      </w:pPr>
      <w:r>
        <w:rPr>
          <w:rFonts w:ascii="Arial" w:cs="Arial" w:eastAsia="Arial" w:hAnsi="Arial"/>
          <w:sz w:val="18"/>
          <w:szCs w:val="18"/>
          <w:color w:val="auto"/>
        </w:rPr>
        <w:t xml:space="preserve">The following table summarizes financial assets and financial liabilities measured at fair value on a recurring basis, segregated by the level of the valuation inputs within the fair value hierarchy utilized to measure fair value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Total</w:t>
            </w:r>
          </w:p>
        </w:tc>
      </w:tr>
      <w:tr>
        <w:trPr>
          <w:trHeight w:val="185"/>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June 30, 2019</w:t>
            </w:r>
          </w:p>
        </w:tc>
        <w:tc>
          <w:tcPr>
            <w:tcW w:w="34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6"/>
                <w:szCs w:val="16"/>
                <w:color w:val="auto"/>
              </w:rPr>
            </w:pPr>
          </w:p>
        </w:tc>
        <w:tc>
          <w:tcPr>
            <w:tcW w:w="82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20" w:type="dxa"/>
            <w:vAlign w:val="bottom"/>
          </w:tcPr>
          <w:p>
            <w:pPr>
              <w:spacing w:after="0"/>
              <w:rPr>
                <w:sz w:val="19"/>
                <w:szCs w:val="19"/>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7"/>
              </w:rPr>
              <w:t>Fair value adjusted through comprehensive income:</w:t>
            </w: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Debt securities available for sale</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58,535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58,535</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3"/>
              </w:rPr>
              <w:t>Obligations of U.S. government corporations and agencies</w:t>
            </w:r>
          </w:p>
        </w:tc>
        <w:tc>
          <w:tcPr>
            <w:tcW w:w="34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290,766</w:t>
            </w: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290,766</w:t>
            </w: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278,930</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278,930</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Commercial mortgage-backed securities</w:t>
            </w:r>
          </w:p>
        </w:tc>
        <w:tc>
          <w:tcPr>
            <w:tcW w:w="34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124,155</w:t>
            </w: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124,155</w:t>
            </w: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961,137</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961,137</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134,550</w:t>
            </w: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134,550</w:t>
            </w: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Fair value adjusted through current period earnings: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Equity securities</w:t>
            </w:r>
          </w:p>
        </w:tc>
        <w:tc>
          <w:tcPr>
            <w:tcW w:w="34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5,362</w:t>
            </w: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5,362</w:t>
            </w: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39,607</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39,607</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34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13,083</w:t>
            </w: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13,083</w:t>
            </w: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13,897</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13,897</w:t>
            </w:r>
          </w:p>
        </w:tc>
      </w:tr>
      <w:tr>
        <w:trPr>
          <w:trHeight w:val="40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24"/>
                <w:szCs w:val="24"/>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Total</w:t>
            </w:r>
          </w:p>
        </w:tc>
      </w:tr>
      <w:tr>
        <w:trPr>
          <w:trHeight w:val="185"/>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December 31, 2018</w:t>
            </w:r>
          </w:p>
        </w:tc>
        <w:tc>
          <w:tcPr>
            <w:tcW w:w="34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6"/>
                <w:szCs w:val="16"/>
                <w:color w:val="auto"/>
              </w:rPr>
            </w:pPr>
          </w:p>
        </w:tc>
        <w:tc>
          <w:tcPr>
            <w:tcW w:w="82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20" w:type="dxa"/>
            <w:vAlign w:val="bottom"/>
          </w:tcPr>
          <w:p>
            <w:pPr>
              <w:spacing w:after="0"/>
              <w:rPr>
                <w:sz w:val="19"/>
                <w:szCs w:val="19"/>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Debt securities available for sale</w:t>
            </w: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25,411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25,411</w:t>
            </w: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3"/>
              </w:rPr>
              <w:t>Obligations of U.S. government corporations and agencies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52,342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52,342</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34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170,044</w:t>
            </w: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170,044</w:t>
            </w: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1,942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34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315,748</w:t>
            </w: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315,748</w:t>
            </w: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132,198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132,198</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Fair value adjusted through period earnings: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Equity securities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6,169</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34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25,895</w:t>
            </w: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25,895</w:t>
            </w: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2,062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340" w:type="dxa"/>
            <w:vAlign w:val="bottom"/>
          </w:tcPr>
          <w:p>
            <w:pPr>
              <w:spacing w:after="0"/>
              <w:rPr>
                <w:sz w:val="20"/>
                <w:szCs w:val="20"/>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2,643</w:t>
            </w:r>
          </w:p>
        </w:tc>
        <w:tc>
          <w:tcPr>
            <w:tcW w:w="320" w:type="dxa"/>
            <w:vAlign w:val="bottom"/>
          </w:tcPr>
          <w:p>
            <w:pPr>
              <w:spacing w:after="0"/>
              <w:rPr>
                <w:sz w:val="20"/>
                <w:szCs w:val="20"/>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2,643</w:t>
            </w:r>
          </w:p>
        </w:tc>
      </w:tr>
    </w:tbl>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96"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i w:val="1"/>
          <w:iCs w:val="1"/>
          <w:color w:val="auto"/>
        </w:rPr>
        <w:t>Impaired Loans</w:t>
      </w:r>
      <w:r>
        <w:rPr>
          <w:rFonts w:ascii="Arial" w:cs="Arial" w:eastAsia="Arial" w:hAnsi="Arial"/>
          <w:sz w:val="16"/>
          <w:szCs w:val="16"/>
          <w:color w:val="auto"/>
        </w:rPr>
        <w:t>. The Company does not record portfolio loans at fair value on a recurring basis. However, periodically, a</w:t>
      </w:r>
      <w:r>
        <w:rPr>
          <w:rFonts w:ascii="Arial" w:cs="Arial" w:eastAsia="Arial" w:hAnsi="Arial"/>
          <w:sz w:val="16"/>
          <w:szCs w:val="16"/>
          <w:i w:val="1"/>
          <w:iCs w:val="1"/>
          <w:color w:val="auto"/>
        </w:rPr>
        <w:t xml:space="preserve"> </w:t>
      </w:r>
      <w:r>
        <w:rPr>
          <w:rFonts w:ascii="Arial" w:cs="Arial" w:eastAsia="Arial" w:hAnsi="Arial"/>
          <w:sz w:val="16"/>
          <w:szCs w:val="16"/>
          <w:color w:val="auto"/>
        </w:rPr>
        <w:t>loan is identified as impaired and is reported at 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w:t>
      </w:r>
    </w:p>
    <w:p>
      <w:pPr>
        <w:spacing w:after="0" w:line="176"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i w:val="1"/>
          <w:iCs w:val="1"/>
          <w:color w:val="auto"/>
        </w:rPr>
        <w:t xml:space="preserve">OREO. </w:t>
      </w:r>
      <w:r>
        <w:rPr>
          <w:rFonts w:ascii="Arial" w:cs="Arial" w:eastAsia="Arial" w:hAnsi="Arial"/>
          <w:sz w:val="18"/>
          <w:szCs w:val="18"/>
          <w:color w:val="auto"/>
        </w:rPr>
        <w:t>Non-financial assets and non-financial liabilities measured at fair value include OREO (upon initial recognition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impairment). OREO properties are measured using a combination of observable inputs, including recent appraisals, and unobservable inputs. Due to the significance of the unobservable inputs, all OREO fair values have been classified as level 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i w:val="1"/>
          <w:iCs w:val="1"/>
          <w:color w:val="auto"/>
        </w:rPr>
        <w:t xml:space="preserve">Bank Property Held for Sale. </w:t>
      </w:r>
      <w:r>
        <w:rPr>
          <w:rFonts w:ascii="Arial" w:cs="Arial" w:eastAsia="Arial" w:hAnsi="Arial"/>
          <w:sz w:val="18"/>
          <w:szCs w:val="18"/>
          <w:color w:val="auto"/>
        </w:rPr>
        <w:t>Bank property held for sale represents certain banking center office buildings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closed and consolidated with other existing banking centers. Bank property held for sale is measured at the lower of amortized cost or fair value less estimated costs to sell. The fair values were based upon discounted appraisals or real estate listing price. Due to the significance of the unobservable inputs, all bank property held for sale fair values have been classified as level 3.</w:t>
      </w:r>
    </w:p>
    <w:p>
      <w:pPr>
        <w:spacing w:after="0" w:line="203"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 xml:space="preserve">The following table summarizes assets and liabilities measured at fair value on a non-recurring basis, segregated by the level of the valuation inputs within the fair value hierarchy utilized to measure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5"/>
                <w:szCs w:val="15"/>
                <w:color w:val="auto"/>
              </w:rPr>
            </w:pP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Inputs</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Inputs</w:t>
            </w:r>
          </w:p>
        </w:tc>
        <w:tc>
          <w:tcPr>
            <w:tcW w:w="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Inputs</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2019</w:t>
            </w: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Impaired loans</w:t>
            </w:r>
          </w:p>
        </w:tc>
        <w:tc>
          <w:tcPr>
            <w:tcW w:w="16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7,817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Bank property held for sale</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1,832</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2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Impaired loans</w:t>
            </w:r>
          </w:p>
        </w:tc>
        <w:tc>
          <w:tcPr>
            <w:tcW w:w="166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10,999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Bank property held for sale</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1,832</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54"/>
              <w:spacing w:after="0" w:line="160" w:lineRule="exact"/>
              <w:rPr>
                <w:sz w:val="20"/>
                <w:szCs w:val="20"/>
                <w:color w:val="auto"/>
              </w:rPr>
            </w:pPr>
            <w:r>
              <w:rPr>
                <w:rFonts w:ascii="Arial" w:cs="Arial" w:eastAsia="Arial" w:hAnsi="Arial"/>
                <w:sz w:val="14"/>
                <w:szCs w:val="14"/>
                <w:b w:val="1"/>
                <w:bCs w:val="1"/>
                <w:color w:val="auto"/>
                <w:w w:val="92"/>
              </w:rPr>
              <w:t>Fair Value</w:t>
            </w:r>
          </w:p>
        </w:tc>
        <w:tc>
          <w:tcPr>
            <w:tcW w:w="19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Valuation</w:t>
            </w:r>
          </w:p>
        </w:tc>
        <w:tc>
          <w:tcPr>
            <w:tcW w:w="20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Unobservable</w:t>
            </w:r>
          </w:p>
        </w:tc>
        <w:tc>
          <w:tcPr>
            <w:tcW w:w="1300" w:type="dxa"/>
            <w:vAlign w:val="bottom"/>
          </w:tcPr>
          <w:p>
            <w:pPr>
              <w:jc w:val="center"/>
              <w:ind w:left="573"/>
              <w:spacing w:after="0" w:line="160" w:lineRule="exact"/>
              <w:rPr>
                <w:sz w:val="20"/>
                <w:szCs w:val="20"/>
                <w:color w:val="auto"/>
              </w:rPr>
            </w:pPr>
            <w:r>
              <w:rPr>
                <w:rFonts w:ascii="Arial" w:cs="Arial" w:eastAsia="Arial" w:hAnsi="Arial"/>
                <w:sz w:val="14"/>
                <w:szCs w:val="14"/>
                <w:b w:val="1"/>
                <w:bCs w:val="1"/>
                <w:color w:val="auto"/>
                <w:w w:val="93"/>
              </w:rPr>
              <w:t>Range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9"/>
              </w:rPr>
              <w:t>Estimate</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Input</w:t>
            </w: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Impaired loans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7,817</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080" w:type="dxa"/>
            <w:vAlign w:val="bottom"/>
          </w:tcPr>
          <w:p>
            <w:pPr>
              <w:ind w:left="140"/>
              <w:spacing w:after="0"/>
              <w:rPr>
                <w:sz w:val="20"/>
                <w:szCs w:val="20"/>
                <w:color w:val="auto"/>
              </w:rPr>
            </w:pPr>
            <w:r>
              <w:rPr>
                <w:rFonts w:ascii="Arial" w:cs="Arial" w:eastAsia="Arial" w:hAnsi="Arial"/>
                <w:sz w:val="18"/>
                <w:szCs w:val="18"/>
                <w:color w:val="auto"/>
              </w:rPr>
              <w:t>Appraisal adjustments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- 3.4 % to - 100.0 %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2"/>
              </w:rPr>
              <w:t>(-29.4)%</w:t>
            </w: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OREO</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84</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080" w:type="dxa"/>
            <w:vAlign w:val="bottom"/>
          </w:tcPr>
          <w:p>
            <w:pPr>
              <w:jc w:val="center"/>
              <w:ind w:right="34"/>
              <w:spacing w:after="0"/>
              <w:rPr>
                <w:sz w:val="20"/>
                <w:szCs w:val="20"/>
                <w:color w:val="auto"/>
              </w:rPr>
            </w:pPr>
            <w:r>
              <w:rPr>
                <w:rFonts w:ascii="Arial" w:cs="Arial" w:eastAsia="Arial" w:hAnsi="Arial"/>
                <w:sz w:val="18"/>
                <w:szCs w:val="18"/>
                <w:color w:val="auto"/>
                <w:w w:val="90"/>
              </w:rPr>
              <w:t>Appraisal adjustments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- 25.0 % to - 100.0 %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2"/>
              </w:rPr>
              <w:t>(-61.8)%</w:t>
            </w: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2"/>
              </w:rPr>
              <w:t>Bank property held for sale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1,832</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or real estate listing</w:t>
            </w:r>
          </w:p>
        </w:tc>
        <w:tc>
          <w:tcPr>
            <w:tcW w:w="2080" w:type="dxa"/>
            <w:vAlign w:val="bottom"/>
          </w:tcPr>
          <w:p>
            <w:pPr>
              <w:ind w:left="140"/>
              <w:spacing w:after="0"/>
              <w:rPr>
                <w:sz w:val="20"/>
                <w:szCs w:val="20"/>
                <w:color w:val="auto"/>
              </w:rPr>
            </w:pPr>
            <w:r>
              <w:rPr>
                <w:rFonts w:ascii="Arial" w:cs="Arial" w:eastAsia="Arial" w:hAnsi="Arial"/>
                <w:sz w:val="18"/>
                <w:szCs w:val="18"/>
                <w:color w:val="auto"/>
              </w:rPr>
              <w:t>Appraisal adjustments</w:t>
            </w:r>
          </w:p>
        </w:tc>
        <w:tc>
          <w:tcPr>
            <w:tcW w:w="1300" w:type="dxa"/>
            <w:vAlign w:val="bottom"/>
          </w:tcPr>
          <w:p>
            <w:pPr>
              <w:ind w:left="380"/>
              <w:spacing w:after="0"/>
              <w:rPr>
                <w:sz w:val="20"/>
                <w:szCs w:val="20"/>
                <w:color w:val="auto"/>
              </w:rPr>
            </w:pPr>
            <w:r>
              <w:rPr>
                <w:rFonts w:ascii="Arial" w:cs="Arial" w:eastAsia="Arial" w:hAnsi="Arial"/>
                <w:sz w:val="18"/>
                <w:szCs w:val="18"/>
                <w:color w:val="auto"/>
              </w:rPr>
              <w:t>- 0.0 % to</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- 35.1 %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2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2"/>
              </w:rPr>
              <w:t>(-28.3)%</w:t>
            </w: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Impaired loans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10,999</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080" w:type="dxa"/>
            <w:vAlign w:val="bottom"/>
          </w:tcPr>
          <w:p>
            <w:pPr>
              <w:ind w:left="140"/>
              <w:spacing w:after="0"/>
              <w:rPr>
                <w:sz w:val="20"/>
                <w:szCs w:val="20"/>
                <w:color w:val="auto"/>
              </w:rPr>
            </w:pPr>
            <w:r>
              <w:rPr>
                <w:rFonts w:ascii="Arial" w:cs="Arial" w:eastAsia="Arial" w:hAnsi="Arial"/>
                <w:sz w:val="18"/>
                <w:szCs w:val="18"/>
                <w:color w:val="auto"/>
              </w:rPr>
              <w:t>Appraisal adjustments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- 3.3 % to - 100.0 %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2"/>
              </w:rPr>
              <w:t>(-24.1)%</w:t>
            </w: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OREO</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55</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080" w:type="dxa"/>
            <w:vAlign w:val="bottom"/>
          </w:tcPr>
          <w:p>
            <w:pPr>
              <w:jc w:val="center"/>
              <w:ind w:right="34"/>
              <w:spacing w:after="0"/>
              <w:rPr>
                <w:sz w:val="20"/>
                <w:szCs w:val="20"/>
                <w:color w:val="auto"/>
              </w:rPr>
            </w:pPr>
            <w:r>
              <w:rPr>
                <w:rFonts w:ascii="Arial" w:cs="Arial" w:eastAsia="Arial" w:hAnsi="Arial"/>
                <w:sz w:val="18"/>
                <w:szCs w:val="18"/>
                <w:color w:val="auto"/>
                <w:w w:val="90"/>
              </w:rPr>
              <w:t>Appraisal adjustments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- 25.0 % to - 100.0 %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2"/>
              </w:rPr>
              <w:t>(-65.0)%</w:t>
            </w: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2"/>
              </w:rPr>
              <w:t>Bank property held for sale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1,832</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or real estate listing</w:t>
            </w:r>
          </w:p>
        </w:tc>
        <w:tc>
          <w:tcPr>
            <w:tcW w:w="2080" w:type="dxa"/>
            <w:vAlign w:val="bottom"/>
          </w:tcPr>
          <w:p>
            <w:pPr>
              <w:ind w:left="140"/>
              <w:spacing w:after="0"/>
              <w:rPr>
                <w:sz w:val="20"/>
                <w:szCs w:val="20"/>
                <w:color w:val="auto"/>
              </w:rPr>
            </w:pPr>
            <w:r>
              <w:rPr>
                <w:rFonts w:ascii="Arial" w:cs="Arial" w:eastAsia="Arial" w:hAnsi="Arial"/>
                <w:sz w:val="18"/>
                <w:szCs w:val="18"/>
                <w:color w:val="auto"/>
              </w:rPr>
              <w:t>Appraisal adjustments</w:t>
            </w:r>
          </w:p>
        </w:tc>
        <w:tc>
          <w:tcPr>
            <w:tcW w:w="1300" w:type="dxa"/>
            <w:vAlign w:val="bottom"/>
          </w:tcPr>
          <w:p>
            <w:pPr>
              <w:ind w:left="380"/>
              <w:spacing w:after="0"/>
              <w:rPr>
                <w:sz w:val="20"/>
                <w:szCs w:val="20"/>
                <w:color w:val="auto"/>
              </w:rPr>
            </w:pPr>
            <w:r>
              <w:rPr>
                <w:rFonts w:ascii="Arial" w:cs="Arial" w:eastAsia="Arial" w:hAnsi="Arial"/>
                <w:sz w:val="18"/>
                <w:szCs w:val="18"/>
                <w:color w:val="auto"/>
              </w:rPr>
              <w:t>- 0.0 % to</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- 35.1 %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2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30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2"/>
              </w:rPr>
              <w:t>(-28.3)%</w:t>
            </w:r>
          </w:p>
        </w:tc>
        <w:tc>
          <w:tcPr>
            <w:tcW w:w="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00" w:type="dxa"/>
            <w:vAlign w:val="bottom"/>
          </w:tcPr>
          <w:p>
            <w:pPr>
              <w:jc w:val="right"/>
              <w:ind w:right="314"/>
              <w:spacing w:after="0"/>
              <w:rPr>
                <w:sz w:val="20"/>
                <w:szCs w:val="20"/>
                <w:color w:val="auto"/>
              </w:rPr>
            </w:pPr>
            <w:r>
              <w:rPr>
                <w:rFonts w:ascii="Arial" w:cs="Arial" w:eastAsia="Arial" w:hAnsi="Arial"/>
                <w:sz w:val="18"/>
                <w:szCs w:val="18"/>
                <w:color w:val="auto"/>
              </w:rPr>
              <w:t>36</w:t>
            </w:r>
          </w:p>
        </w:tc>
        <w:tc>
          <w:tcPr>
            <w:tcW w:w="2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30" w:right="14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 xml:space="preserve">The estimated fair values of financial instruments that are reported at amortized cost in the Company’s Consolidated Balance Sheets, segregated by the level of the valuation inputs within the fair value hierarchy utilized to measure fair value,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213"/>
              <w:spacing w:after="0" w:line="160"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920" w:type="dxa"/>
            <w:vAlign w:val="bottom"/>
          </w:tcPr>
          <w:p>
            <w:pPr>
              <w:jc w:val="right"/>
              <w:ind w:right="352"/>
              <w:spacing w:after="0" w:line="160"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940" w:type="dxa"/>
            <w:vAlign w:val="bottom"/>
          </w:tcPr>
          <w:p>
            <w:pPr>
              <w:jc w:val="right"/>
              <w:ind w:right="213"/>
              <w:spacing w:after="0" w:line="160"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840" w:type="dxa"/>
            <w:vAlign w:val="bottom"/>
          </w:tcPr>
          <w:p>
            <w:pPr>
              <w:jc w:val="right"/>
              <w:ind w:right="272"/>
              <w:spacing w:after="0" w:line="160"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Level 1 inputs: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420,207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420,207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239,973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Level 2 inputs: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securities held to maturity</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15,708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15,934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608,660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Accrued interest receivable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28,614</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28,614</w:t>
            </w:r>
          </w:p>
        </w:tc>
        <w:tc>
          <w:tcPr>
            <w:tcW w:w="30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22,314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Portfolio loans, net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w w:val="94"/>
              </w:rPr>
              <w:t>6,480,751</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w w:val="94"/>
              </w:rPr>
              <w:t>6,447,502</w:t>
            </w:r>
          </w:p>
        </w:tc>
        <w:tc>
          <w:tcPr>
            <w:tcW w:w="30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97"/>
              </w:rPr>
              <w:t>5,517,780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5,473,063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servicing rights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8,692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12,772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3,315</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Other servicing rights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845</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1,434</w:t>
            </w:r>
          </w:p>
        </w:tc>
        <w:tc>
          <w:tcPr>
            <w:tcW w:w="30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781</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Financial 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w w:val="94"/>
              </w:rPr>
              <w:t>1,749,811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w w:val="94"/>
              </w:rPr>
              <w:t>1,747,766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97"/>
              </w:rPr>
              <w:t>1,497,003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1,482,301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sold under agreements to repurchase</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190,846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190,846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185,796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30,761</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30,748</w:t>
            </w:r>
          </w:p>
        </w:tc>
        <w:tc>
          <w:tcPr>
            <w:tcW w:w="30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86,772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86,873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Junior subordinated debt owed to unconsolidated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restart"/>
          </w:tcPr>
          <w:p>
            <w:pPr>
              <w:jc w:val="right"/>
              <w:ind w:right="53"/>
              <w:spacing w:after="0"/>
              <w:rPr>
                <w:sz w:val="20"/>
                <w:szCs w:val="20"/>
                <w:color w:val="auto"/>
              </w:rPr>
            </w:pPr>
            <w:r>
              <w:rPr>
                <w:rFonts w:ascii="Arial" w:cs="Arial" w:eastAsia="Arial" w:hAnsi="Arial"/>
                <w:sz w:val="18"/>
                <w:szCs w:val="18"/>
                <w:color w:val="auto"/>
              </w:rPr>
              <w:t>71,230</w:t>
            </w:r>
          </w:p>
        </w:tc>
        <w:tc>
          <w:tcPr>
            <w:tcW w:w="300" w:type="dxa"/>
            <w:vAlign w:val="bottom"/>
          </w:tcPr>
          <w:p>
            <w:pPr>
              <w:spacing w:after="0"/>
              <w:rPr>
                <w:sz w:val="20"/>
                <w:szCs w:val="20"/>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8"/>
                <w:szCs w:val="18"/>
                <w:color w:val="auto"/>
              </w:rPr>
              <w:t>65,073</w:t>
            </w:r>
          </w:p>
        </w:tc>
        <w:tc>
          <w:tcPr>
            <w:tcW w:w="300" w:type="dxa"/>
            <w:vAlign w:val="bottom"/>
          </w:tcPr>
          <w:p>
            <w:pPr>
              <w:spacing w:after="0"/>
              <w:rPr>
                <w:sz w:val="20"/>
                <w:szCs w:val="20"/>
                <w:color w:val="auto"/>
              </w:rPr>
            </w:pPr>
          </w:p>
        </w:tc>
        <w:tc>
          <w:tcPr>
            <w:tcW w:w="940" w:type="dxa"/>
            <w:vAlign w:val="bottom"/>
            <w:vMerge w:val="restart"/>
          </w:tcPr>
          <w:p>
            <w:pPr>
              <w:jc w:val="right"/>
              <w:ind w:right="53"/>
              <w:spacing w:after="0"/>
              <w:rPr>
                <w:sz w:val="20"/>
                <w:szCs w:val="20"/>
                <w:color w:val="auto"/>
              </w:rPr>
            </w:pPr>
            <w:r>
              <w:rPr>
                <w:rFonts w:ascii="Arial" w:cs="Arial" w:eastAsia="Arial" w:hAnsi="Arial"/>
                <w:sz w:val="18"/>
                <w:szCs w:val="18"/>
                <w:color w:val="auto"/>
              </w:rPr>
              <w:t>71,155</w:t>
            </w:r>
          </w:p>
        </w:tc>
        <w:tc>
          <w:tcPr>
            <w:tcW w:w="3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65,182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trusts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payable</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7,380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7,380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6,568</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Level 3 inputs: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notes, net of unamortized issuance costs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39,607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40,419</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39,539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w w:val="91"/>
              </w:rPr>
              <w:t>Subordinated notes, net of unamortized issuance costs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59,197</w:t>
            </w:r>
          </w:p>
        </w:tc>
        <w:tc>
          <w:tcPr>
            <w:tcW w:w="30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59,719</w:t>
            </w:r>
          </w:p>
        </w:tc>
        <w:tc>
          <w:tcPr>
            <w:tcW w:w="30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59,147</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58,186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 detailed description of the valuation methodologies used in estimating the fair value of financial instruments is set forth in the Company’s 2018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Leases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operating leases consisting primarily of equipment leases and real estate leases. The Company leases real estate property for bank branches, ATM locations, and office space with terms extending through 2032. As of June 30, 2019, the Company reported $10.4 million of right-of-use asset and $10.5 million lease liability in its unaudited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tables represents lease costs and other lease information for the periods presented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5"/>
                <w:szCs w:val="15"/>
                <w:color w:val="auto"/>
              </w:rPr>
            </w:pPr>
          </w:p>
        </w:tc>
        <w:tc>
          <w:tcPr>
            <w:tcW w:w="1800" w:type="dxa"/>
            <w:vAlign w:val="bottom"/>
          </w:tcPr>
          <w:p>
            <w:pPr>
              <w:jc w:val="right"/>
              <w:ind w:right="3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8"/>
        </w:trPr>
        <w:tc>
          <w:tcPr>
            <w:tcW w:w="46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Lease Costs</w:t>
            </w:r>
          </w:p>
        </w:tc>
        <w:tc>
          <w:tcPr>
            <w:tcW w:w="240" w:type="dxa"/>
            <w:vAlign w:val="bottom"/>
          </w:tcPr>
          <w:p>
            <w:pPr>
              <w:spacing w:after="0"/>
              <w:rPr>
                <w:sz w:val="13"/>
                <w:szCs w:val="13"/>
                <w:color w:val="auto"/>
              </w:rPr>
            </w:pPr>
          </w:p>
        </w:tc>
        <w:tc>
          <w:tcPr>
            <w:tcW w:w="20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0"/>
              </w:rPr>
              <w:t>June 30, 2019</w:t>
            </w:r>
          </w:p>
        </w:tc>
        <w:tc>
          <w:tcPr>
            <w:tcW w:w="280" w:type="dxa"/>
            <w:vAlign w:val="bottom"/>
          </w:tcPr>
          <w:p>
            <w:pPr>
              <w:spacing w:after="0"/>
              <w:rPr>
                <w:sz w:val="13"/>
                <w:szCs w:val="13"/>
                <w:color w:val="auto"/>
              </w:rPr>
            </w:pPr>
          </w:p>
        </w:tc>
        <w:tc>
          <w:tcPr>
            <w:tcW w:w="1800" w:type="dxa"/>
            <w:vAlign w:val="bottom"/>
          </w:tcPr>
          <w:p>
            <w:pPr>
              <w:jc w:val="right"/>
              <w:ind w:right="533"/>
              <w:spacing w:after="0" w:line="158" w:lineRule="exact"/>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Variable lease costs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lease costs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Sublease income</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Other information</w:t>
            </w: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80" w:type="dxa"/>
            <w:vAlign w:val="bottom"/>
            <w:gridSpan w:val="3"/>
          </w:tcPr>
          <w:p>
            <w:pPr>
              <w:spacing w:after="0"/>
              <w:rPr>
                <w:sz w:val="20"/>
                <w:szCs w:val="20"/>
                <w:color w:val="auto"/>
              </w:rPr>
            </w:pPr>
            <w:r>
              <w:rPr>
                <w:rFonts w:ascii="Arial" w:cs="Arial" w:eastAsia="Arial" w:hAnsi="Arial"/>
                <w:sz w:val="18"/>
                <w:szCs w:val="18"/>
                <w:color w:val="auto"/>
                <w:w w:val="96"/>
              </w:rPr>
              <w:t>Cash paid for amounts included in the measurement of lease</w:t>
            </w: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cash flows – Fixed payments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Operating lease cash flows – Liability reduction</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30"/>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Right of use assets obtained during the period in exchange for</w:t>
            </w:r>
          </w:p>
        </w:tc>
        <w:tc>
          <w:tcPr>
            <w:tcW w:w="240" w:type="dxa"/>
            <w:vAlign w:val="bottom"/>
            <w:shd w:val="clear" w:color="auto" w:fill="CCEEFF"/>
          </w:tcPr>
          <w:p>
            <w:pPr>
              <w:spacing w:after="0"/>
              <w:rPr>
                <w:sz w:val="20"/>
                <w:szCs w:val="20"/>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9"/>
        </w:trPr>
        <w:tc>
          <w:tcPr>
            <w:tcW w:w="4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Weighted average lease term (in years)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6.81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At June 30, 2019, the Company was obligated under noncancelable operating leases for office space and other commitments. Rent expense under operating leases, included in net occupancy and equipment expense, was $0.7 million for the three months ended June 30, 2019 and 2018. Rent expense under operating leases, included in net occupancy and equipment expense, was $1.4 million for the six months ended June 30, 2019 and 2018.</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Rent commitments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jc w:val="right"/>
              <w:ind w:right="1032"/>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2,342</w:t>
            </w: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0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1,375</w:t>
            </w: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0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3,896</w:t>
            </w: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Amounts representing interest</w:t>
            </w:r>
          </w:p>
        </w:tc>
        <w:tc>
          <w:tcPr>
            <w:tcW w:w="60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Present value of net future minimum lease payments</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10,531</w:t>
            </w:r>
          </w:p>
        </w:tc>
      </w:tr>
      <w:tr>
        <w:trPr>
          <w:trHeight w:val="20"/>
        </w:trPr>
        <w:tc>
          <w:tcPr>
            <w:tcW w:w="6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1440" w:right="60"/>
        <w:spacing w:after="0" w:line="26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0" w:lineRule="exact"/>
        <w:rPr>
          <w:sz w:val="20"/>
          <w:szCs w:val="20"/>
          <w:color w:val="auto"/>
        </w:rPr>
      </w:pPr>
    </w:p>
    <w:p>
      <w:pPr>
        <w:ind w:right="39"/>
        <w:spacing w:after="0"/>
        <w:rPr>
          <w:sz w:val="20"/>
          <w:szCs w:val="20"/>
          <w:color w:val="auto"/>
        </w:rPr>
      </w:pPr>
      <w:r>
        <w:rPr>
          <w:rFonts w:ascii="Arial" w:cs="Arial" w:eastAsia="Arial" w:hAnsi="Arial"/>
          <w:sz w:val="18"/>
          <w:szCs w:val="18"/>
          <w:color w:val="auto"/>
        </w:rPr>
        <w:t>The following is management’s discussion and analysis of the financial condition as of June 30, 2019 (unaudited), as compared with December 31, 2018 and June 30, 2018 (unaudited), and the results of operations for the three and six months ended June 30, 2019 (unaudited) and 2018 (unaudited) and the three months ended March 31, 2019 (unaudited) when applicable. Management’s discussion and analysis should be read in conjunction with the Company’s unaudited consolidated financial statements and notes thereto appearing elsewhere in this Quarterly Report on Form 10-Q, as well as the Company’s 2018 Form 10-K.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ind w:right="179"/>
        <w:spacing w:after="0" w:line="248" w:lineRule="auto"/>
        <w:rPr>
          <w:sz w:val="20"/>
          <w:szCs w:val="20"/>
          <w:color w:val="auto"/>
        </w:rPr>
      </w:pPr>
      <w:r>
        <w:rPr>
          <w:rFonts w:ascii="Arial" w:cs="Arial" w:eastAsia="Arial" w:hAnsi="Arial"/>
          <w:sz w:val="16"/>
          <w:szCs w:val="16"/>
          <w:color w:val="auto"/>
        </w:rPr>
        <w:t>The Company reported net income for the second quarter of 2019 of $24.1 million, or $0.43 per diluted common share, as compared to $25.5 million, or $0.48 per diluted common share, for the first quarter of 2019 and $24.9 million, or $0.51 per diluted common share, for the second quarter of 2018. Adjusted net income</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for the second quarter of 2019 was $29.5 million, or $0.53 per diluted common share, as compared to $26.6 million, or $0.50 per diluted common share, for the first quarter of 2019 and $25.6 million, or $0.52 per diluted common share, for the second quarter of 2018.</w:t>
      </w:r>
    </w:p>
    <w:p>
      <w:pPr>
        <w:spacing w:after="0" w:line="197" w:lineRule="exact"/>
        <w:rPr>
          <w:sz w:val="20"/>
          <w:szCs w:val="20"/>
          <w:color w:val="auto"/>
        </w:rPr>
      </w:pPr>
    </w:p>
    <w:p>
      <w:pPr>
        <w:ind w:right="59"/>
        <w:spacing w:after="0" w:line="215" w:lineRule="auto"/>
        <w:rPr>
          <w:sz w:val="20"/>
          <w:szCs w:val="20"/>
          <w:color w:val="auto"/>
        </w:rPr>
      </w:pPr>
      <w:r>
        <w:rPr>
          <w:rFonts w:ascii="Arial" w:cs="Arial" w:eastAsia="Arial" w:hAnsi="Arial"/>
          <w:sz w:val="18"/>
          <w:szCs w:val="18"/>
          <w:color w:val="auto"/>
        </w:rPr>
        <w:t>Year-to-date net income through June 30, 2019 was $49.6 million, or $0.90 per diluted common share, compared to net income of $46.8 million, or $0.95 per diluted common share, for the comparable period of 2018. Year-to-date adjusted net income</w:t>
      </w:r>
      <w:r>
        <w:rPr>
          <w:rFonts w:ascii="Arial" w:cs="Arial" w:eastAsia="Arial" w:hAnsi="Arial"/>
          <w:sz w:val="27"/>
          <w:szCs w:val="27"/>
          <w:color w:val="auto"/>
          <w:vertAlign w:val="superscript"/>
        </w:rPr>
        <w:t>(1)</w:t>
      </w:r>
      <w:r>
        <w:rPr>
          <w:rFonts w:ascii="Arial" w:cs="Arial" w:eastAsia="Arial" w:hAnsi="Arial"/>
          <w:sz w:val="18"/>
          <w:szCs w:val="18"/>
          <w:color w:val="auto"/>
        </w:rPr>
        <w:t xml:space="preserve"> for the first six months of 2019 was $56.1 million, or $1.02 per diluted common share, compared to $50.5 million or $1.03 per diluted common share for the first six months of 2018.</w:t>
      </w:r>
    </w:p>
    <w:p>
      <w:pPr>
        <w:spacing w:after="0" w:line="205" w:lineRule="exact"/>
        <w:rPr>
          <w:sz w:val="20"/>
          <w:szCs w:val="20"/>
          <w:color w:val="auto"/>
        </w:rPr>
      </w:pPr>
    </w:p>
    <w:p>
      <w:pPr>
        <w:ind w:right="99"/>
        <w:spacing w:after="0" w:line="254" w:lineRule="auto"/>
        <w:rPr>
          <w:sz w:val="20"/>
          <w:szCs w:val="20"/>
          <w:color w:val="auto"/>
        </w:rPr>
      </w:pPr>
      <w:r>
        <w:rPr>
          <w:rFonts w:ascii="Arial" w:cs="Arial" w:eastAsia="Arial" w:hAnsi="Arial"/>
          <w:sz w:val="17"/>
          <w:szCs w:val="17"/>
          <w:color w:val="auto"/>
        </w:rPr>
        <w:t>The Company views certain non-operating items, including acquisition-related and restructuring charges, as adjustments to net income reported under GAAP. Non-operating pretax adjustments for the second quarter of 2019 were $4.1 million of expenses related to acquisitions, $1.4 million of expenses related to other restructuring costs and $1.8 million related to mortgage servicing rights impairment from TheBANK. The reconciliation of non-GAAP measures (including adjusted net income, adjusted return on average assets, adjusted net interest margin, adjusted efficiency ratio, tangible book value, tangible book value per share and return on average tangible common equity), which the Company believes facilitates the assessment of its financial results and peer comparability, is included in tabular form in this Quarterly Report on Form 10-Q in the “Non-GAAP Financial Information” section.</w:t>
      </w:r>
    </w:p>
    <w:p>
      <w:pPr>
        <w:spacing w:after="0" w:line="195" w:lineRule="exact"/>
        <w:rPr>
          <w:sz w:val="20"/>
          <w:szCs w:val="20"/>
          <w:color w:val="auto"/>
        </w:rPr>
      </w:pPr>
    </w:p>
    <w:p>
      <w:pPr>
        <w:ind w:right="99"/>
        <w:spacing w:after="0" w:line="243" w:lineRule="auto"/>
        <w:rPr>
          <w:sz w:val="20"/>
          <w:szCs w:val="20"/>
          <w:color w:val="auto"/>
        </w:rPr>
      </w:pPr>
      <w:r>
        <w:rPr>
          <w:rFonts w:ascii="Arial" w:cs="Arial" w:eastAsia="Arial" w:hAnsi="Arial"/>
          <w:sz w:val="18"/>
          <w:szCs w:val="18"/>
          <w:color w:val="auto"/>
        </w:rPr>
        <w:t>On January 31, 2019, the Company completed its acquisition of Banc Ed, the holding company for TheBANK. TheBANK, founded in 1868, is a commercial bank headquartered in Edwardsville, Illinois. It is anticipated that TheBANK will be merged with and into First Busey’s bank subsidiary, Busey Bank, in the fourth quarter of 2019. The Company’s operating results and financial condition were materially impacted by this acquisition.</w:t>
      </w:r>
    </w:p>
    <w:p>
      <w:pPr>
        <w:spacing w:after="0" w:line="202" w:lineRule="exact"/>
        <w:rPr>
          <w:sz w:val="20"/>
          <w:szCs w:val="20"/>
          <w:color w:val="auto"/>
        </w:rPr>
      </w:pPr>
    </w:p>
    <w:p>
      <w:pPr>
        <w:ind w:right="19"/>
        <w:spacing w:after="0" w:line="255" w:lineRule="auto"/>
        <w:rPr>
          <w:sz w:val="20"/>
          <w:szCs w:val="20"/>
          <w:color w:val="auto"/>
        </w:rPr>
      </w:pPr>
      <w:r>
        <w:rPr>
          <w:rFonts w:ascii="Arial" w:cs="Arial" w:eastAsia="Arial" w:hAnsi="Arial"/>
          <w:sz w:val="17"/>
          <w:szCs w:val="17"/>
          <w:color w:val="auto"/>
        </w:rPr>
        <w:t>On May 13, 2019, the Company announced the execution of an Agreement and Plan of Merger in connection with the proposed acquisition by Busey Bank of Investors’ Security Trust Company (“IST”), a Fort Myers, Florida wealth management firm. While the proposed acquisition is expected to add to the Company’s wealth management offerings, it is not expected to have any immediate, material impact to the Company’s earnings or overall business. Through this transaction, Busey Bank and IST broaden the expertise and level of service available to clients, from individuals and families to institutions and foundations. It is anticipated that IST will be merged with and into the wealth management division of Busey Bank in 2019, subject to customary closing conditions and required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346710</wp:posOffset>
            </wp:positionV>
            <wp:extent cx="14408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right="259" w:hanging="331"/>
        <w:spacing w:after="0" w:line="200" w:lineRule="auto"/>
        <w:tabs>
          <w:tab w:leader="none" w:pos="34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For a reconciliation of adjusted net income, a non-GAAP financial measure, see “Non-GAAP Financial Information”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As of June 30, 2019, the Company reported non-performing loans of $33.1 million compared to $36.6 million at March 31, 2019. Non-performing loans were 0.51% of total portfolio loans as of June 30, 2019 compared to 0.56% as of March 31,</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 xml:space="preserve">2019. With a continued commitment to asset quality and the strength of our balance sheet, near-term loan losses are expected to remain generally low. While these results are encouraging, asset quality metrics can be generally influenced by market-specific economic conditions, and specific measures may fluctuate from period to period. The key metrics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jc w:val="right"/>
              <w:ind w:right="419"/>
              <w:spacing w:after="0" w:line="160" w:lineRule="exact"/>
              <w:rPr>
                <w:sz w:val="20"/>
                <w:szCs w:val="20"/>
                <w:color w:val="auto"/>
              </w:rPr>
            </w:pPr>
            <w:r>
              <w:rPr>
                <w:rFonts w:ascii="Arial" w:cs="Arial" w:eastAsia="Arial" w:hAnsi="Arial"/>
                <w:sz w:val="14"/>
                <w:szCs w:val="14"/>
                <w:b w:val="1"/>
                <w:bCs w:val="1"/>
                <w:color w:val="auto"/>
              </w:rPr>
              <w:t>June 30,</w:t>
            </w:r>
          </w:p>
        </w:tc>
        <w:tc>
          <w:tcPr>
            <w:tcW w:w="1180" w:type="dxa"/>
            <w:vAlign w:val="bottom"/>
          </w:tcPr>
          <w:p>
            <w:pPr>
              <w:jc w:val="right"/>
              <w:ind w:right="275"/>
              <w:spacing w:after="0" w:line="160"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180" w:type="dxa"/>
            <w:vAlign w:val="bottom"/>
          </w:tcPr>
          <w:p>
            <w:pPr>
              <w:jc w:val="right"/>
              <w:ind w:right="234"/>
              <w:spacing w:after="0" w:line="160" w:lineRule="exact"/>
              <w:rPr>
                <w:sz w:val="20"/>
                <w:szCs w:val="20"/>
                <w:color w:val="auto"/>
              </w:rPr>
            </w:pPr>
            <w:r>
              <w:rPr>
                <w:rFonts w:ascii="Arial" w:cs="Arial" w:eastAsia="Arial" w:hAnsi="Arial"/>
                <w:sz w:val="14"/>
                <w:szCs w:val="14"/>
                <w:b w:val="1"/>
                <w:bCs w:val="1"/>
                <w:color w:val="auto"/>
                <w:w w:val="92"/>
              </w:rPr>
              <w:t>December 31,</w:t>
            </w:r>
          </w:p>
        </w:tc>
        <w:tc>
          <w:tcPr>
            <w:tcW w:w="1300" w:type="dxa"/>
            <w:vAlign w:val="bottom"/>
          </w:tcPr>
          <w:p>
            <w:pPr>
              <w:jc w:val="right"/>
              <w:ind w:right="234"/>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620" w:type="dxa"/>
            <w:vAlign w:val="bottom"/>
            <w:gridSpan w:val="2"/>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180" w:type="dxa"/>
            <w:vAlign w:val="bottom"/>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3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w:t>
            </w:r>
          </w:p>
        </w:tc>
        <w:tc>
          <w:tcPr>
            <w:tcW w:w="3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97"/>
              </w:rPr>
              <w:t>$  6,532,126</w:t>
            </w:r>
          </w:p>
        </w:tc>
        <w:tc>
          <w:tcPr>
            <w:tcW w:w="11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8"/>
              </w:rPr>
              <w:t>$ 6,515,081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5,568,428</w:t>
            </w:r>
          </w:p>
        </w:tc>
        <w:tc>
          <w:tcPr>
            <w:tcW w:w="13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97"/>
              </w:rPr>
              <w:t>$  5,623,741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620" w:type="dxa"/>
            <w:vAlign w:val="bottom"/>
            <w:gridSpan w:val="2"/>
          </w:tcPr>
          <w:p>
            <w:pPr>
              <w:jc w:val="right"/>
              <w:ind w:right="179"/>
              <w:spacing w:after="0"/>
              <w:rPr>
                <w:sz w:val="20"/>
                <w:szCs w:val="20"/>
                <w:color w:val="auto"/>
              </w:rPr>
            </w:pPr>
            <w:r>
              <w:rPr>
                <w:rFonts w:ascii="Arial" w:cs="Arial" w:eastAsia="Arial" w:hAnsi="Arial"/>
                <w:sz w:val="18"/>
                <w:szCs w:val="18"/>
                <w:color w:val="auto"/>
              </w:rPr>
              <w:t>51,375</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50,915</w:t>
            </w:r>
          </w:p>
        </w:tc>
        <w:tc>
          <w:tcPr>
            <w:tcW w:w="12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50,648</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52,743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Non-accrual loans</w:t>
            </w:r>
          </w:p>
        </w:tc>
        <w:tc>
          <w:tcPr>
            <w:tcW w:w="1620" w:type="dxa"/>
            <w:vAlign w:val="bottom"/>
            <w:gridSpan w:val="2"/>
          </w:tcPr>
          <w:p>
            <w:pPr>
              <w:jc w:val="right"/>
              <w:ind w:right="179"/>
              <w:spacing w:after="0"/>
              <w:rPr>
                <w:sz w:val="20"/>
                <w:szCs w:val="20"/>
                <w:color w:val="auto"/>
              </w:rPr>
            </w:pPr>
            <w:r>
              <w:rPr>
                <w:rFonts w:ascii="Arial" w:cs="Arial" w:eastAsia="Arial" w:hAnsi="Arial"/>
                <w:sz w:val="18"/>
                <w:szCs w:val="18"/>
                <w:color w:val="auto"/>
              </w:rPr>
              <w:t>32,816</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36,230</w:t>
            </w:r>
          </w:p>
        </w:tc>
        <w:tc>
          <w:tcPr>
            <w:tcW w:w="12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34,997</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40,395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90+ days past due</w:t>
            </w:r>
          </w:p>
        </w:tc>
        <w:tc>
          <w:tcPr>
            <w:tcW w:w="162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258</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1,601</w:t>
            </w:r>
          </w:p>
        </w:tc>
        <w:tc>
          <w:tcPr>
            <w:tcW w:w="13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Loans 30-89 days past due</w:t>
            </w:r>
          </w:p>
        </w:tc>
        <w:tc>
          <w:tcPr>
            <w:tcW w:w="1620" w:type="dxa"/>
            <w:vAlign w:val="bottom"/>
            <w:gridSpan w:val="2"/>
          </w:tcPr>
          <w:p>
            <w:pPr>
              <w:jc w:val="right"/>
              <w:ind w:right="179"/>
              <w:spacing w:after="0"/>
              <w:rPr>
                <w:sz w:val="20"/>
                <w:szCs w:val="20"/>
                <w:color w:val="auto"/>
              </w:rPr>
            </w:pPr>
            <w:r>
              <w:rPr>
                <w:rFonts w:ascii="Arial" w:cs="Arial" w:eastAsia="Arial" w:hAnsi="Arial"/>
                <w:sz w:val="18"/>
                <w:szCs w:val="18"/>
                <w:color w:val="auto"/>
              </w:rPr>
              <w:t>18,040</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10,780</w:t>
            </w:r>
          </w:p>
        </w:tc>
        <w:tc>
          <w:tcPr>
            <w:tcW w:w="12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7,121</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8,189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non-performing assets</w:t>
            </w:r>
          </w:p>
        </w:tc>
        <w:tc>
          <w:tcPr>
            <w:tcW w:w="162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936</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376</w:t>
            </w:r>
          </w:p>
        </w:tc>
        <w:tc>
          <w:tcPr>
            <w:tcW w:w="13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9"/>
              </w:rPr>
              <w:t>Allowance as a percentage of non-performing</w:t>
            </w: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color w:val="auto"/>
              </w:rPr>
              <w:t>155.3 %</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139.2 %</w:t>
            </w:r>
          </w:p>
        </w:tc>
        <w:tc>
          <w:tcPr>
            <w:tcW w:w="12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138.4 %</w:t>
            </w:r>
          </w:p>
        </w:tc>
        <w:tc>
          <w:tcPr>
            <w:tcW w:w="1300" w:type="dxa"/>
            <w:vAlign w:val="bottom"/>
            <w:vMerge w:val="restart"/>
          </w:tcPr>
          <w:p>
            <w:pPr>
              <w:jc w:val="right"/>
              <w:ind w:right="14"/>
              <w:spacing w:after="0"/>
              <w:rPr>
                <w:sz w:val="20"/>
                <w:szCs w:val="20"/>
                <w:color w:val="auto"/>
              </w:rPr>
            </w:pPr>
            <w:r>
              <w:rPr>
                <w:rFonts w:ascii="Arial" w:cs="Arial" w:eastAsia="Arial" w:hAnsi="Arial"/>
                <w:sz w:val="18"/>
                <w:szCs w:val="18"/>
                <w:color w:val="auto"/>
              </w:rPr>
              <w:t>129.4 %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loans</w:t>
            </w:r>
          </w:p>
        </w:tc>
        <w:tc>
          <w:tcPr>
            <w:tcW w:w="16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portfolio loans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0.79 %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0.91 %</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0.94 %</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of Markets</w:t>
      </w:r>
    </w:p>
    <w:p>
      <w:pPr>
        <w:spacing w:after="0" w:line="225" w:lineRule="exact"/>
        <w:rPr>
          <w:sz w:val="20"/>
          <w:szCs w:val="20"/>
          <w:color w:val="auto"/>
        </w:rPr>
      </w:pPr>
    </w:p>
    <w:p>
      <w:pPr>
        <w:ind w:right="560"/>
        <w:spacing w:after="0" w:line="241" w:lineRule="auto"/>
        <w:rPr>
          <w:sz w:val="20"/>
          <w:szCs w:val="20"/>
          <w:color w:val="auto"/>
        </w:rPr>
      </w:pPr>
      <w:r>
        <w:rPr>
          <w:rFonts w:ascii="Arial" w:cs="Arial" w:eastAsia="Arial" w:hAnsi="Arial"/>
          <w:sz w:val="18"/>
          <w:szCs w:val="18"/>
          <w:color w:val="auto"/>
        </w:rPr>
        <w:t>Busey Bank has 44 banking centers serving Illinois. Our Illinois markets of Champaign, Macon, McLean, and Peoria counties and Southwest Chicago feature several Fortune 1000 companies. Those organizations, coupled with large healthcare and higher education sectors, anchor the communities in which they are located and have provided a comparatively stable foundation for housing, employment and small business. TheBANK has 19 banking centers in Southern Illinois.</w:t>
      </w:r>
    </w:p>
    <w:p>
      <w:pPr>
        <w:spacing w:after="0" w:line="176"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auto"/>
        </w:rPr>
        <w:t>The State of Illinois, where a large portion of the Company’s customer base is located, continues to be troubled with pension under-funding, continued budget deficits and a declining credit outlook. Any possible payment lapses by the State of Illinois to its vendors and government sponsored entities may have negative effects on our primary market areas.</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Busey Bank has 13 banking centers serving the St. Louis metropolitan area, all of which are located in the city of St. Louis or the adjacent counties of St. Louis County and St. Charles County. The bi-state metropolitan area includes seven counties in Missouri and eight counties in Illinois; therefore, the Company’s geographic concentration in only three of these 15 counties gives the Company expansion opportunities into neighboring counties. St. Louis has a diverse economy with major employment sectors including health care, financial services, professional and business services, and retail. St. Charles County has been one of the fastest-growing counties in the country for decades.</w:t>
      </w:r>
    </w:p>
    <w:p>
      <w:pPr>
        <w:spacing w:after="0" w:line="162"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Busey Bank has five banking centers in southwest Florida, which has experienced job growth and an expanded housing market over the last several years.</w:t>
      </w:r>
    </w:p>
    <w:p>
      <w:pPr>
        <w:spacing w:after="0" w:line="15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Busey Bank has one banking center in the Indianapolis, Indiana area. Indianapolis is the most populous city of Indiana with a diverse economy and it is headquarters to many large corporations.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39"/>
        <w:spacing w:after="0" w:line="243"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202" w:lineRule="exact"/>
        <w:rPr>
          <w:sz w:val="20"/>
          <w:szCs w:val="20"/>
          <w:color w:val="auto"/>
        </w:rPr>
      </w:pPr>
    </w:p>
    <w:p>
      <w:pPr>
        <w:ind w:right="79"/>
        <w:spacing w:after="0" w:line="25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an income tax rate of 21%.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61" w:lineRule="exact"/>
        <w:rPr>
          <w:sz w:val="20"/>
          <w:szCs w:val="20"/>
          <w:color w:val="auto"/>
        </w:rPr>
      </w:pPr>
    </w:p>
    <w:p>
      <w:pPr>
        <w:ind w:right="99"/>
        <w:spacing w:after="0" w:line="294" w:lineRule="auto"/>
        <w:rPr>
          <w:sz w:val="20"/>
          <w:szCs w:val="20"/>
          <w:color w:val="auto"/>
        </w:rPr>
      </w:pPr>
      <w:r>
        <w:rPr>
          <w:rFonts w:ascii="Arial" w:cs="Arial" w:eastAsia="Arial" w:hAnsi="Arial"/>
          <w:sz w:val="16"/>
          <w:szCs w:val="16"/>
          <w:color w:val="auto"/>
        </w:rPr>
        <w:t>The following tables show our Consolidated Average Balance Sheets, detailing the major categories of assets and liabilities, the interest income earned on interest-earning assets, the interest expense paid for the interest-bearing liabilities, and the related interest rates for the periods shown. All average information is provided on a daily average basis.</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AVERAGE BALANCE SHEETS AND INTEREST RATES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Three Months Ended June 30,</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7"/>
        </w:trPr>
        <w:tc>
          <w:tcPr>
            <w:tcW w:w="2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2018</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6"/>
        </w:trPr>
        <w:tc>
          <w:tcPr>
            <w:tcW w:w="2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Income/</w:t>
            </w:r>
          </w:p>
        </w:tc>
        <w:tc>
          <w:tcPr>
            <w:tcW w:w="880" w:type="dxa"/>
            <w:vAlign w:val="bottom"/>
          </w:tcPr>
          <w:p>
            <w:pPr>
              <w:jc w:val="right"/>
              <w:ind w:right="317"/>
              <w:spacing w:after="0"/>
              <w:rPr>
                <w:sz w:val="20"/>
                <w:szCs w:val="20"/>
                <w:color w:val="auto"/>
              </w:rPr>
            </w:pPr>
            <w:r>
              <w:rPr>
                <w:rFonts w:ascii="Arial" w:cs="Arial" w:eastAsia="Arial" w:hAnsi="Arial"/>
                <w:sz w:val="13"/>
                <w:szCs w:val="13"/>
                <w:b w:val="1"/>
                <w:bCs w:val="1"/>
                <w:color w:val="auto"/>
              </w:rPr>
              <w:t>Yield/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Income/</w:t>
            </w:r>
          </w:p>
        </w:tc>
        <w:tc>
          <w:tcPr>
            <w:tcW w:w="920" w:type="dxa"/>
            <w:vAlign w:val="bottom"/>
          </w:tcPr>
          <w:p>
            <w:pPr>
              <w:jc w:val="right"/>
              <w:ind w:right="357"/>
              <w:spacing w:after="0"/>
              <w:rPr>
                <w:sz w:val="20"/>
                <w:szCs w:val="20"/>
                <w:color w:val="auto"/>
              </w:rPr>
            </w:pPr>
            <w:r>
              <w:rPr>
                <w:rFonts w:ascii="Arial" w:cs="Arial" w:eastAsia="Arial" w:hAnsi="Arial"/>
                <w:sz w:val="13"/>
                <w:szCs w:val="13"/>
                <w:b w:val="1"/>
                <w:bCs w:val="1"/>
                <w:color w:val="auto"/>
              </w:rPr>
              <w:t>Yield/</w:t>
            </w: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Balance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Expense</w:t>
            </w:r>
          </w:p>
        </w:tc>
        <w:tc>
          <w:tcPr>
            <w:tcW w:w="880" w:type="dxa"/>
            <w:vAlign w:val="bottom"/>
            <w:tcBorders>
              <w:bottom w:val="single" w:sz="8" w:color="auto"/>
            </w:tcBorders>
          </w:tcPr>
          <w:p>
            <w:pPr>
              <w:jc w:val="right"/>
              <w:ind w:right="297"/>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18"/>
                <w:szCs w:val="18"/>
                <w:b w:val="1"/>
                <w:bCs w:val="1"/>
                <w:color w:val="auto"/>
                <w:vertAlign w:val="superscript"/>
              </w:rPr>
              <w:t>(5)</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Balance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Expense</w:t>
            </w:r>
          </w:p>
        </w:tc>
        <w:tc>
          <w:tcPr>
            <w:tcW w:w="920" w:type="dxa"/>
            <w:vAlign w:val="bottom"/>
            <w:tcBorders>
              <w:bottom w:val="single" w:sz="8" w:color="auto"/>
            </w:tcBorders>
          </w:tcPr>
          <w:p>
            <w:pPr>
              <w:jc w:val="right"/>
              <w:ind w:right="317"/>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18"/>
                <w:szCs w:val="18"/>
                <w:b w:val="1"/>
                <w:bCs w:val="1"/>
                <w:color w:val="auto"/>
                <w:vertAlign w:val="superscript"/>
              </w:rPr>
              <w:t>(5)</w:t>
            </w:r>
          </w:p>
        </w:tc>
      </w:tr>
      <w:tr>
        <w:trPr>
          <w:trHeight w:val="155"/>
        </w:trPr>
        <w:tc>
          <w:tcPr>
            <w:tcW w:w="3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5"/>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Interest-bearing bank deposits and federal funds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6"/>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sold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215,181</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2.02 %</w:t>
            </w:r>
          </w:p>
        </w:tc>
        <w:tc>
          <w:tcPr>
            <w:tcW w:w="3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115,599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1.76 %</w:t>
            </w: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Investment securities:</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U.S. Government obligations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354,327</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2,151</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2.43 %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155,009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1.65 %</w:t>
            </w:r>
          </w:p>
        </w:tc>
      </w:tr>
      <w:tr>
        <w:trPr>
          <w:trHeight w:val="175"/>
        </w:trPr>
        <w:tc>
          <w:tcPr>
            <w:tcW w:w="3060" w:type="dxa"/>
            <w:vAlign w:val="bottom"/>
            <w:gridSpan w:val="2"/>
          </w:tcPr>
          <w:p>
            <w:pPr>
              <w:ind w:left="120"/>
              <w:spacing w:after="0"/>
              <w:rPr>
                <w:sz w:val="20"/>
                <w:szCs w:val="20"/>
                <w:color w:val="auto"/>
              </w:rPr>
            </w:pPr>
            <w:r>
              <w:rPr>
                <w:rFonts w:ascii="Arial" w:cs="Arial" w:eastAsia="Arial" w:hAnsi="Arial"/>
                <w:sz w:val="14"/>
                <w:szCs w:val="14"/>
                <w:color w:val="auto"/>
              </w:rPr>
              <w:t>Obligations of states and political</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60" w:type="dxa"/>
            <w:vAlign w:val="bottom"/>
            <w:gridSpan w:val="2"/>
          </w:tcPr>
          <w:p>
            <w:pPr>
              <w:ind w:left="220"/>
              <w:spacing w:after="0" w:line="176" w:lineRule="exact"/>
              <w:rPr>
                <w:sz w:val="20"/>
                <w:szCs w:val="20"/>
                <w:color w:val="auto"/>
              </w:rPr>
            </w:pPr>
            <w:r>
              <w:rPr>
                <w:rFonts w:ascii="Arial" w:cs="Arial" w:eastAsia="Arial" w:hAnsi="Arial"/>
                <w:sz w:val="14"/>
                <w:szCs w:val="14"/>
                <w:color w:val="auto"/>
              </w:rPr>
              <w:t>subdivisions</w:t>
            </w:r>
            <w:r>
              <w:rPr>
                <w:rFonts w:ascii="Arial" w:cs="Arial" w:eastAsia="Arial" w:hAnsi="Arial"/>
                <w:sz w:val="20"/>
                <w:szCs w:val="20"/>
                <w:color w:val="auto"/>
                <w:vertAlign w:val="superscript"/>
              </w:rPr>
              <w:t>(1)</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294,371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2,181</w:t>
            </w:r>
          </w:p>
        </w:tc>
        <w:tc>
          <w:tcPr>
            <w:tcW w:w="2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2.97 %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290,802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1,882</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2.60 %</w:t>
            </w:r>
          </w:p>
        </w:tc>
      </w:tr>
      <w:tr>
        <w:trPr>
          <w:trHeight w:val="176"/>
        </w:trPr>
        <w:tc>
          <w:tcPr>
            <w:tcW w:w="30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securities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1,248,788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8,337</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2.68 %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862,392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5,328</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2.48 %</w:t>
            </w: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Loans held for sale</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25,143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212</w:t>
            </w:r>
          </w:p>
        </w:tc>
        <w:tc>
          <w:tcPr>
            <w:tcW w:w="2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3.38 %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27,516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299</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4.36 %</w:t>
            </w:r>
          </w:p>
        </w:tc>
      </w:tr>
      <w:tr>
        <w:trPr>
          <w:trHeight w:val="176"/>
        </w:trPr>
        <w:tc>
          <w:tcPr>
            <w:tcW w:w="3060" w:type="dxa"/>
            <w:vAlign w:val="bottom"/>
            <w:gridSpan w:val="2"/>
            <w:shd w:val="clear" w:color="auto" w:fill="CCEEFF"/>
          </w:tcPr>
          <w:p>
            <w:pPr>
              <w:spacing w:after="0" w:line="176" w:lineRule="exact"/>
              <w:rPr>
                <w:sz w:val="20"/>
                <w:szCs w:val="20"/>
                <w:color w:val="auto"/>
              </w:rPr>
            </w:pPr>
            <w:r>
              <w:rPr>
                <w:rFonts w:ascii="Arial" w:cs="Arial" w:eastAsia="Arial" w:hAnsi="Arial"/>
                <w:sz w:val="14"/>
                <w:szCs w:val="14"/>
                <w:color w:val="auto"/>
              </w:rPr>
              <w:t>Portfolio loans</w:t>
            </w:r>
            <w:r>
              <w:rPr>
                <w:rFonts w:ascii="Arial" w:cs="Arial" w:eastAsia="Arial" w:hAnsi="Arial"/>
                <w:sz w:val="20"/>
                <w:szCs w:val="20"/>
                <w:color w:val="auto"/>
                <w:vertAlign w:val="superscript"/>
              </w:rPr>
              <w:t>(1), (2)</w:t>
            </w: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6,528,326</w:t>
            </w:r>
          </w:p>
        </w:tc>
        <w:tc>
          <w:tcPr>
            <w:tcW w:w="2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78,279</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4.81 %</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5,533,168</w:t>
            </w:r>
          </w:p>
        </w:tc>
        <w:tc>
          <w:tcPr>
            <w:tcW w:w="2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62,233</w:t>
            </w: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4.51 %</w:t>
            </w:r>
          </w:p>
        </w:tc>
      </w:tr>
      <w:tr>
        <w:trPr>
          <w:trHeight w:val="196"/>
        </w:trPr>
        <w:tc>
          <w:tcPr>
            <w:tcW w:w="3060" w:type="dxa"/>
            <w:vAlign w:val="bottom"/>
            <w:tcBorders>
              <w:bottom w:val="single" w:sz="8" w:color="CCEEFF"/>
            </w:tcBorders>
            <w:gridSpan w:val="2"/>
          </w:tcPr>
          <w:p>
            <w:pPr>
              <w:spacing w:after="0" w:line="156" w:lineRule="exact"/>
              <w:rPr>
                <w:sz w:val="20"/>
                <w:szCs w:val="20"/>
                <w:color w:val="auto"/>
              </w:rPr>
            </w:pPr>
            <w:r>
              <w:rPr>
                <w:rFonts w:ascii="Arial" w:cs="Arial" w:eastAsia="Arial" w:hAnsi="Arial"/>
                <w:sz w:val="12"/>
                <w:szCs w:val="12"/>
                <w:color w:val="auto"/>
              </w:rPr>
              <w:t>Total interest-earning assets</w:t>
            </w:r>
            <w:r>
              <w:rPr>
                <w:rFonts w:ascii="Arial" w:cs="Arial" w:eastAsia="Arial" w:hAnsi="Arial"/>
                <w:sz w:val="18"/>
                <w:szCs w:val="18"/>
                <w:color w:val="auto"/>
                <w:vertAlign w:val="superscript"/>
              </w:rPr>
              <w:t>(1), (3)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8,666,136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92,243</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4.27 %</w:t>
            </w:r>
          </w:p>
        </w:tc>
        <w:tc>
          <w:tcPr>
            <w:tcW w:w="320" w:type="dxa"/>
            <w:vAlign w:val="bottom"/>
            <w:tcBorders>
              <w:bottom w:val="single" w:sz="8" w:color="CCEEFF"/>
            </w:tcBorders>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6,984,486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70,886</w:t>
            </w: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4.07 %</w:t>
            </w:r>
          </w:p>
        </w:tc>
      </w:tr>
      <w:tr>
        <w:trPr>
          <w:trHeight w:val="143"/>
        </w:trPr>
        <w:tc>
          <w:tcPr>
            <w:tcW w:w="2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Cash and due from banks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113,233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102,640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Premises and equipment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149,334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120,595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Allowance for loan losses</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(51,047)</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(53,521)</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645,022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499,341</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5"/>
        </w:trPr>
        <w:tc>
          <w:tcPr>
            <w:tcW w:w="3060" w:type="dxa"/>
            <w:vAlign w:val="bottom"/>
            <w:tcBorders>
              <w:bottom w:val="single" w:sz="8" w:color="CCEEFF"/>
            </w:tcBorders>
            <w:gridSpan w:val="2"/>
          </w:tcPr>
          <w:p>
            <w:pPr>
              <w:spacing w:after="0" w:line="155" w:lineRule="exact"/>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9,522,678</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7,653,541</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r>
      <w:tr>
        <w:trPr>
          <w:trHeight w:val="143"/>
        </w:trPr>
        <w:tc>
          <w:tcPr>
            <w:tcW w:w="2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Interest-bearing transaction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1,821,827</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2,489</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0.55 %</w:t>
            </w:r>
          </w:p>
        </w:tc>
        <w:tc>
          <w:tcPr>
            <w:tcW w:w="3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1,214,863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0.26 %</w:t>
            </w: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Savings and money market deposits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2,400,751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3,581</w:t>
            </w:r>
          </w:p>
        </w:tc>
        <w:tc>
          <w:tcPr>
            <w:tcW w:w="2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0.60 %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2,004,299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1,641</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0.33 %</w:t>
            </w:r>
          </w:p>
        </w:tc>
      </w:tr>
      <w:tr>
        <w:trPr>
          <w:trHeight w:val="176"/>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Time deposits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1,747,830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8,084</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1.86 %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1,400,548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4,481</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1.28 %</w:t>
            </w: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Federal funds purchased and repurchase</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60" w:type="dxa"/>
            <w:vAlign w:val="bottom"/>
            <w:gridSpan w:val="2"/>
          </w:tcPr>
          <w:p>
            <w:pPr>
              <w:ind w:left="120"/>
              <w:spacing w:after="0"/>
              <w:rPr>
                <w:sz w:val="20"/>
                <w:szCs w:val="20"/>
                <w:color w:val="auto"/>
              </w:rPr>
            </w:pPr>
            <w:r>
              <w:rPr>
                <w:rFonts w:ascii="Arial" w:cs="Arial" w:eastAsia="Arial" w:hAnsi="Arial"/>
                <w:sz w:val="14"/>
                <w:szCs w:val="14"/>
                <w:color w:val="auto"/>
              </w:rPr>
              <w:t>agreements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193,621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627</w:t>
            </w:r>
          </w:p>
        </w:tc>
        <w:tc>
          <w:tcPr>
            <w:tcW w:w="2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1.30 %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235,678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372</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0.63 %</w:t>
            </w:r>
          </w:p>
        </w:tc>
      </w:tr>
      <w:tr>
        <w:trPr>
          <w:trHeight w:val="176"/>
        </w:trPr>
        <w:tc>
          <w:tcPr>
            <w:tcW w:w="3060" w:type="dxa"/>
            <w:vAlign w:val="bottom"/>
            <w:gridSpan w:val="2"/>
            <w:shd w:val="clear" w:color="auto" w:fill="CCEEFF"/>
          </w:tcPr>
          <w:p>
            <w:pPr>
              <w:spacing w:after="0" w:line="176"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20"/>
                <w:szCs w:val="20"/>
                <w:color w:val="auto"/>
                <w:vertAlign w:val="superscript"/>
              </w:rPr>
              <w:t>(4)</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258,662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2,365</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3.67 %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250,552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1,863</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2.98 %</w:t>
            </w: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w w:val="97"/>
              </w:rPr>
              <w:t>Junior subordinated debt issued to unconsolidated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trusts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71,194</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892</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5.03 %</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71,046</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814</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4.60 %</w:t>
            </w:r>
          </w:p>
        </w:tc>
      </w:tr>
      <w:tr>
        <w:trPr>
          <w:trHeight w:val="156"/>
        </w:trPr>
        <w:tc>
          <w:tcPr>
            <w:tcW w:w="306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 interest-bearing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6,493,885</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18,038</w:t>
            </w:r>
          </w:p>
        </w:tc>
        <w:tc>
          <w:tcPr>
            <w:tcW w:w="2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1.11 %</w:t>
            </w:r>
          </w:p>
        </w:tc>
        <w:tc>
          <w:tcPr>
            <w:tcW w:w="32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5,176,986</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9,953</w:t>
            </w: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0.77 %</w:t>
            </w:r>
          </w:p>
        </w:tc>
      </w:tr>
      <w:tr>
        <w:trPr>
          <w:trHeight w:val="20"/>
        </w:trPr>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3"/>
        </w:trPr>
        <w:tc>
          <w:tcPr>
            <w:tcW w:w="2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3060" w:type="dxa"/>
            <w:vAlign w:val="bottom"/>
            <w:tcBorders>
              <w:bottom w:val="single" w:sz="8" w:color="CCEEFF"/>
            </w:tcBorders>
            <w:gridSpan w:val="2"/>
            <w:shd w:val="clear" w:color="auto" w:fill="CCEEFF"/>
          </w:tcPr>
          <w:p>
            <w:pPr>
              <w:spacing w:after="0" w:line="162" w:lineRule="exact"/>
              <w:rPr>
                <w:sz w:val="20"/>
                <w:szCs w:val="20"/>
                <w:color w:val="auto"/>
              </w:rPr>
            </w:pPr>
            <w:r>
              <w:rPr>
                <w:rFonts w:ascii="Arial" w:cs="Arial" w:eastAsia="Arial" w:hAnsi="Arial"/>
                <w:sz w:val="12"/>
                <w:szCs w:val="12"/>
                <w:color w:val="auto"/>
              </w:rPr>
              <w:t>Net interest spread</w:t>
            </w:r>
            <w:r>
              <w:rPr>
                <w:rFonts w:ascii="Arial" w:cs="Arial" w:eastAsia="Arial" w:hAnsi="Arial"/>
                <w:sz w:val="18"/>
                <w:szCs w:val="18"/>
                <w:color w:val="auto"/>
                <w:vertAlign w:val="superscript"/>
              </w:rPr>
              <w:t>(1)</w:t>
            </w: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3.16 %</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3.30 %</w:t>
            </w:r>
          </w:p>
        </w:tc>
      </w:tr>
      <w:tr>
        <w:trPr>
          <w:trHeight w:val="20"/>
        </w:trPr>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3"/>
        </w:trPr>
        <w:tc>
          <w:tcPr>
            <w:tcW w:w="2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6"/>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Noninterest-bearing deposits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1,747,746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1,492,251</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85,245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40,173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1,195,802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944,131</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5"/>
        </w:trPr>
        <w:tc>
          <w:tcPr>
            <w:tcW w:w="3060" w:type="dxa"/>
            <w:vAlign w:val="bottom"/>
            <w:tcBorders>
              <w:bottom w:val="single" w:sz="8" w:color="CCEEFF"/>
            </w:tcBorders>
            <w:gridSpan w:val="2"/>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9,522,678</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7,653,541</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r>
      <w:tr>
        <w:trPr>
          <w:trHeight w:val="143"/>
        </w:trPr>
        <w:tc>
          <w:tcPr>
            <w:tcW w:w="2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76"/>
        </w:trPr>
        <w:tc>
          <w:tcPr>
            <w:tcW w:w="2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60" w:type="dxa"/>
            <w:vAlign w:val="bottom"/>
            <w:gridSpan w:val="2"/>
            <w:shd w:val="clear" w:color="auto" w:fill="CCEEFF"/>
          </w:tcPr>
          <w:p>
            <w:pPr>
              <w:spacing w:after="0" w:line="176" w:lineRule="exact"/>
              <w:rPr>
                <w:sz w:val="20"/>
                <w:szCs w:val="20"/>
                <w:color w:val="auto"/>
              </w:rPr>
            </w:pPr>
            <w:r>
              <w:rPr>
                <w:rFonts w:ascii="Arial" w:cs="Arial" w:eastAsia="Arial" w:hAnsi="Arial"/>
                <w:sz w:val="14"/>
                <w:szCs w:val="14"/>
                <w:color w:val="auto"/>
              </w:rPr>
              <w:t>Interest income / earning assets</w:t>
            </w:r>
            <w:r>
              <w:rPr>
                <w:rFonts w:ascii="Arial" w:cs="Arial" w:eastAsia="Arial" w:hAnsi="Arial"/>
                <w:sz w:val="20"/>
                <w:szCs w:val="20"/>
                <w:color w:val="auto"/>
                <w:vertAlign w:val="superscript"/>
              </w:rPr>
              <w:t>(1), (3)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8,666,136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92,243</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4.27 %</w:t>
            </w:r>
          </w:p>
        </w:tc>
        <w:tc>
          <w:tcPr>
            <w:tcW w:w="3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6,984,486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70,886</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4.07 %</w:t>
            </w:r>
          </w:p>
        </w:tc>
      </w:tr>
      <w:tr>
        <w:trPr>
          <w:trHeight w:val="175"/>
        </w:trPr>
        <w:tc>
          <w:tcPr>
            <w:tcW w:w="30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expense / earning assets</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8,666,136</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18,038</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0.84 %</w:t>
            </w:r>
          </w:p>
        </w:tc>
        <w:tc>
          <w:tcPr>
            <w:tcW w:w="320" w:type="dxa"/>
            <w:vAlign w:val="bottom"/>
            <w:tcBorders>
              <w:bottom w:val="single" w:sz="8" w:color="CCEEFF"/>
            </w:tcBorders>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6,984,486</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9,953</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0.57 %</w:t>
            </w:r>
          </w:p>
        </w:tc>
      </w:tr>
      <w:tr>
        <w:trPr>
          <w:trHeight w:val="156"/>
        </w:trPr>
        <w:tc>
          <w:tcPr>
            <w:tcW w:w="306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2"/>
                <w:szCs w:val="12"/>
                <w:color w:val="auto"/>
              </w:rPr>
              <w:t>Net interest margin</w:t>
            </w:r>
            <w:r>
              <w:rPr>
                <w:rFonts w:ascii="Arial" w:cs="Arial" w:eastAsia="Arial" w:hAnsi="Arial"/>
                <w:sz w:val="18"/>
                <w:szCs w:val="18"/>
                <w:color w:val="auto"/>
                <w:vertAlign w:val="superscript"/>
              </w:rPr>
              <w:t>(1)</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74,205</w:t>
            </w:r>
          </w:p>
        </w:tc>
        <w:tc>
          <w:tcPr>
            <w:tcW w:w="2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3.43 %</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60,933</w:t>
            </w:r>
          </w:p>
        </w:tc>
        <w:tc>
          <w:tcPr>
            <w:tcW w:w="2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3.50 %</w:t>
            </w:r>
          </w:p>
        </w:tc>
      </w:tr>
      <w:tr>
        <w:trPr>
          <w:trHeight w:val="20"/>
        </w:trPr>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r>
    </w:tbl>
    <w:p>
      <w:pPr>
        <w:ind w:left="340" w:hanging="331"/>
        <w:spacing w:after="0" w:line="220" w:lineRule="auto"/>
        <w:tabs>
          <w:tab w:leader="none" w:pos="340"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On a tax-equivalent basis and assuming an income tax rate of 21%.</w:t>
      </w:r>
    </w:p>
    <w:p>
      <w:pPr>
        <w:ind w:left="340" w:hanging="331"/>
        <w:spacing w:after="0" w:line="183" w:lineRule="auto"/>
        <w:tabs>
          <w:tab w:leader="none" w:pos="340"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Non-accrual loans have been included in average portfolio loans.</w:t>
      </w:r>
    </w:p>
    <w:p>
      <w:pPr>
        <w:ind w:left="340" w:right="600" w:hanging="331"/>
        <w:spacing w:after="0" w:line="187" w:lineRule="auto"/>
        <w:tabs>
          <w:tab w:leader="none" w:pos="340"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Interest income includes a tax-equivalent adjustment of $0.8 million and $0.6 million for the three months ended June 30, 2019 and 2018, respectively.</w:t>
      </w:r>
    </w:p>
    <w:p>
      <w:pPr>
        <w:spacing w:after="0" w:line="1" w:lineRule="exact"/>
        <w:rPr>
          <w:rFonts w:ascii="Arial" w:cs="Arial" w:eastAsia="Arial" w:hAnsi="Arial"/>
          <w:sz w:val="27"/>
          <w:szCs w:val="27"/>
          <w:color w:val="auto"/>
          <w:vertAlign w:val="superscript"/>
        </w:rPr>
      </w:pPr>
    </w:p>
    <w:p>
      <w:pPr>
        <w:ind w:left="340" w:hanging="331"/>
        <w:spacing w:after="0" w:line="183" w:lineRule="auto"/>
        <w:tabs>
          <w:tab w:leader="none" w:pos="340"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Includes short-term and long-term borrowings. Interest expense includes a non-usage fee on revolving loan.</w:t>
      </w:r>
    </w:p>
    <w:p>
      <w:pPr>
        <w:ind w:left="340" w:hanging="331"/>
        <w:spacing w:after="0" w:line="186" w:lineRule="auto"/>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6"/>
          <w:szCs w:val="16"/>
          <w:color w:val="auto"/>
        </w:rPr>
        <w:t>Annualized.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AVERAGE BALANCE SHEETS AND INTEREST RATES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Six Months Ended 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2018</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b w:val="1"/>
                <w:bCs w:val="1"/>
                <w:color w:val="auto"/>
                <w:w w:val="89"/>
              </w:rPr>
              <w:t>Average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Income/</w:t>
            </w:r>
          </w:p>
        </w:tc>
        <w:tc>
          <w:tcPr>
            <w:tcW w:w="880" w:type="dxa"/>
            <w:vAlign w:val="bottom"/>
          </w:tcPr>
          <w:p>
            <w:pPr>
              <w:jc w:val="right"/>
              <w:ind w:right="317"/>
              <w:spacing w:after="0"/>
              <w:rPr>
                <w:sz w:val="20"/>
                <w:szCs w:val="20"/>
                <w:color w:val="auto"/>
              </w:rPr>
            </w:pPr>
            <w:r>
              <w:rPr>
                <w:rFonts w:ascii="Arial" w:cs="Arial" w:eastAsia="Arial" w:hAnsi="Arial"/>
                <w:sz w:val="13"/>
                <w:szCs w:val="13"/>
                <w:b w:val="1"/>
                <w:bCs w:val="1"/>
                <w:color w:val="auto"/>
              </w:rPr>
              <w:t>Yield/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Income/</w:t>
            </w:r>
          </w:p>
        </w:tc>
        <w:tc>
          <w:tcPr>
            <w:tcW w:w="920" w:type="dxa"/>
            <w:vAlign w:val="bottom"/>
          </w:tcPr>
          <w:p>
            <w:pPr>
              <w:jc w:val="right"/>
              <w:ind w:right="357"/>
              <w:spacing w:after="0"/>
              <w:rPr>
                <w:sz w:val="20"/>
                <w:szCs w:val="20"/>
                <w:color w:val="auto"/>
              </w:rPr>
            </w:pPr>
            <w:r>
              <w:rPr>
                <w:rFonts w:ascii="Arial" w:cs="Arial" w:eastAsia="Arial" w:hAnsi="Arial"/>
                <w:sz w:val="13"/>
                <w:szCs w:val="13"/>
                <w:b w:val="1"/>
                <w:bCs w:val="1"/>
                <w:color w:val="auto"/>
              </w:rPr>
              <w:t>Yield/</w:t>
            </w: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b w:val="1"/>
                <w:bCs w:val="1"/>
                <w:color w:val="auto"/>
                <w:w w:val="92"/>
              </w:rPr>
              <w:t>Balance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Expense</w:t>
            </w:r>
          </w:p>
        </w:tc>
        <w:tc>
          <w:tcPr>
            <w:tcW w:w="880" w:type="dxa"/>
            <w:vAlign w:val="bottom"/>
          </w:tcPr>
          <w:p>
            <w:pPr>
              <w:jc w:val="right"/>
              <w:ind w:right="297"/>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18"/>
                <w:szCs w:val="18"/>
                <w:b w:val="1"/>
                <w:bCs w:val="1"/>
                <w:color w:val="auto"/>
                <w:vertAlign w:val="superscript"/>
              </w:rPr>
              <w:t>(5)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Expense</w:t>
            </w:r>
          </w:p>
        </w:tc>
        <w:tc>
          <w:tcPr>
            <w:tcW w:w="920" w:type="dxa"/>
            <w:vAlign w:val="bottom"/>
          </w:tcPr>
          <w:p>
            <w:pPr>
              <w:jc w:val="right"/>
              <w:ind w:right="317"/>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Arial" w:cs="Arial" w:eastAsia="Arial" w:hAnsi="Arial"/>
                <w:sz w:val="14"/>
                <w:szCs w:val="14"/>
                <w:color w:val="auto"/>
                <w:w w:val="95"/>
              </w:rPr>
              <w:t>Interest-bearing bank deposits and federal funds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tcPr>
          <w:p>
            <w:pPr>
              <w:ind w:left="100"/>
              <w:spacing w:after="0"/>
              <w:rPr>
                <w:sz w:val="20"/>
                <w:szCs w:val="20"/>
                <w:color w:val="auto"/>
              </w:rPr>
            </w:pPr>
            <w:r>
              <w:rPr>
                <w:rFonts w:ascii="Arial" w:cs="Arial" w:eastAsia="Arial" w:hAnsi="Arial"/>
                <w:sz w:val="14"/>
                <w:szCs w:val="14"/>
                <w:color w:val="auto"/>
              </w:rPr>
              <w:t>sold</w:t>
            </w:r>
          </w:p>
        </w:tc>
        <w:tc>
          <w:tcPr>
            <w:tcW w:w="3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217,811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2,315</w:t>
            </w:r>
          </w:p>
        </w:tc>
        <w:tc>
          <w:tcPr>
            <w:tcW w:w="2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2.14 %</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116,956</w:t>
            </w:r>
          </w:p>
        </w:tc>
        <w:tc>
          <w:tcPr>
            <w:tcW w:w="200" w:type="dxa"/>
            <w:vAlign w:val="bottom"/>
          </w:tcPr>
          <w:p>
            <w:pPr>
              <w:spacing w:after="0"/>
              <w:rPr>
                <w:sz w:val="15"/>
                <w:szCs w:val="15"/>
                <w:color w:val="auto"/>
              </w:rPr>
            </w:pPr>
          </w:p>
        </w:tc>
        <w:tc>
          <w:tcPr>
            <w:tcW w:w="120" w:type="dxa"/>
            <w:vAlign w:val="bottom"/>
            <w:gridSpan w:val="2"/>
          </w:tcPr>
          <w:p>
            <w:pPr>
              <w:jc w:val="right"/>
              <w:ind w:right="34"/>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931</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1.61 %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 securities: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80" w:type="dxa"/>
            <w:vAlign w:val="bottom"/>
            <w:gridSpan w:val="2"/>
          </w:tcPr>
          <w:p>
            <w:pPr>
              <w:ind w:left="100"/>
              <w:spacing w:after="0"/>
              <w:rPr>
                <w:sz w:val="20"/>
                <w:szCs w:val="20"/>
                <w:color w:val="auto"/>
              </w:rPr>
            </w:pPr>
            <w:r>
              <w:rPr>
                <w:rFonts w:ascii="Arial" w:cs="Arial" w:eastAsia="Arial" w:hAnsi="Arial"/>
                <w:sz w:val="14"/>
                <w:szCs w:val="14"/>
                <w:color w:val="auto"/>
              </w:rPr>
              <w:t>U.S. Government obligations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343,773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4,217</w:t>
            </w:r>
          </w:p>
        </w:tc>
        <w:tc>
          <w:tcPr>
            <w:tcW w:w="2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2.47 %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158,272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1,285</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1.64 %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Obligations of states and political</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4"/>
                <w:szCs w:val="14"/>
                <w:color w:val="auto"/>
              </w:rPr>
              <w:t>subdivisions</w:t>
            </w:r>
            <w:r>
              <w:rPr>
                <w:rFonts w:ascii="Arial" w:cs="Arial" w:eastAsia="Arial" w:hAnsi="Arial"/>
                <w:sz w:val="20"/>
                <w:szCs w:val="20"/>
                <w:color w:val="auto"/>
                <w:vertAlign w:val="superscript"/>
              </w:rPr>
              <w:t>(1)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280,405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4,118</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2.96 %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299,976</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3,861</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2.60 %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80" w:type="dxa"/>
            <w:vAlign w:val="bottom"/>
            <w:gridSpan w:val="2"/>
          </w:tcPr>
          <w:p>
            <w:pPr>
              <w:ind w:left="100"/>
              <w:spacing w:after="0"/>
              <w:rPr>
                <w:sz w:val="20"/>
                <w:szCs w:val="20"/>
                <w:color w:val="auto"/>
              </w:rPr>
            </w:pPr>
            <w:r>
              <w:rPr>
                <w:rFonts w:ascii="Arial" w:cs="Arial" w:eastAsia="Arial" w:hAnsi="Arial"/>
                <w:sz w:val="14"/>
                <w:szCs w:val="14"/>
                <w:color w:val="auto"/>
              </w:rPr>
              <w:t>Other securities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1,186,059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15,881</w:t>
            </w:r>
          </w:p>
        </w:tc>
        <w:tc>
          <w:tcPr>
            <w:tcW w:w="2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2.70 %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851,297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10,286</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2.44 %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Loans held for sale</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3.60 %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33,372</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3.92 %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4"/>
                <w:szCs w:val="14"/>
                <w:color w:val="auto"/>
              </w:rPr>
              <w:t>Portfolio loans</w:t>
            </w:r>
            <w:r>
              <w:rPr>
                <w:rFonts w:ascii="Arial" w:cs="Arial" w:eastAsia="Arial" w:hAnsi="Arial"/>
                <w:sz w:val="20"/>
                <w:szCs w:val="20"/>
                <w:color w:val="auto"/>
                <w:vertAlign w:val="superscript"/>
              </w:rPr>
              <w:t>(1), (2)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6,329,596</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150,291</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4.79 %</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5,520,584</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123,085</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4.50 %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gridSpan w:val="2"/>
            <w:shd w:val="clear" w:color="auto" w:fill="CCEEFF"/>
          </w:tcPr>
          <w:p>
            <w:pPr>
              <w:spacing w:after="0" w:line="156" w:lineRule="exact"/>
              <w:rPr>
                <w:sz w:val="20"/>
                <w:szCs w:val="20"/>
                <w:color w:val="auto"/>
              </w:rPr>
            </w:pPr>
            <w:r>
              <w:rPr>
                <w:rFonts w:ascii="Arial" w:cs="Arial" w:eastAsia="Arial" w:hAnsi="Arial"/>
                <w:sz w:val="12"/>
                <w:szCs w:val="12"/>
                <w:color w:val="auto"/>
              </w:rPr>
              <w:t>Total interest-earning assets</w:t>
            </w:r>
            <w:r>
              <w:rPr>
                <w:rFonts w:ascii="Arial" w:cs="Arial" w:eastAsia="Arial" w:hAnsi="Arial"/>
                <w:sz w:val="18"/>
                <w:szCs w:val="18"/>
                <w:color w:val="auto"/>
                <w:vertAlign w:val="superscript"/>
              </w:rPr>
              <w:t>(1), (3)</w:t>
            </w:r>
          </w:p>
        </w:tc>
        <w:tc>
          <w:tcPr>
            <w:tcW w:w="30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8,378,862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177,201</w:t>
            </w: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4.26 %</w:t>
            </w:r>
          </w:p>
        </w:tc>
        <w:tc>
          <w:tcPr>
            <w:tcW w:w="3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6,980,457</w:t>
            </w:r>
          </w:p>
        </w:tc>
        <w:tc>
          <w:tcPr>
            <w:tcW w:w="2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140,097</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due from banks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109,714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105,667</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Arial" w:cs="Arial" w:eastAsia="Arial" w:hAnsi="Arial"/>
                <w:sz w:val="14"/>
                <w:szCs w:val="14"/>
                <w:color w:val="auto"/>
              </w:rPr>
              <w:t>Premises and equipment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146,776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119,481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Allowance for loan losses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(51,236)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(54,076)</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614,859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507,162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9,198,975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7,658,691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Arial" w:cs="Arial" w:eastAsia="Arial" w:hAnsi="Arial"/>
                <w:sz w:val="14"/>
                <w:szCs w:val="14"/>
                <w:color w:val="auto"/>
              </w:rPr>
              <w:t>Interest-bearing transaction deposits</w:t>
            </w:r>
          </w:p>
        </w:tc>
        <w:tc>
          <w:tcPr>
            <w:tcW w:w="3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1,760,550</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4,967</w:t>
            </w:r>
          </w:p>
        </w:tc>
        <w:tc>
          <w:tcPr>
            <w:tcW w:w="2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0.57 %</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1,188,922</w:t>
            </w:r>
          </w:p>
        </w:tc>
        <w:tc>
          <w:tcPr>
            <w:tcW w:w="200" w:type="dxa"/>
            <w:vAlign w:val="bottom"/>
          </w:tcPr>
          <w:p>
            <w:pPr>
              <w:spacing w:after="0"/>
              <w:rPr>
                <w:sz w:val="15"/>
                <w:szCs w:val="15"/>
                <w:color w:val="auto"/>
              </w:rPr>
            </w:pPr>
          </w:p>
        </w:tc>
        <w:tc>
          <w:tcPr>
            <w:tcW w:w="120" w:type="dxa"/>
            <w:vAlign w:val="bottom"/>
            <w:gridSpan w:val="2"/>
          </w:tcPr>
          <w:p>
            <w:pPr>
              <w:jc w:val="right"/>
              <w:ind w:right="34"/>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1,452</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0.25 %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Savings and money market deposits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2,303,358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6,285</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0.55 %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2,015,561</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3,160</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0.32 %</w:t>
            </w: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Arial" w:cs="Arial" w:eastAsia="Arial" w:hAnsi="Arial"/>
                <w:sz w:val="14"/>
                <w:szCs w:val="14"/>
                <w:color w:val="auto"/>
              </w:rPr>
              <w:t>Time deposits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1,718,587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15,402</w:t>
            </w:r>
          </w:p>
        </w:tc>
        <w:tc>
          <w:tcPr>
            <w:tcW w:w="2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1.81 %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1,389,595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8,279</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1.20 %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Federal funds purchased and repurchase</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agreements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199,045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1.23 %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246,802</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0.58 %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tcPr>
          <w:p>
            <w:pPr>
              <w:spacing w:after="0" w:line="176"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20"/>
                <w:szCs w:val="20"/>
                <w:color w:val="auto"/>
                <w:vertAlign w:val="superscript"/>
              </w:rPr>
              <w:t>(4)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227,460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4,266</w:t>
            </w:r>
          </w:p>
        </w:tc>
        <w:tc>
          <w:tcPr>
            <w:tcW w:w="2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3.78 %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264,205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3,696</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2.82 %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1"/>
              </w:rPr>
              <w:t>Junior subordinated debt issued to unconsolidated</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trusts</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71,175</w:t>
            </w:r>
          </w:p>
        </w:tc>
        <w:tc>
          <w:tcPr>
            <w:tcW w:w="2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1,806</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5.12 %</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71,028</w:t>
            </w:r>
          </w:p>
        </w:tc>
        <w:tc>
          <w:tcPr>
            <w:tcW w:w="2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1,529</w:t>
            </w: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4.34 %</w:t>
            </w:r>
          </w:p>
        </w:tc>
        <w:tc>
          <w:tcPr>
            <w:tcW w:w="0" w:type="dxa"/>
            <w:vAlign w:val="bottom"/>
          </w:tcPr>
          <w:p>
            <w:pPr>
              <w:spacing w:after="0"/>
              <w:rPr>
                <w:sz w:val="1"/>
                <w:szCs w:val="1"/>
                <w:color w:val="auto"/>
              </w:rPr>
            </w:pPr>
          </w:p>
        </w:tc>
      </w:tr>
      <w:tr>
        <w:trPr>
          <w:trHeight w:val="196"/>
        </w:trPr>
        <w:tc>
          <w:tcPr>
            <w:tcW w:w="2900" w:type="dxa"/>
            <w:vAlign w:val="bottom"/>
            <w:gridSpan w:val="3"/>
          </w:tcPr>
          <w:p>
            <w:pPr>
              <w:spacing w:after="0" w:line="155" w:lineRule="exact"/>
              <w:rPr>
                <w:sz w:val="20"/>
                <w:szCs w:val="20"/>
                <w:color w:val="auto"/>
              </w:rPr>
            </w:pPr>
            <w:r>
              <w:rPr>
                <w:rFonts w:ascii="Arial" w:cs="Arial" w:eastAsia="Arial" w:hAnsi="Arial"/>
                <w:sz w:val="14"/>
                <w:szCs w:val="14"/>
                <w:color w:val="auto"/>
              </w:rPr>
              <w:t>Total interest-bearing liabilities</w:t>
            </w:r>
          </w:p>
        </w:tc>
        <w:tc>
          <w:tcPr>
            <w:tcW w:w="3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6,280,175</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33,936</w:t>
            </w:r>
          </w:p>
        </w:tc>
        <w:tc>
          <w:tcPr>
            <w:tcW w:w="200" w:type="dxa"/>
            <w:vAlign w:val="bottom"/>
          </w:tcPr>
          <w:p>
            <w:pPr>
              <w:spacing w:after="0"/>
              <w:rPr>
                <w:sz w:val="17"/>
                <w:szCs w:val="17"/>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1.09 %</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5,176,113</w:t>
            </w:r>
          </w:p>
        </w:tc>
        <w:tc>
          <w:tcPr>
            <w:tcW w:w="200" w:type="dxa"/>
            <w:vAlign w:val="bottom"/>
          </w:tcPr>
          <w:p>
            <w:pPr>
              <w:spacing w:after="0"/>
              <w:rPr>
                <w:sz w:val="17"/>
                <w:szCs w:val="17"/>
                <w:color w:val="auto"/>
              </w:rPr>
            </w:pPr>
          </w:p>
        </w:tc>
        <w:tc>
          <w:tcPr>
            <w:tcW w:w="120" w:type="dxa"/>
            <w:vAlign w:val="bottom"/>
            <w:gridSpan w:val="2"/>
          </w:tcPr>
          <w:p>
            <w:pPr>
              <w:jc w:val="right"/>
              <w:ind w:right="34"/>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18,829</w:t>
            </w:r>
          </w:p>
        </w:tc>
        <w:tc>
          <w:tcPr>
            <w:tcW w:w="200" w:type="dxa"/>
            <w:vAlign w:val="bottom"/>
          </w:tcPr>
          <w:p>
            <w:pPr>
              <w:spacing w:after="0"/>
              <w:rPr>
                <w:sz w:val="17"/>
                <w:szCs w:val="17"/>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0.73 %</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80" w:type="dxa"/>
            <w:vAlign w:val="bottom"/>
            <w:tcBorders>
              <w:bottom w:val="single" w:sz="8" w:color="CCEEFF"/>
            </w:tcBorders>
            <w:gridSpan w:val="2"/>
          </w:tcPr>
          <w:p>
            <w:pPr>
              <w:spacing w:after="0" w:line="162" w:lineRule="exact"/>
              <w:rPr>
                <w:sz w:val="20"/>
                <w:szCs w:val="20"/>
                <w:color w:val="auto"/>
              </w:rPr>
            </w:pPr>
            <w:r>
              <w:rPr>
                <w:rFonts w:ascii="Arial" w:cs="Arial" w:eastAsia="Arial" w:hAnsi="Arial"/>
                <w:sz w:val="12"/>
                <w:szCs w:val="12"/>
                <w:color w:val="auto"/>
              </w:rPr>
              <w:t>Net interest spread</w:t>
            </w:r>
            <w:r>
              <w:rPr>
                <w:rFonts w:ascii="Arial" w:cs="Arial" w:eastAsia="Arial" w:hAnsi="Arial"/>
                <w:sz w:val="18"/>
                <w:szCs w:val="18"/>
                <w:color w:val="auto"/>
                <w:vertAlign w:val="superscript"/>
              </w:rPr>
              <w:t>(1)</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3.17 %</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3.32 %</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Arial" w:cs="Arial" w:eastAsia="Arial" w:hAnsi="Arial"/>
                <w:sz w:val="14"/>
                <w:szCs w:val="14"/>
                <w:color w:val="auto"/>
              </w:rPr>
              <w:t>Noninterest-bearing deposits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1,682,691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1,494,680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80,034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48,923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1,153,075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938,975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9,195,975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7,658,691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80" w:type="dxa"/>
            <w:vAlign w:val="bottom"/>
            <w:gridSpan w:val="2"/>
          </w:tcPr>
          <w:p>
            <w:pPr>
              <w:spacing w:after="0" w:line="176" w:lineRule="exact"/>
              <w:rPr>
                <w:sz w:val="20"/>
                <w:szCs w:val="20"/>
                <w:color w:val="auto"/>
              </w:rPr>
            </w:pPr>
            <w:r>
              <w:rPr>
                <w:rFonts w:ascii="Arial" w:cs="Arial" w:eastAsia="Arial" w:hAnsi="Arial"/>
                <w:sz w:val="14"/>
                <w:szCs w:val="14"/>
                <w:color w:val="auto"/>
              </w:rPr>
              <w:t>Interest income / earning assets</w:t>
            </w:r>
            <w:r>
              <w:rPr>
                <w:rFonts w:ascii="Arial" w:cs="Arial" w:eastAsia="Arial" w:hAnsi="Arial"/>
                <w:sz w:val="20"/>
                <w:szCs w:val="20"/>
                <w:color w:val="auto"/>
                <w:vertAlign w:val="superscript"/>
              </w:rPr>
              <w:t>(1), (3)</w:t>
            </w:r>
          </w:p>
        </w:tc>
        <w:tc>
          <w:tcPr>
            <w:tcW w:w="3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8,378,862</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177,201</w:t>
            </w:r>
          </w:p>
        </w:tc>
        <w:tc>
          <w:tcPr>
            <w:tcW w:w="2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4.26 %</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6,980,457</w:t>
            </w:r>
          </w:p>
        </w:tc>
        <w:tc>
          <w:tcPr>
            <w:tcW w:w="200" w:type="dxa"/>
            <w:vAlign w:val="bottom"/>
          </w:tcPr>
          <w:p>
            <w:pPr>
              <w:spacing w:after="0"/>
              <w:rPr>
                <w:sz w:val="15"/>
                <w:szCs w:val="15"/>
                <w:color w:val="auto"/>
              </w:rPr>
            </w:pPr>
          </w:p>
        </w:tc>
        <w:tc>
          <w:tcPr>
            <w:tcW w:w="120" w:type="dxa"/>
            <w:vAlign w:val="bottom"/>
            <w:gridSpan w:val="2"/>
          </w:tcPr>
          <w:p>
            <w:pPr>
              <w:jc w:val="right"/>
              <w:ind w:right="34"/>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140,097</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4.05 %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 / earning assets</w:t>
            </w:r>
          </w:p>
        </w:tc>
        <w:tc>
          <w:tcPr>
            <w:tcW w:w="30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8,378,862</w:t>
            </w:r>
          </w:p>
        </w:tc>
        <w:tc>
          <w:tcPr>
            <w:tcW w:w="3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33,936</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0.81 %</w:t>
            </w:r>
          </w:p>
        </w:tc>
        <w:tc>
          <w:tcPr>
            <w:tcW w:w="3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6,980,457</w:t>
            </w:r>
          </w:p>
        </w:tc>
        <w:tc>
          <w:tcPr>
            <w:tcW w:w="2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18,829</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0.55 %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gridSpan w:val="2"/>
          </w:tcPr>
          <w:p>
            <w:pPr>
              <w:spacing w:after="0" w:line="156" w:lineRule="exact"/>
              <w:rPr>
                <w:sz w:val="20"/>
                <w:szCs w:val="20"/>
                <w:color w:val="auto"/>
              </w:rPr>
            </w:pPr>
            <w:r>
              <w:rPr>
                <w:rFonts w:ascii="Arial" w:cs="Arial" w:eastAsia="Arial" w:hAnsi="Arial"/>
                <w:sz w:val="12"/>
                <w:szCs w:val="12"/>
                <w:color w:val="auto"/>
              </w:rPr>
              <w:t>Net interest margin</w:t>
            </w:r>
            <w:r>
              <w:rPr>
                <w:rFonts w:ascii="Arial" w:cs="Arial" w:eastAsia="Arial" w:hAnsi="Arial"/>
                <w:sz w:val="18"/>
                <w:szCs w:val="18"/>
                <w:color w:val="auto"/>
                <w:vertAlign w:val="superscript"/>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143,265</w:t>
            </w: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3.45 %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121,268</w:t>
            </w: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3.50 %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hanging="331"/>
        <w:spacing w:after="0" w:line="220" w:lineRule="auto"/>
        <w:tabs>
          <w:tab w:leader="none" w:pos="34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On a tax-equivalent basis and assuming an income tax rate of 21%.</w:t>
      </w:r>
    </w:p>
    <w:p>
      <w:pPr>
        <w:ind w:left="340" w:hanging="331"/>
        <w:spacing w:after="0" w:line="183" w:lineRule="auto"/>
        <w:tabs>
          <w:tab w:leader="none" w:pos="340" w:val="left"/>
        </w:tabs>
        <w:numPr>
          <w:ilvl w:val="0"/>
          <w:numId w:val="10"/>
        </w:numPr>
        <w:rPr>
          <w:rFonts w:ascii="Arial" w:cs="Arial" w:eastAsia="Arial" w:hAnsi="Arial"/>
          <w:sz w:val="23"/>
          <w:szCs w:val="23"/>
          <w:color w:val="auto"/>
          <w:vertAlign w:val="superscript"/>
        </w:rPr>
      </w:pPr>
      <w:r>
        <w:rPr>
          <w:rFonts w:ascii="Arial" w:cs="Arial" w:eastAsia="Arial" w:hAnsi="Arial"/>
          <w:sz w:val="16"/>
          <w:szCs w:val="16"/>
          <w:color w:val="auto"/>
        </w:rPr>
        <w:t>Non-accrual loans have been included in average portfolio loans.</w:t>
      </w:r>
    </w:p>
    <w:p>
      <w:pPr>
        <w:ind w:left="340" w:right="120" w:hanging="331"/>
        <w:spacing w:after="0" w:line="187" w:lineRule="auto"/>
        <w:tabs>
          <w:tab w:leader="none" w:pos="34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Interest income includes a tax-equivalent adjustment of $1.5 million and $1.1 million for the six months ended June 30, 2019 and 2018, respectively.</w:t>
      </w:r>
    </w:p>
    <w:p>
      <w:pPr>
        <w:spacing w:after="0" w:line="1" w:lineRule="exact"/>
        <w:rPr>
          <w:rFonts w:ascii="Arial" w:cs="Arial" w:eastAsia="Arial" w:hAnsi="Arial"/>
          <w:sz w:val="27"/>
          <w:szCs w:val="27"/>
          <w:color w:val="auto"/>
          <w:vertAlign w:val="superscript"/>
        </w:rPr>
      </w:pPr>
    </w:p>
    <w:p>
      <w:pPr>
        <w:ind w:left="340" w:hanging="331"/>
        <w:spacing w:after="0" w:line="183" w:lineRule="auto"/>
        <w:tabs>
          <w:tab w:leader="none" w:pos="340" w:val="left"/>
        </w:tabs>
        <w:numPr>
          <w:ilvl w:val="0"/>
          <w:numId w:val="10"/>
        </w:numPr>
        <w:rPr>
          <w:rFonts w:ascii="Arial" w:cs="Arial" w:eastAsia="Arial" w:hAnsi="Arial"/>
          <w:sz w:val="23"/>
          <w:szCs w:val="23"/>
          <w:color w:val="auto"/>
          <w:vertAlign w:val="superscript"/>
        </w:rPr>
      </w:pPr>
      <w:r>
        <w:rPr>
          <w:rFonts w:ascii="Arial" w:cs="Arial" w:eastAsia="Arial" w:hAnsi="Arial"/>
          <w:sz w:val="16"/>
          <w:szCs w:val="16"/>
          <w:color w:val="auto"/>
        </w:rPr>
        <w:t>Includes short-term and long-term borrowings. Interest expense includes a non-usage fee on revolving loan.</w:t>
      </w:r>
    </w:p>
    <w:p>
      <w:pPr>
        <w:ind w:left="340" w:hanging="331"/>
        <w:spacing w:after="0" w:line="186" w:lineRule="auto"/>
        <w:tabs>
          <w:tab w:leader="none" w:pos="34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Annualized.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 Assets, Sources of Funds and Net Interest Margin</w:t>
      </w:r>
    </w:p>
    <w:p>
      <w:pPr>
        <w:spacing w:after="0" w:line="266" w:lineRule="exact"/>
        <w:rPr>
          <w:sz w:val="20"/>
          <w:szCs w:val="20"/>
          <w:color w:val="auto"/>
        </w:rPr>
      </w:pPr>
    </w:p>
    <w:p>
      <w:pPr>
        <w:ind w:right="39"/>
        <w:spacing w:after="0"/>
        <w:rPr>
          <w:sz w:val="20"/>
          <w:szCs w:val="20"/>
          <w:color w:val="auto"/>
        </w:rPr>
      </w:pPr>
      <w:r>
        <w:rPr>
          <w:rFonts w:ascii="Arial" w:cs="Arial" w:eastAsia="Arial" w:hAnsi="Arial"/>
          <w:sz w:val="18"/>
          <w:szCs w:val="18"/>
          <w:color w:val="auto"/>
        </w:rPr>
        <w:t>Total average interest-earning assets increased $1.7 billion, or 24.1%, to $8.7 billion for the three months ended June 30, 2019, as compared to $7.0 billion for the same period in 2018. Total average interest-earning assets increased $1.4 billion, or 20.0%, to $8.4 billion for the six months ended June 30, 2019, as compared to $7.0 billion for the same period of 2018. Average loans have increased due to the Banc Ed acquisition and organic growth. Loans generally have notably higher yields compared to interest-bearing bank deposits and investment securities and our loan growth contributed to a positive effect on net interest margin.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Total average interest-bearing liabilities increased $1.3 billion, or 25.4%, to $6.5 billion for the three months ended June 30,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2019 as compared to $5.2 billion for the same period in 2018.  Total average interest-bearing liabilities increased $1.1</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billion, or 21.3%, to $6.3 billion for the six months ended June 30, 2019 as compared to $5.2 billion for the same period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2018. Average noninterest-bearing deposits increased $255.5 million, or 17.1%, to $1.7 billion for the three months ended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June 30, 2019, as compared to $1.5 billion for the same period of 2018. Average noninterest-bearing deposits increased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$188.0 million, or 12.6%, to $1.7 billion for the six months ended June 30, 2019, as compared to $1.5 billion for the same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period of 2018.</w:t>
      </w:r>
    </w:p>
    <w:p>
      <w:pPr>
        <w:spacing w:after="0" w:line="209" w:lineRule="exact"/>
        <w:rPr>
          <w:sz w:val="20"/>
          <w:szCs w:val="20"/>
          <w:color w:val="auto"/>
        </w:rPr>
      </w:pPr>
    </w:p>
    <w:p>
      <w:pPr>
        <w:ind w:right="199"/>
        <w:spacing w:after="0" w:line="272" w:lineRule="auto"/>
        <w:rPr>
          <w:sz w:val="20"/>
          <w:szCs w:val="20"/>
          <w:color w:val="auto"/>
        </w:rPr>
      </w:pPr>
      <w:r>
        <w:rPr>
          <w:rFonts w:ascii="Arial" w:cs="Arial" w:eastAsia="Arial" w:hAnsi="Arial"/>
          <w:sz w:val="16"/>
          <w:szCs w:val="16"/>
          <w:color w:val="auto"/>
        </w:rPr>
        <w:t>Interest income, on a tax-equivalent basis, increased $21.3 million, or 30.1%, to $92.2 million for the three months ended June 30, 2019, compared to $70.9 million in the same period of 2018. Interest income, on a tax-equivalent basis, increased $37.1 million, or 26.5%, to $177.2 million for the six months ended June 30, 2019, compared to $140.1 million in same period of 2018. The interest income increase related primarily to the increase in average loan balances. Interest expense increased during the three months ended June 30, 2019 by $8.0 million to $18.0 million, compared to $10.0 million in the same period of 2018. Interest expense increased during the six months ended June 30, 2019 by $15.1 million to $33.9 million, compared to $18.8 million in the same period of 2018. Funding costs have increased primarily due to resetting of time deposit rates to reflect market rate increases and additional borrowings in conjunction with the Banc Ed acquisition.</w:t>
      </w:r>
    </w:p>
    <w:p>
      <w:pPr>
        <w:spacing w:after="0" w:line="182" w:lineRule="exact"/>
        <w:rPr>
          <w:sz w:val="20"/>
          <w:szCs w:val="20"/>
          <w:color w:val="auto"/>
        </w:rPr>
      </w:pPr>
    </w:p>
    <w:p>
      <w:pPr>
        <w:jc w:val="both"/>
        <w:ind w:right="119"/>
        <w:spacing w:after="0" w:line="270" w:lineRule="auto"/>
        <w:rPr>
          <w:sz w:val="20"/>
          <w:szCs w:val="20"/>
          <w:color w:val="auto"/>
        </w:rPr>
      </w:pPr>
      <w:r>
        <w:rPr>
          <w:rFonts w:ascii="Arial" w:cs="Arial" w:eastAsia="Arial" w:hAnsi="Arial"/>
          <w:sz w:val="17"/>
          <w:szCs w:val="17"/>
          <w:color w:val="auto"/>
        </w:rPr>
        <w:t>Net interest income, on a tax-equivalent basis, increased $13.3 million, or 21.8%, for the three months ended June 30, 2019 as compared to the same period of 2018. Net interest income, on a tax-equivalent basis, increased $22.0 million, or 18.1%, for the six months ended June 30, 2019 as compared to the same period of 2018.</w:t>
      </w:r>
    </w:p>
    <w:p>
      <w:pPr>
        <w:spacing w:after="0" w:line="191" w:lineRule="exact"/>
        <w:rPr>
          <w:sz w:val="20"/>
          <w:szCs w:val="20"/>
          <w:color w:val="auto"/>
        </w:rPr>
      </w:pPr>
    </w:p>
    <w:p>
      <w:pPr>
        <w:ind w:right="259"/>
        <w:spacing w:after="0" w:line="233" w:lineRule="auto"/>
        <w:rPr>
          <w:sz w:val="20"/>
          <w:szCs w:val="20"/>
          <w:color w:val="auto"/>
        </w:rPr>
      </w:pPr>
      <w:r>
        <w:rPr>
          <w:rFonts w:ascii="Arial" w:cs="Arial" w:eastAsia="Arial" w:hAnsi="Arial"/>
          <w:sz w:val="17"/>
          <w:szCs w:val="17"/>
          <w:color w:val="auto"/>
        </w:rPr>
        <w:t>Net interest margin, our net interest income expressed as a percentage of average earning assets stated on a tax-equivalent basis, decreased to 3.43% for the three months ended June 30, 2019, compared to 3.50% for the same period of 2018, and decreased to 3.45% for the six months ended June 30, 2019, compared to 3.50% for the same period of 2018. Net of purchase accounting accretion and amortization,</w:t>
      </w:r>
      <w:r>
        <w:rPr>
          <w:rFonts w:ascii="Arial" w:cs="Arial" w:eastAsia="Arial" w:hAnsi="Arial"/>
          <w:sz w:val="26"/>
          <w:szCs w:val="26"/>
          <w:color w:val="auto"/>
          <w:vertAlign w:val="superscript"/>
        </w:rPr>
        <w:t>(1)</w:t>
      </w:r>
      <w:r>
        <w:rPr>
          <w:rFonts w:ascii="Arial" w:cs="Arial" w:eastAsia="Arial" w:hAnsi="Arial"/>
          <w:sz w:val="17"/>
          <w:szCs w:val="17"/>
          <w:color w:val="auto"/>
        </w:rPr>
        <w:t xml:space="preserve"> the net interest margin for the three months ended June 30, 2019 was 3.27%, a decrease from 3.33% for the same period in 2018, and was 3.29% for the six months ended June 30, 2019, a decrease from 3.32% for the same period of 2018.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quarterly net interest margins were as follows:</w:t>
      </w:r>
    </w:p>
    <w:p>
      <w:pPr>
        <w:spacing w:after="0" w:line="41"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5080" w:type="dxa"/>
            <w:vAlign w:val="bottom"/>
            <w:gridSpan w:val="2"/>
          </w:tcPr>
          <w:p>
            <w:pPr>
              <w:ind w:left="4780"/>
              <w:spacing w:after="0"/>
              <w:rPr>
                <w:sz w:val="20"/>
                <w:szCs w:val="20"/>
                <w:color w:val="auto"/>
              </w:rPr>
            </w:pPr>
            <w:r>
              <w:rPr>
                <w:rFonts w:ascii="Arial" w:cs="Arial" w:eastAsia="Arial" w:hAnsi="Arial"/>
                <w:sz w:val="14"/>
                <w:szCs w:val="14"/>
                <w:b w:val="1"/>
                <w:bCs w:val="1"/>
                <w:color w:val="auto"/>
                <w:w w:val="89"/>
              </w:rPr>
              <w:t>2019</w:t>
            </w:r>
          </w:p>
        </w:tc>
        <w:tc>
          <w:tcPr>
            <w:tcW w:w="820" w:type="dxa"/>
            <w:vAlign w:val="bottom"/>
          </w:tcPr>
          <w:p>
            <w:pPr>
              <w:spacing w:after="0"/>
              <w:rPr>
                <w:sz w:val="16"/>
                <w:szCs w:val="16"/>
                <w:color w:val="auto"/>
              </w:rPr>
            </w:pPr>
          </w:p>
        </w:tc>
        <w:tc>
          <w:tcPr>
            <w:tcW w:w="1340" w:type="dxa"/>
            <w:vAlign w:val="bottom"/>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23"/>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2"/>
              </w:rPr>
              <w:t>3.46 %</w:t>
            </w:r>
          </w:p>
        </w:tc>
        <w:tc>
          <w:tcPr>
            <w:tcW w:w="134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3.51 %</w:t>
            </w: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w w:val="92"/>
              </w:rPr>
              <w:t>3.43 %</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3.50 %</w:t>
            </w:r>
          </w:p>
        </w:tc>
      </w:tr>
      <w:tr>
        <w:trPr>
          <w:trHeight w:val="230"/>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3.41 %</w:t>
            </w: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3.38 %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14408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21" w:lineRule="exact"/>
        <w:rPr>
          <w:sz w:val="20"/>
          <w:szCs w:val="20"/>
          <w:color w:val="auto"/>
        </w:rPr>
      </w:pPr>
    </w:p>
    <w:p>
      <w:pPr>
        <w:ind w:left="340" w:right="59" w:hanging="331"/>
        <w:spacing w:after="0" w:line="210" w:lineRule="auto"/>
        <w:tabs>
          <w:tab w:leader="none" w:pos="340" w:val="left"/>
        </w:tabs>
        <w:numPr>
          <w:ilvl w:val="0"/>
          <w:numId w:val="11"/>
        </w:numPr>
        <w:rPr>
          <w:rFonts w:ascii="Arial" w:cs="Arial" w:eastAsia="Arial" w:hAnsi="Arial"/>
          <w:sz w:val="26"/>
          <w:szCs w:val="26"/>
          <w:color w:val="auto"/>
          <w:vertAlign w:val="superscript"/>
        </w:rPr>
      </w:pPr>
      <w:r>
        <w:rPr>
          <w:rFonts w:ascii="Arial" w:cs="Arial" w:eastAsia="Arial" w:hAnsi="Arial"/>
          <w:sz w:val="17"/>
          <w:szCs w:val="17"/>
          <w:color w:val="auto"/>
        </w:rPr>
        <w:t>For a reconciliation of net interest margin net of purchase accounting accretion and amortization, a non-GAAP financial measure, see “Non-GAAP Financial Information” included in this Quarterly Report on Form 10-Q.</w:t>
      </w:r>
    </w:p>
    <w:p>
      <w:pPr>
        <w:spacing w:after="0" w:line="202" w:lineRule="exact"/>
        <w:rPr>
          <w:sz w:val="20"/>
          <w:szCs w:val="20"/>
          <w:color w:val="auto"/>
        </w:rPr>
      </w:pPr>
    </w:p>
    <w:p>
      <w:pPr>
        <w:ind w:right="79"/>
        <w:spacing w:after="0" w:line="243" w:lineRule="auto"/>
        <w:rPr>
          <w:sz w:val="20"/>
          <w:szCs w:val="20"/>
          <w:color w:val="auto"/>
        </w:rPr>
      </w:pPr>
      <w:r>
        <w:rPr>
          <w:rFonts w:ascii="Arial" w:cs="Arial" w:eastAsia="Arial" w:hAnsi="Arial"/>
          <w:sz w:val="18"/>
          <w:szCs w:val="18"/>
          <w:color w:val="auto"/>
        </w:rPr>
        <w:t>The net interest spread, which represents the difference between the average rate earned on earning assets and the average rate paid on interest-bearing liabilities, was 3.16% for the three months ended June 30, 2019 compared to 3.30% in the same period of 2018, and was 3.17% for the six months ended June 30, 2019, compared to 3.32% for the same period of 2018, each on a tax-equivalent basis.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Management attempts to mitigate the effects of the interest-rate environment through effective portfolio management, prudent loan underwriting and operational efficiencies. Please refer to the Notes to Consolidated Financial Statements in the Company’s 2018 Form 10-K for accounting policies underlying the recognition of interest income and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income </w:t>
      </w: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Six Months Ended June 30,</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88"/>
              <w:spacing w:after="0" w:line="160"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108"/>
              <w:spacing w:after="0" w:line="160"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368"/>
              <w:spacing w:after="0" w:line="160"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108"/>
              <w:spacing w:after="0" w:line="160"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7"/>
              </w:rPr>
              <w:t>Change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100" w:type="dxa"/>
            <w:vAlign w:val="bottom"/>
            <w:gridSpan w:val="2"/>
          </w:tcPr>
          <w:p>
            <w:pPr>
              <w:spacing w:after="0"/>
              <w:rPr>
                <w:sz w:val="20"/>
                <w:szCs w:val="20"/>
                <w:color w:val="auto"/>
              </w:rPr>
            </w:pPr>
            <w:r>
              <w:rPr>
                <w:rFonts w:ascii="Arial" w:cs="Arial" w:eastAsia="Arial" w:hAnsi="Arial"/>
                <w:sz w:val="14"/>
                <w:szCs w:val="14"/>
                <w:color w:val="auto"/>
              </w:rPr>
              <w:t>Fees for customer services</w:t>
            </w:r>
          </w:p>
        </w:tc>
        <w:tc>
          <w:tcPr>
            <w:tcW w:w="2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9,696</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7,290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2,406</w:t>
            </w:r>
          </w:p>
        </w:tc>
        <w:tc>
          <w:tcPr>
            <w:tcW w:w="560" w:type="dxa"/>
            <w:vAlign w:val="bottom"/>
          </w:tcPr>
          <w:p>
            <w:pPr>
              <w:jc w:val="right"/>
              <w:spacing w:after="0"/>
              <w:rPr>
                <w:sz w:val="20"/>
                <w:szCs w:val="20"/>
                <w:color w:val="auto"/>
              </w:rPr>
            </w:pPr>
            <w:r>
              <w:rPr>
                <w:rFonts w:ascii="Arial" w:cs="Arial" w:eastAsia="Arial" w:hAnsi="Arial"/>
                <w:sz w:val="14"/>
                <w:szCs w:val="14"/>
                <w:color w:val="auto"/>
              </w:rPr>
              <w:t>33.0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17,793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14,236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3,557</w:t>
            </w:r>
          </w:p>
        </w:tc>
        <w:tc>
          <w:tcPr>
            <w:tcW w:w="560" w:type="dxa"/>
            <w:vAlign w:val="bottom"/>
          </w:tcPr>
          <w:p>
            <w:pPr>
              <w:jc w:val="right"/>
              <w:spacing w:after="0"/>
              <w:rPr>
                <w:sz w:val="20"/>
                <w:szCs w:val="20"/>
                <w:color w:val="auto"/>
              </w:rPr>
            </w:pPr>
            <w:r>
              <w:rPr>
                <w:rFonts w:ascii="Arial" w:cs="Arial" w:eastAsia="Arial" w:hAnsi="Arial"/>
                <w:sz w:val="14"/>
                <w:szCs w:val="14"/>
                <w:color w:val="auto"/>
              </w:rPr>
              <w:t>25.0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Trust fees</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8,318</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6,735</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1,583</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16,433</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14,249</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2,184</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Commissions and brokers’ fees,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color w:val="auto"/>
              </w:rPr>
              <w:t>1,170</w:t>
            </w:r>
          </w:p>
        </w:tc>
        <w:tc>
          <w:tcPr>
            <w:tcW w:w="260" w:type="dxa"/>
            <w:vAlign w:val="bottom"/>
          </w:tcPr>
          <w:p>
            <w:pPr>
              <w:spacing w:after="0"/>
              <w:rPr>
                <w:sz w:val="15"/>
                <w:szCs w:val="15"/>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color w:val="auto"/>
              </w:rPr>
              <w:t>883</w:t>
            </w:r>
          </w:p>
        </w:tc>
        <w:tc>
          <w:tcPr>
            <w:tcW w:w="140" w:type="dxa"/>
            <w:vAlign w:val="bottom"/>
          </w:tcPr>
          <w:p>
            <w:pPr>
              <w:spacing w:after="0"/>
              <w:rPr>
                <w:sz w:val="15"/>
                <w:szCs w:val="15"/>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287</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32.5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color w:val="auto"/>
              </w:rPr>
              <w:t>2,084</w:t>
            </w:r>
          </w:p>
        </w:tc>
        <w:tc>
          <w:tcPr>
            <w:tcW w:w="240" w:type="dxa"/>
            <w:vAlign w:val="bottom"/>
          </w:tcPr>
          <w:p>
            <w:pPr>
              <w:spacing w:after="0"/>
              <w:rPr>
                <w:sz w:val="15"/>
                <w:szCs w:val="15"/>
                <w:color w:val="auto"/>
              </w:rPr>
            </w:pPr>
          </w:p>
        </w:tc>
        <w:tc>
          <w:tcPr>
            <w:tcW w:w="720" w:type="dxa"/>
            <w:vAlign w:val="bottom"/>
            <w:vMerge w:val="restart"/>
          </w:tcPr>
          <w:p>
            <w:pPr>
              <w:jc w:val="right"/>
              <w:ind w:right="168"/>
              <w:spacing w:after="0"/>
              <w:rPr>
                <w:sz w:val="20"/>
                <w:szCs w:val="20"/>
                <w:color w:val="auto"/>
              </w:rPr>
            </w:pPr>
            <w:r>
              <w:rPr>
                <w:rFonts w:ascii="Arial" w:cs="Arial" w:eastAsia="Arial" w:hAnsi="Arial"/>
                <w:sz w:val="14"/>
                <w:szCs w:val="14"/>
                <w:color w:val="auto"/>
              </w:rPr>
              <w:t>1,979</w:t>
            </w:r>
          </w:p>
        </w:tc>
        <w:tc>
          <w:tcPr>
            <w:tcW w:w="120" w:type="dxa"/>
            <w:vAlign w:val="bottom"/>
          </w:tcPr>
          <w:p>
            <w:pPr>
              <w:spacing w:after="0"/>
              <w:rPr>
                <w:sz w:val="15"/>
                <w:szCs w:val="15"/>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105</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Arial" w:cs="Arial" w:eastAsia="Arial" w:hAnsi="Arial"/>
                <w:sz w:val="14"/>
                <w:szCs w:val="14"/>
                <w:color w:val="auto"/>
              </w:rPr>
              <w:t>net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Remittance processing</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3,717</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3,566</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7,497</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6,958</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539</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Mortgage revenue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2,851</w:t>
            </w:r>
          </w:p>
        </w:tc>
        <w:tc>
          <w:tcPr>
            <w:tcW w:w="260" w:type="dxa"/>
            <w:vAlign w:val="bottom"/>
          </w:tcPr>
          <w:p>
            <w:pPr>
              <w:spacing w:after="0"/>
              <w:rPr>
                <w:sz w:val="15"/>
                <w:szCs w:val="15"/>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1,573</w:t>
            </w:r>
          </w:p>
        </w:tc>
        <w:tc>
          <w:tcPr>
            <w:tcW w:w="14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1,278</w:t>
            </w:r>
          </w:p>
        </w:tc>
        <w:tc>
          <w:tcPr>
            <w:tcW w:w="560" w:type="dxa"/>
            <w:vAlign w:val="bottom"/>
          </w:tcPr>
          <w:p>
            <w:pPr>
              <w:jc w:val="right"/>
              <w:spacing w:after="0"/>
              <w:rPr>
                <w:sz w:val="20"/>
                <w:szCs w:val="20"/>
                <w:color w:val="auto"/>
              </w:rPr>
            </w:pPr>
            <w:r>
              <w:rPr>
                <w:rFonts w:ascii="Arial" w:cs="Arial" w:eastAsia="Arial" w:hAnsi="Arial"/>
                <w:sz w:val="14"/>
                <w:szCs w:val="14"/>
                <w:color w:val="auto"/>
              </w:rPr>
              <w:t>81.2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4,796</w:t>
            </w:r>
          </w:p>
        </w:tc>
        <w:tc>
          <w:tcPr>
            <w:tcW w:w="240" w:type="dxa"/>
            <w:vAlign w:val="bottom"/>
          </w:tcPr>
          <w:p>
            <w:pPr>
              <w:spacing w:after="0"/>
              <w:rPr>
                <w:sz w:val="15"/>
                <w:szCs w:val="15"/>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3,216</w:t>
            </w:r>
          </w:p>
        </w:tc>
        <w:tc>
          <w:tcPr>
            <w:tcW w:w="12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1,580</w:t>
            </w:r>
          </w:p>
        </w:tc>
        <w:tc>
          <w:tcPr>
            <w:tcW w:w="560" w:type="dxa"/>
            <w:vAlign w:val="bottom"/>
          </w:tcPr>
          <w:p>
            <w:pPr>
              <w:jc w:val="right"/>
              <w:spacing w:after="0"/>
              <w:rPr>
                <w:sz w:val="20"/>
                <w:szCs w:val="20"/>
                <w:color w:val="auto"/>
              </w:rPr>
            </w:pPr>
            <w:r>
              <w:rPr>
                <w:rFonts w:ascii="Arial" w:cs="Arial" w:eastAsia="Arial" w:hAnsi="Arial"/>
                <w:sz w:val="14"/>
                <w:szCs w:val="14"/>
                <w:color w:val="auto"/>
              </w:rPr>
              <w:t>49.1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Net (losses) gains on sales of</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160</w:t>
            </w:r>
          </w:p>
        </w:tc>
        <w:tc>
          <w:tcPr>
            <w:tcW w:w="14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(170)</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(106.3)%</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2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(344)</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(215.0)%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securities</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Unrealized (losses) gains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(1,016)</w:t>
            </w:r>
          </w:p>
        </w:tc>
        <w:tc>
          <w:tcPr>
            <w:tcW w:w="260" w:type="dxa"/>
            <w:vAlign w:val="bottom"/>
          </w:tcPr>
          <w:p>
            <w:pPr>
              <w:spacing w:after="0"/>
              <w:rPr>
                <w:sz w:val="15"/>
                <w:szCs w:val="15"/>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w w:val="99"/>
              </w:rPr>
              <w:t>(1,016)</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(800)</w:t>
            </w:r>
          </w:p>
        </w:tc>
        <w:tc>
          <w:tcPr>
            <w:tcW w:w="240" w:type="dxa"/>
            <w:vAlign w:val="bottom"/>
          </w:tcPr>
          <w:p>
            <w:pPr>
              <w:spacing w:after="0"/>
              <w:rPr>
                <w:sz w:val="15"/>
                <w:szCs w:val="15"/>
                <w:color w:val="auto"/>
              </w:rPr>
            </w:pPr>
          </w:p>
        </w:tc>
        <w:tc>
          <w:tcPr>
            <w:tcW w:w="72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(800)</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Arial" w:cs="Arial" w:eastAsia="Arial" w:hAnsi="Arial"/>
                <w:sz w:val="14"/>
                <w:szCs w:val="14"/>
                <w:color w:val="auto"/>
              </w:rPr>
              <w:t>recognized on equity securities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3,170</w:t>
            </w: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2,595</w:t>
            </w: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575</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6,222</w:t>
            </w:r>
          </w:p>
        </w:tc>
        <w:tc>
          <w:tcPr>
            <w:tcW w:w="2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4,490</w:t>
            </w: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1,732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80" w:type="dxa"/>
            <w:vAlign w:val="bottom"/>
          </w:tcPr>
          <w:p>
            <w:pPr>
              <w:ind w:left="200"/>
              <w:spacing w:after="0"/>
              <w:rPr>
                <w:sz w:val="20"/>
                <w:szCs w:val="20"/>
                <w:color w:val="auto"/>
              </w:rPr>
            </w:pPr>
            <w:r>
              <w:rPr>
                <w:rFonts w:ascii="Arial" w:cs="Arial" w:eastAsia="Arial" w:hAnsi="Arial"/>
                <w:sz w:val="14"/>
                <w:szCs w:val="14"/>
                <w:color w:val="auto"/>
              </w:rPr>
              <w:t>Total non-interest income</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27,896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22,802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5,094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53,841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45,288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8,553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Total non-interest income of $27.9 million for the three months ended June 30, 2019 increased by 22.3% as compared to $22.8 million for the same period in 2018. Total non-interest income of $53.8 million for the six months ended June 30, 2019 increased by 18.9% as compared to $45.3 million for the same period in 2018. Revenues from trust fees, commissions and brokers’ fees and remittance processing activities represented 47.3% of the Company’s non-interest income for the quarter ended June 30, 2019, providing a balance to revenue from traditional banking activities.</w:t>
      </w:r>
    </w:p>
    <w:p>
      <w:pPr>
        <w:spacing w:after="0" w:line="188"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Trust fees and commissions and brokers’ fees were $9.5 million for the second quarter of 2019 compared to $7.6 million for the second quarter of 2018. Trust fees and commissions and brokers’ fees were $18.5 million for the six months ended June 30, 2019 compared to $16.2 million for the same period of 2018. The Company’s wealth management division ended the second quarter of 2019 with $9.0 billion in assets under care compared to $7.0 billion in the second quarter of 2018.</w:t>
      </w:r>
    </w:p>
    <w:p>
      <w:pPr>
        <w:spacing w:after="0" w:line="16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Remittance processing revenue from the Company’s subsidiary, FirsTech, of $3.7 million for the second quarter of 2019 increased from $3.6 million for the second quarter of 2018. For the first six months of 2019, remittance processing revenue increased to $7.5 million compared to $7.0 million for the same period of 2018. FirsTech experienced growth from both new clients and expansion of existing clients.</w:t>
      </w:r>
    </w:p>
    <w:p>
      <w:pPr>
        <w:spacing w:after="0" w:line="202" w:lineRule="exact"/>
        <w:rPr>
          <w:sz w:val="20"/>
          <w:szCs w:val="20"/>
          <w:color w:val="auto"/>
        </w:rPr>
      </w:pPr>
    </w:p>
    <w:p>
      <w:pPr>
        <w:jc w:val="both"/>
        <w:ind w:right="500"/>
        <w:spacing w:after="0" w:line="270" w:lineRule="auto"/>
        <w:rPr>
          <w:sz w:val="20"/>
          <w:szCs w:val="20"/>
          <w:color w:val="auto"/>
        </w:rPr>
      </w:pPr>
      <w:r>
        <w:rPr>
          <w:rFonts w:ascii="Arial" w:cs="Arial" w:eastAsia="Arial" w:hAnsi="Arial"/>
          <w:sz w:val="17"/>
          <w:szCs w:val="17"/>
          <w:color w:val="auto"/>
        </w:rPr>
        <w:t>Fees for customer services increased 33.0% and 25.0% for the three and six months ended June 30, 2019, respectively, compared to the same period of 2018 as a result of the Banc Ed acquisition. Evolving regulation, product changes and changing behaviors by our customer base impact fees for customer services.</w:t>
      </w:r>
    </w:p>
    <w:p>
      <w:pPr>
        <w:spacing w:after="0" w:line="17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mortgage line of business generated $2.9 million of revenue in the second quarter of 2019, an increase compared to $1.6 million of revenue in the second quarter of 2018, and increased to $4.8 million for the six months ended June 30, 2019 compared to $3.2 million for the same period of 2018, following a period of restructuring and additional revenue from TheBANK.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expense </w:t>
      </w: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w w:val="94"/>
              </w:rPr>
              <w:t>Six Months Ended June 30,</w:t>
            </w:r>
          </w:p>
        </w:tc>
        <w:tc>
          <w:tcPr>
            <w:tcW w:w="6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jc w:val="right"/>
              <w:ind w:right="268"/>
              <w:spacing w:after="0" w:line="160"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right"/>
              <w:ind w:right="288"/>
              <w:spacing w:after="0" w:line="160"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108"/>
              <w:spacing w:after="0" w:line="160"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9"/>
              </w:rPr>
              <w:t>Change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Salaries, wages and employee</w:t>
            </w:r>
          </w:p>
        </w:tc>
        <w:tc>
          <w:tcPr>
            <w:tcW w:w="2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34,268</w:t>
            </w:r>
          </w:p>
        </w:tc>
        <w:tc>
          <w:tcPr>
            <w:tcW w:w="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25,472</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8,796</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66,609</w:t>
            </w:r>
          </w:p>
        </w:tc>
        <w:tc>
          <w:tcPr>
            <w:tcW w:w="1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54,291</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12,318</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benefits</w:t>
            </w:r>
          </w:p>
        </w:tc>
        <w:tc>
          <w:tcPr>
            <w:tcW w:w="28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4"/>
                <w:szCs w:val="14"/>
                <w:color w:val="auto"/>
              </w:rPr>
              <w:t>Net occupancy expense of</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4,511</w:t>
            </w:r>
          </w:p>
        </w:tc>
        <w:tc>
          <w:tcPr>
            <w:tcW w:w="3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3,689</w:t>
            </w:r>
          </w:p>
        </w:tc>
        <w:tc>
          <w:tcPr>
            <w:tcW w:w="340" w:type="dxa"/>
            <w:vAlign w:val="bottom"/>
          </w:tcPr>
          <w:p>
            <w:pPr>
              <w:spacing w:after="0"/>
              <w:rPr>
                <w:sz w:val="15"/>
                <w:szCs w:val="15"/>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rPr>
              <w:t>822</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22.3</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w w:val="7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8,713</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7,510</w:t>
            </w:r>
          </w:p>
        </w:tc>
        <w:tc>
          <w:tcPr>
            <w:tcW w:w="320" w:type="dxa"/>
            <w:vAlign w:val="bottom"/>
          </w:tcPr>
          <w:p>
            <w:pPr>
              <w:spacing w:after="0"/>
              <w:rPr>
                <w:sz w:val="15"/>
                <w:szCs w:val="15"/>
                <w:color w:val="auto"/>
              </w:rPr>
            </w:pP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color w:val="auto"/>
              </w:rPr>
              <w:t>1,203</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00" w:type="dxa"/>
            <w:vAlign w:val="bottom"/>
          </w:tcPr>
          <w:p>
            <w:pPr>
              <w:ind w:left="100"/>
              <w:spacing w:after="0"/>
              <w:rPr>
                <w:sz w:val="20"/>
                <w:szCs w:val="20"/>
                <w:color w:val="auto"/>
              </w:rPr>
            </w:pPr>
            <w:r>
              <w:rPr>
                <w:rFonts w:ascii="Arial" w:cs="Arial" w:eastAsia="Arial" w:hAnsi="Arial"/>
                <w:sz w:val="14"/>
                <w:szCs w:val="14"/>
                <w:color w:val="auto"/>
              </w:rPr>
              <w:t>premises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w w:val="96"/>
              </w:rPr>
              <w:t>Furniture and equipment expenses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2,352</w:t>
            </w: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4,447</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3,703</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744</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4"/>
                <w:szCs w:val="14"/>
                <w:color w:val="auto"/>
              </w:rPr>
              <w:t>Data processing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5,616</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4,030</w:t>
            </w:r>
          </w:p>
        </w:tc>
        <w:tc>
          <w:tcPr>
            <w:tcW w:w="3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1,586</w:t>
            </w:r>
          </w:p>
        </w:tc>
        <w:tc>
          <w:tcPr>
            <w:tcW w:w="560" w:type="dxa"/>
            <w:vAlign w:val="bottom"/>
          </w:tcPr>
          <w:p>
            <w:pPr>
              <w:jc w:val="right"/>
              <w:spacing w:after="0"/>
              <w:rPr>
                <w:sz w:val="20"/>
                <w:szCs w:val="20"/>
                <w:color w:val="auto"/>
              </w:rPr>
            </w:pPr>
            <w:r>
              <w:rPr>
                <w:rFonts w:ascii="Arial" w:cs="Arial" w:eastAsia="Arial" w:hAnsi="Arial"/>
                <w:sz w:val="14"/>
                <w:szCs w:val="14"/>
                <w:color w:val="auto"/>
              </w:rPr>
              <w:t>39.4</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10,017</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8,375</w:t>
            </w:r>
          </w:p>
        </w:tc>
        <w:tc>
          <w:tcPr>
            <w:tcW w:w="32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1,642</w:t>
            </w:r>
          </w:p>
        </w:tc>
        <w:tc>
          <w:tcPr>
            <w:tcW w:w="580" w:type="dxa"/>
            <w:vAlign w:val="bottom"/>
          </w:tcPr>
          <w:p>
            <w:pPr>
              <w:jc w:val="right"/>
              <w:spacing w:after="0"/>
              <w:rPr>
                <w:sz w:val="20"/>
                <w:szCs w:val="20"/>
                <w:color w:val="auto"/>
              </w:rPr>
            </w:pPr>
            <w:r>
              <w:rPr>
                <w:rFonts w:ascii="Arial" w:cs="Arial" w:eastAsia="Arial" w:hAnsi="Arial"/>
                <w:sz w:val="14"/>
                <w:szCs w:val="14"/>
                <w:color w:val="auto"/>
              </w:rPr>
              <w:t>19.6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intangible assets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922</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3,005</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expense</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18,861</w:t>
            </w: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10,834</w:t>
            </w: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8,027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9"/>
              </w:rPr>
              <w:t>%</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30,891</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21,461</w:t>
            </w: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9,430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non-interest expense</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68,020</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47,305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20,715</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125,183</w:t>
            </w:r>
          </w:p>
        </w:tc>
        <w:tc>
          <w:tcPr>
            <w:tcW w:w="1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98,345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26,838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6,702</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8,749</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w:t>
            </w: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16,287</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17,027</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4"/>
                <w:szCs w:val="14"/>
                <w:color w:val="auto"/>
              </w:rPr>
              <w:t>Effective rate on income taxes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21.8</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w w:val="9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26.0</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w w:val="96"/>
              </w:rPr>
              <w:t>%</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24.7</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26.7</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4"/>
                <w:szCs w:val="14"/>
                <w:color w:val="auto"/>
              </w:rPr>
              <w:t>Efficiency ratio</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63.6</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w w:val="9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54.8</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w w:val="96"/>
              </w:rPr>
              <w:t>%</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60.9</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57.3</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w w:val="98"/>
              </w:rPr>
              <w:t>Full-time equivalent employees as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of period-end</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Total non-interest expense of $68.0 million for the three months ended June 30, 2019 increased as compared to $47.3 million for the same period in 2018. Total non-interest expense of $125.2 million for the six months ended June 30, 2019 increased as compared to $98.3 million for the same period in 2018. The three and six months ended June 30, 2019 reflect increases from the Banc Ed acquisition.</w:t>
      </w:r>
    </w:p>
    <w:p>
      <w:pPr>
        <w:spacing w:after="0" w:line="202"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Salaries, wages and employee benefits increased to $34.3 million for the three months ended June 30, 2019 as compared to $25.5 million for the same period in 2018, and increased to $66.6 million for the six months ended June 30, 2019 as compared to $54.3 million for the same period in 2018. The increases in salaries, wages and employee benefits primarily relates to fluctuations in the number of employees resulting from the Banc Ed acquisition.</w:t>
      </w:r>
    </w:p>
    <w:p>
      <w:pPr>
        <w:spacing w:after="0" w:line="18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Combined net occupancy expense of premises and furniture and equipment expenses were $6.9 million for the three months ended June 30, 2019 and $5.5 million for the three months ended June 30, 2018. Combined net occupancy expense of premises and furniture and equipment expenses were $13.2 million for the six months ended June 30, 2019 and $11.2 million for the six months ended June 30, 2018. The increase is primarily due to TheBANK adding 19 banking centers to our banking center network.</w:t>
      </w:r>
    </w:p>
    <w:p>
      <w:pPr>
        <w:spacing w:after="0" w:line="20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Data processing expense in the second quarter of 2019 of $5.6 million increased compared to $4.0 million in the second quarter of 2018. In the first six months of 2019, data processing expense increased to $10.0 million compared to $8.4 million for the same period of 2018. Variances are related to payment of conversion expenses and data processing related to TheBANK.</w:t>
      </w:r>
    </w:p>
    <w:p>
      <w:pPr>
        <w:spacing w:after="0" w:line="202" w:lineRule="exact"/>
        <w:rPr>
          <w:sz w:val="20"/>
          <w:szCs w:val="20"/>
          <w:color w:val="auto"/>
        </w:rPr>
      </w:pPr>
    </w:p>
    <w:p>
      <w:pPr>
        <w:jc w:val="both"/>
        <w:ind w:right="440"/>
        <w:spacing w:after="0" w:line="294" w:lineRule="auto"/>
        <w:rPr>
          <w:sz w:val="20"/>
          <w:szCs w:val="20"/>
          <w:color w:val="auto"/>
        </w:rPr>
      </w:pPr>
      <w:r>
        <w:rPr>
          <w:rFonts w:ascii="Arial" w:cs="Arial" w:eastAsia="Arial" w:hAnsi="Arial"/>
          <w:sz w:val="16"/>
          <w:szCs w:val="16"/>
          <w:color w:val="auto"/>
        </w:rPr>
        <w:t>Amortization of intangible assets increased to $2.4 million for the three months ended June 30, 2019 compared to $1.5 million for the three months ended June 30, 2018, and increased to $4.5 million for the six months ended June 30, 2019 compared to $3.0 million for the six months ended June 30, 2018, as a result of the Banc Ed acquisition.</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Other expense of $18.9 million for the three months ended June 30, 2019 was an increase compared to $10.8 million for the same period in 2018. Other expense of $30.9 million for the six months ended June 30, 2019 was an increase compared to $21.5 million for the same period in 2018. Variances are across multiple expense categories and include expenses related to acquisitions and other restructuring activities. In addition, included in other expense for the three and six months ended June 30, 2019 is MSR valuation impairment of $1.8 million and lease impairment of $0.4 million.</w:t>
      </w:r>
    </w:p>
    <w:p>
      <w:pPr>
        <w:spacing w:after="0" w:line="18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effective income tax rate of 21.8% and 24.7% for the three and six months ended June 30, 2019, was lower than the combined federal and state statutory rate of approximately 28% due to tax exempt interest income, such as municipal bond interest and bank owned life insurance income, and investments in various federal and state tax credits.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The Company continues to monitor evolving federal and state tax legislation and its potential impact on operations on an ongoing basis. At June 30, 2019, the Company was not under examination by any tax authority.</w:t>
      </w:r>
    </w:p>
    <w:p>
      <w:pPr>
        <w:spacing w:after="0" w:line="161"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color w:val="auto"/>
        </w:rPr>
        <w:t>The efficiency ratio</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is calculated as total non-interest expense, less amortization charges, as a percentage of tax-equivalent net interest income plus non-interest income, less security gains and losses. The efficiency ratio, which is a measure commonly used by management and the banking industry, measures the amount of expense incurred to generate a dollar of revenue. The efficiency ratio was 63.6% in the second quarter of 2019 as compared to 54.8% in the same period of 2018 and the efficiency ratio was 60.9% for the six months ended June 30, 2019 as compared to 57.3% in the comparable period of 2018. Operating costs have been influenced by acquisition, restructuring and other non-recurring items and the adjusted efficiency ratio</w:t>
      </w:r>
      <w:r>
        <w:rPr>
          <w:rFonts w:ascii="Arial" w:cs="Arial" w:eastAsia="Arial" w:hAnsi="Arial"/>
          <w:sz w:val="24"/>
          <w:szCs w:val="24"/>
          <w:color w:val="auto"/>
          <w:vertAlign w:val="superscript"/>
        </w:rPr>
        <w:t>(1)</w:t>
      </w:r>
      <w:r>
        <w:rPr>
          <w:rFonts w:ascii="Arial" w:cs="Arial" w:eastAsia="Arial" w:hAnsi="Arial"/>
          <w:sz w:val="16"/>
          <w:szCs w:val="16"/>
          <w:color w:val="auto"/>
        </w:rPr>
        <w:t>, excluding the impact of such costs, was 56.6% for the quarter ended June 30, 2019 compared to 53.7% for the same period of 2018. The adjusted efficiency ratio</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was 56.5% and 54.6% for the six month periods ended June 30, 2019 and 2018, respectively. While acquisition expenses may have a negative impact on the efficiency ratios, the Company expects to realize operating efficiencies creating a positive impact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14408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17" w:lineRule="exact"/>
        <w:rPr>
          <w:sz w:val="20"/>
          <w:szCs w:val="20"/>
          <w:color w:val="auto"/>
        </w:rPr>
      </w:pPr>
    </w:p>
    <w:p>
      <w:pPr>
        <w:ind w:left="340" w:right="300" w:hanging="331"/>
        <w:spacing w:after="0" w:line="200" w:lineRule="auto"/>
        <w:tabs>
          <w:tab w:leader="none" w:pos="34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For a reconciliation of efficiency ratio and adjusted efficiency ratio, non-GAAP financial measures, see “Non-GAAP Financial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Significant Consolidated Balance Sheet items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w w:val="93"/>
              </w:rPr>
              <w:t>June 30,</w:t>
            </w: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4"/>
              </w:rPr>
              <w:t>$ Change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Debt securities available for sale</w:t>
            </w:r>
          </w:p>
        </w:tc>
        <w:tc>
          <w:tcPr>
            <w:tcW w:w="4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1,848,073</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697,685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1,150,388</w:t>
            </w:r>
          </w:p>
        </w:tc>
        <w:tc>
          <w:tcPr>
            <w:tcW w:w="1040" w:type="dxa"/>
            <w:vAlign w:val="bottom"/>
          </w:tcPr>
          <w:p>
            <w:pPr>
              <w:jc w:val="right"/>
              <w:spacing w:after="0"/>
              <w:rPr>
                <w:sz w:val="20"/>
                <w:szCs w:val="20"/>
                <w:color w:val="auto"/>
              </w:rPr>
            </w:pPr>
            <w:r>
              <w:rPr>
                <w:rFonts w:ascii="Arial" w:cs="Arial" w:eastAsia="Arial" w:hAnsi="Arial"/>
                <w:sz w:val="16"/>
                <w:szCs w:val="16"/>
                <w:color w:val="auto"/>
              </w:rPr>
              <w:t>164.9</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Debt securities held to maturity</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15,708</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608,660</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(592,952)</w:t>
            </w:r>
          </w:p>
        </w:tc>
        <w:tc>
          <w:tcPr>
            <w:tcW w:w="1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Portfolio loans, net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6,480,751</w:t>
            </w:r>
          </w:p>
        </w:tc>
        <w:tc>
          <w:tcPr>
            <w:tcW w:w="34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5,517,780</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962,971</w:t>
            </w:r>
          </w:p>
        </w:tc>
        <w:tc>
          <w:tcPr>
            <w:tcW w:w="1040" w:type="dxa"/>
            <w:vAlign w:val="bottom"/>
          </w:tcPr>
          <w:p>
            <w:pPr>
              <w:jc w:val="right"/>
              <w:spacing w:after="0"/>
              <w:rPr>
                <w:sz w:val="20"/>
                <w:szCs w:val="20"/>
                <w:color w:val="auto"/>
              </w:rPr>
            </w:pPr>
            <w:r>
              <w:rPr>
                <w:rFonts w:ascii="Arial" w:cs="Arial" w:eastAsia="Arial" w:hAnsi="Arial"/>
                <w:sz w:val="16"/>
                <w:szCs w:val="16"/>
                <w:color w:val="auto"/>
              </w:rPr>
              <w:t>17.5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Total assets</w:t>
            </w:r>
          </w:p>
        </w:tc>
        <w:tc>
          <w:tcPr>
            <w:tcW w:w="4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9,612,667</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7,702,357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1,910,310</w:t>
            </w:r>
          </w:p>
        </w:tc>
        <w:tc>
          <w:tcPr>
            <w:tcW w:w="1300" w:type="dxa"/>
            <w:vAlign w:val="bottom"/>
            <w:gridSpan w:val="2"/>
          </w:tcPr>
          <w:p>
            <w:pPr>
              <w:jc w:val="right"/>
              <w:ind w:right="19"/>
              <w:spacing w:after="0"/>
              <w:rPr>
                <w:sz w:val="20"/>
                <w:szCs w:val="20"/>
                <w:color w:val="auto"/>
              </w:rPr>
            </w:pPr>
            <w:r>
              <w:rPr>
                <w:rFonts w:ascii="Arial" w:cs="Arial" w:eastAsia="Arial" w:hAnsi="Arial"/>
                <w:sz w:val="16"/>
                <w:szCs w:val="16"/>
                <w:color w:val="auto"/>
              </w:rPr>
              <w:t>24.8 %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Deposits: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rPr>
                <w:sz w:val="20"/>
                <w:szCs w:val="20"/>
                <w:color w:val="auto"/>
              </w:rPr>
            </w:pPr>
            <w:r>
              <w:rPr>
                <w:rFonts w:ascii="Arial" w:cs="Arial" w:eastAsia="Arial" w:hAnsi="Arial"/>
                <w:sz w:val="16"/>
                <w:szCs w:val="16"/>
                <w:color w:val="auto"/>
              </w:rPr>
              <w:t>Noninterest-bearing</w:t>
            </w:r>
          </w:p>
        </w:tc>
        <w:tc>
          <w:tcPr>
            <w:tcW w:w="4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1,766,681</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1,464,700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301,981</w:t>
            </w:r>
          </w:p>
        </w:tc>
        <w:tc>
          <w:tcPr>
            <w:tcW w:w="1300" w:type="dxa"/>
            <w:vAlign w:val="bottom"/>
            <w:gridSpan w:val="2"/>
          </w:tcPr>
          <w:p>
            <w:pPr>
              <w:jc w:val="right"/>
              <w:ind w:right="19"/>
              <w:spacing w:after="0"/>
              <w:rPr>
                <w:sz w:val="20"/>
                <w:szCs w:val="20"/>
                <w:color w:val="auto"/>
              </w:rPr>
            </w:pPr>
            <w:r>
              <w:rPr>
                <w:rFonts w:ascii="Arial" w:cs="Arial" w:eastAsia="Arial" w:hAnsi="Arial"/>
                <w:sz w:val="16"/>
                <w:szCs w:val="16"/>
                <w:color w:val="auto"/>
              </w:rPr>
              <w:t>20.6 %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Interest-bearing</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6,066,541</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4,784,621</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1,281,920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96"/>
        </w:trPr>
        <w:tc>
          <w:tcPr>
            <w:tcW w:w="3920" w:type="dxa"/>
            <w:vAlign w:val="bottom"/>
            <w:gridSpan w:val="2"/>
          </w:tcPr>
          <w:p>
            <w:pPr>
              <w:spacing w:after="0"/>
              <w:rPr>
                <w:sz w:val="20"/>
                <w:szCs w:val="20"/>
                <w:color w:val="auto"/>
              </w:rPr>
            </w:pPr>
            <w:r>
              <w:rPr>
                <w:rFonts w:ascii="Arial" w:cs="Arial" w:eastAsia="Arial" w:hAnsi="Arial"/>
                <w:sz w:val="16"/>
                <w:szCs w:val="16"/>
                <w:color w:val="auto"/>
              </w:rPr>
              <w:t>Total deposits</w:t>
            </w:r>
          </w:p>
        </w:tc>
        <w:tc>
          <w:tcPr>
            <w:tcW w:w="360" w:type="dxa"/>
            <w:vAlign w:val="bottom"/>
          </w:tcPr>
          <w:p>
            <w:pPr>
              <w:spacing w:after="0"/>
              <w:rPr>
                <w:sz w:val="17"/>
                <w:szCs w:val="17"/>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7,833,222</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6,249,321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1,583,901</w:t>
            </w:r>
          </w:p>
        </w:tc>
        <w:tc>
          <w:tcPr>
            <w:tcW w:w="1300" w:type="dxa"/>
            <w:vAlign w:val="bottom"/>
            <w:gridSpan w:val="2"/>
          </w:tcPr>
          <w:p>
            <w:pPr>
              <w:jc w:val="right"/>
              <w:ind w:right="19"/>
              <w:spacing w:after="0"/>
              <w:rPr>
                <w:sz w:val="20"/>
                <w:szCs w:val="20"/>
                <w:color w:val="auto"/>
              </w:rPr>
            </w:pPr>
            <w:r>
              <w:rPr>
                <w:rFonts w:ascii="Arial" w:cs="Arial" w:eastAsia="Arial" w:hAnsi="Arial"/>
                <w:sz w:val="16"/>
                <w:szCs w:val="16"/>
                <w:color w:val="auto"/>
              </w:rPr>
              <w:t>25.3 %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Securities sold under agreements to repurchase</w:t>
            </w:r>
          </w:p>
        </w:tc>
        <w:tc>
          <w:tcPr>
            <w:tcW w:w="4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190,846</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185,796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5,050</w:t>
            </w:r>
          </w:p>
        </w:tc>
        <w:tc>
          <w:tcPr>
            <w:tcW w:w="1300" w:type="dxa"/>
            <w:vAlign w:val="bottom"/>
            <w:gridSpan w:val="2"/>
          </w:tcPr>
          <w:p>
            <w:pPr>
              <w:jc w:val="right"/>
              <w:ind w:right="19"/>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Short-term borrowings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30,761</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30,761</w:t>
            </w:r>
          </w:p>
        </w:tc>
        <w:tc>
          <w:tcPr>
            <w:tcW w:w="1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Long-term debt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86,772</w:t>
            </w:r>
          </w:p>
        </w:tc>
        <w:tc>
          <w:tcPr>
            <w:tcW w:w="34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50,000</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36,772</w:t>
            </w:r>
          </w:p>
        </w:tc>
        <w:tc>
          <w:tcPr>
            <w:tcW w:w="1300" w:type="dxa"/>
            <w:vAlign w:val="bottom"/>
            <w:gridSpan w:val="2"/>
          </w:tcPr>
          <w:p>
            <w:pPr>
              <w:jc w:val="right"/>
              <w:ind w:right="19"/>
              <w:spacing w:after="0"/>
              <w:rPr>
                <w:sz w:val="20"/>
                <w:szCs w:val="20"/>
                <w:color w:val="auto"/>
              </w:rPr>
            </w:pPr>
            <w:r>
              <w:rPr>
                <w:rFonts w:ascii="Arial" w:cs="Arial" w:eastAsia="Arial" w:hAnsi="Arial"/>
                <w:sz w:val="16"/>
                <w:szCs w:val="16"/>
                <w:color w:val="auto"/>
              </w:rPr>
              <w:t>73.5 %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Senior notes, net of unamortized issuance costs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39,607</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39,539</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w w:val="99"/>
              </w:rPr>
              <w:t>Subordinated notes, net of unamortized issuance costs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59,197</w:t>
            </w:r>
          </w:p>
        </w:tc>
        <w:tc>
          <w:tcPr>
            <w:tcW w:w="34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59,147</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w w:val="98"/>
              </w:rPr>
              <w:t>Junior subordinated debt owed to unconsolidated trusts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71,230</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71,155</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4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8,409,059</w:t>
            </w:r>
          </w:p>
        </w:tc>
        <w:tc>
          <w:tcPr>
            <w:tcW w:w="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6,707,393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1,701,666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4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1,203,608</w:t>
            </w:r>
          </w:p>
        </w:tc>
        <w:tc>
          <w:tcPr>
            <w:tcW w:w="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994,964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208,644</w:t>
            </w:r>
          </w:p>
        </w:tc>
        <w:tc>
          <w:tcPr>
            <w:tcW w:w="1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21.0 %</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Loans</w:t>
      </w:r>
    </w:p>
    <w:p>
      <w:pPr>
        <w:spacing w:after="0" w:line="225"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The Company believes that making sound loans is a necessary and desirable means of employing funds available for investment. Authorized personnel are expected to make sound, profitable loans that resources permit and that opportunity affords. The Company maintains lending policies and procedures designed to focus lending efforts on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types, locations and duration of loans most appropriate for its business model and markets. While not specifically limited, the Company attempts to focus its lending on short to intermediate-term (0-7 years) loans in geographic areas within 125 miles of its lending offices. Loans originated outside of these areas are generally residential mortgage loans originated for sale in the secondary market or are loans to existing customers of the banks. The Company attempts to utilize government-assisted lending programs, such as the Small Business Administration and United States Department of Agriculture lending programs, when prudent. Generally, loans are collateralized by assets, primarily real estate, of the borrowers and guaranteed by individuals. The loans are expected to be repaid primarily from cash flows of the borrowers or from proceeds from the sale of selected assets of the borrowers.</w:t>
      </w:r>
    </w:p>
    <w:p>
      <w:pPr>
        <w:spacing w:after="0" w:line="195"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Management reviews and approves the Company’s lending policies and procedures on a routine basis. Management routinely (at least quarterly) reviews the Company’s allowance for loan losses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Additional significant underwriting factors beyond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8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At no time is a borrower’s total borrowing relationship permitted to exceed the Company’s regulatory lending limit.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20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The Company’s lending activities can be summarized into five primary areas: commercial loans, commercial real estate loans, real estate construction loans, retail real estate loans, and retail other loans. A description of each of the lending areas can be found in the Company’s 2018 Form 10-K. The significant majority of the Company’s portfolio lending activity occurs in its Illinois and Missouri markets, with the remainder in the Indiana and Florida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Geographic distributions of portfolio loans by category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June 30, 2019</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Illinois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Missouri</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Florida</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Indiana</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2"/>
              </w:rPr>
              <w:t>1,185,675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438,141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15,991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28,291</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1,668,098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w w:val="92"/>
              </w:rPr>
              <w:t>1,766,237</w:t>
            </w: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557,318</w:t>
            </w:r>
          </w:p>
        </w:tc>
        <w:tc>
          <w:tcPr>
            <w:tcW w:w="28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154,533</w:t>
            </w:r>
          </w:p>
        </w:tc>
        <w:tc>
          <w:tcPr>
            <w:tcW w:w="28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183,817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2,661,905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175,619</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141,991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28,997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82,719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w w:val="92"/>
              </w:rPr>
              <w:t>1,136,955</w:t>
            </w: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449,793</w:t>
            </w:r>
          </w:p>
        </w:tc>
        <w:tc>
          <w:tcPr>
            <w:tcW w:w="28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101,623</w:t>
            </w:r>
          </w:p>
        </w:tc>
        <w:tc>
          <w:tcPr>
            <w:tcW w:w="28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32,999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1,721,370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47,597</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1,601</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1,481</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51,427</w:t>
            </w: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Portfolio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w w:val="92"/>
              </w:rPr>
              <w:t>4,312,083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w w:val="94"/>
              </w:rPr>
              <w:t>1,588,844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302,625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328,574</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6,532,126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 2018</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Illinois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Missouri</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Florida</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Indiana</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972,072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394,043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17,954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21,037</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w w:val="92"/>
              </w:rPr>
              <w:t>1,448,937</w:t>
            </w: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579,536</w:t>
            </w:r>
          </w:p>
        </w:tc>
        <w:tc>
          <w:tcPr>
            <w:tcW w:w="22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158,337</w:t>
            </w:r>
          </w:p>
        </w:tc>
        <w:tc>
          <w:tcPr>
            <w:tcW w:w="30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w w:val="98"/>
              </w:rPr>
              <w:t>180,013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2,366,823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78,489</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122,385</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17,859</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69,464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874,910</w:t>
            </w: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475,739</w:t>
            </w:r>
          </w:p>
        </w:tc>
        <w:tc>
          <w:tcPr>
            <w:tcW w:w="22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102,117</w:t>
            </w:r>
          </w:p>
        </w:tc>
        <w:tc>
          <w:tcPr>
            <w:tcW w:w="30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27,367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1,480,133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24,849</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1,294</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1,455</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28,169</w:t>
            </w: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Portfolio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w w:val="92"/>
              </w:rPr>
              <w:t>3,399,257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w w:val="94"/>
              </w:rPr>
              <w:t>1,572,997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297,722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w w:val="98"/>
              </w:rPr>
              <w:t>298,452</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5,568,428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Portfolio loans increased $963.7 million, or 17.3%, as of June 30, 2019 compared to December 31, 2018, primarily due to the Banc Ed acquisition. Commercial balances (consisting of commercial, commercial real estate and real estate construction loans) increased $699.2 million from December 31, 2018. Retail real estate and retail other loans increased $264.5 million from December 31,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Company recorded net charge-offs of $2.1 million for the second quarter of 2019 and $3.9 million for the six months ended June 30, 2019. The allowance for loan loss as a percentage of portfolio loans was 0.79% at June 30, 2019 as compared to 0.78% at March 31, 2019 and 0.91% at December 31, 2018. The decline in the allowance coverage ratio in 2019 is primarily attributed to the Banc Ed acquisition. Acquired loans are initially recorded at their acquisition date fair value so a separate allowance is not initially recognized. An allowance is recorded subsequent to acquisition to the extent the reserve requirement exceeds the recorded fair value adjustment.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a write-off is charged against the allowance for loan losses. We continue to attempt to identify problem loan situations on a proactive basis. Once problem loans are identified, adjustments to the provision for loan losses are made based upon all information available at that time.</w:t>
      </w:r>
    </w:p>
    <w:p>
      <w:pPr>
        <w:spacing w:after="0" w:line="17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provision for loan losses was $2.5 million and $2.3 million for the three months ended June 30, 2019 and 2018, respectively, and was $4.6 million and $3.3 million for the six months ended June 30, 2019 and 2018, respectively. As a result of acquisitions, the Company is holding acquired loans that are carried net of a fair value adjustment for credit and interest rate marks and are only included in the allowance calculation to the extent that the reserve requirement exceeds the fair value adjustment. However, as the acquired loans renew and as the Company originates new loan production, it is necessary to establish an allowance for loan losses, which represents an amount that, in management’s opinion, will be adequate to absorb probable credit losses.</w:t>
      </w:r>
    </w:p>
    <w:p>
      <w:pPr>
        <w:spacing w:after="0" w:line="20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73"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Typically, loans are collateral dependent. When a collateral dependent loan is classified as non-accrual it is charged down through the allowance for loan losses to the fair value of our interest in the underlying collateral less estimated costs to sell. Our loan portfolio is collateralized primarily by real estate.</w:t>
      </w:r>
    </w:p>
    <w:p>
      <w:pPr>
        <w:spacing w:after="0" w:line="196" w:lineRule="exact"/>
        <w:rPr>
          <w:sz w:val="20"/>
          <w:szCs w:val="20"/>
          <w:color w:val="auto"/>
        </w:rPr>
      </w:pPr>
    </w:p>
    <w:p>
      <w:pPr>
        <w:ind w:right="420"/>
        <w:spacing w:after="0" w:line="251" w:lineRule="auto"/>
        <w:rPr>
          <w:sz w:val="20"/>
          <w:szCs w:val="20"/>
          <w:color w:val="auto"/>
        </w:rPr>
      </w:pPr>
      <w:r>
        <w:rPr>
          <w:rFonts w:ascii="Arial" w:cs="Arial" w:eastAsia="Arial" w:hAnsi="Arial"/>
          <w:sz w:val="18"/>
          <w:szCs w:val="18"/>
          <w:color w:val="auto"/>
        </w:rPr>
        <w:t xml:space="preserve">The following table sets forth information concerning non-performing loans as of each of the dates indicated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373"/>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140" w:type="dxa"/>
            <w:vAlign w:val="bottom"/>
          </w:tcPr>
          <w:p>
            <w:pPr>
              <w:jc w:val="right"/>
              <w:ind w:right="213"/>
              <w:spacing w:after="0"/>
              <w:rPr>
                <w:sz w:val="20"/>
                <w:szCs w:val="20"/>
                <w:color w:val="auto"/>
              </w:rPr>
            </w:pPr>
            <w:r>
              <w:rPr>
                <w:rFonts w:ascii="Arial" w:cs="Arial" w:eastAsia="Arial" w:hAnsi="Arial"/>
                <w:sz w:val="14"/>
                <w:szCs w:val="14"/>
                <w:b w:val="1"/>
                <w:bCs w:val="1"/>
                <w:color w:val="auto"/>
                <w:w w:val="90"/>
              </w:rPr>
              <w:t>December 31,</w:t>
            </w:r>
          </w:p>
        </w:tc>
        <w:tc>
          <w:tcPr>
            <w:tcW w:w="13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32,816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36,230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34,997</w:t>
            </w: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40,395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Loans 90+ days past due and still accruing</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258</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1,601</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33,074</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36,586</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36,598</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40,759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936</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376</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34,010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37,507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36,974</w:t>
            </w:r>
          </w:p>
        </w:tc>
        <w:tc>
          <w:tcPr>
            <w:tcW w:w="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41,852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51,375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50,915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50,648</w:t>
            </w: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52,743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Allowance for loan losses to portfolio loans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0.79 %</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0.78 %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0.91 %</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155.3 %</w:t>
            </w:r>
          </w:p>
        </w:tc>
        <w:tc>
          <w:tcPr>
            <w:tcW w:w="18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139.2 %</w:t>
            </w:r>
          </w:p>
        </w:tc>
        <w:tc>
          <w:tcPr>
            <w:tcW w:w="12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138.4 %</w:t>
            </w:r>
          </w:p>
        </w:tc>
        <w:tc>
          <w:tcPr>
            <w:tcW w:w="28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loans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Non-performing loans to portfolio loans, before</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0.5 %</w:t>
            </w:r>
          </w:p>
        </w:tc>
        <w:tc>
          <w:tcPr>
            <w:tcW w:w="18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0.7 %</w:t>
            </w:r>
          </w:p>
        </w:tc>
        <w:tc>
          <w:tcPr>
            <w:tcW w:w="28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allowance for loan losses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to portfolio loans and</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8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28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OREO, before allowance for loan losses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Total non-performing assets were $34.0 million at June 30, 2019, compared to $37.0 million at December 31, 2018. Non-performing assets as a percentage of portfolio loans and OREO continued to be favorably low at 0.5% on June 30, 2019. Asset quality metrics can be generally influenced by market-specific economic conditions beyond the control of the Company, and specific measures may fluctuate from quarter to quarter.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ind w:right="320"/>
        <w:spacing w:after="0" w:line="274" w:lineRule="auto"/>
        <w:rPr>
          <w:sz w:val="20"/>
          <w:szCs w:val="20"/>
          <w:color w:val="auto"/>
        </w:rPr>
      </w:pPr>
      <w:r>
        <w:rPr>
          <w:rFonts w:ascii="Arial" w:cs="Arial" w:eastAsia="Arial" w:hAnsi="Arial"/>
          <w:sz w:val="16"/>
          <w:szCs w:val="16"/>
          <w:color w:val="auto"/>
        </w:rPr>
        <w:t>Potential problem loans are those loans which are not categorized as impaired, restructured, non-accrual or 90+ days past due, but where current information indicates that the borrower may not be able to comply with loan repayment</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terms. Management assesses the potential for loss on such loans and considers the effect of any potential loss in determining its provision for probable loan losses. Potential problem loans totaled $79.2 million at June 30, 2019, compared to $70.9 million at December 31, 2018. Management continues to monitor these credits and anticipates that restructurings, guarantees, additional collateral or other planned actions will result in full repayment of the debts. As of June 30, 2019, management identified no other loans that represent or result from trends or uncertainties which would be expected to materially impact future operating results, liquidity or capital resources.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The balances of these assets are dependent on the Company’s operating, investing, lending, and financing activities during any given period.</w:t>
      </w:r>
    </w:p>
    <w:p>
      <w:pPr>
        <w:spacing w:after="0" w:line="189"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First Busey’s primary sources of funds consist of deposits, investment maturities and sales, loan principal repayments, and capital funds. Additional liquidity is provided by the ability to borrow from the FHLB, the Federal Reserve, First Busey’s revolving facility, or to utilize brokered deposits. As of June 30, 2019, the Company had additional capacity to borrow from the FHLB and Federal Reserve of $1.1 billion and $470.1 million, respectively. Additionally, the Company has an unused revolving facility of $20.0 million.</w:t>
      </w:r>
    </w:p>
    <w:p>
      <w:pPr>
        <w:spacing w:after="0" w:line="20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As of June 30, 2019,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banks routinely enter into commitments to extend credit and standby letters of credit in the normal course of business to meet the financing needs of its customers. As of June 30, 2019 and December 31, 2018, we had outstanding loan commitments and standby letters of credit of $1.6 billion and $1.4 billion, respectively. The balance of commitments to extend credit represents future cash requirements and some of these commitments may expire without being drawn</w:t>
      </w:r>
    </w:p>
    <w:p>
      <w:pPr>
        <w:spacing w:after="0" w:line="1"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upon. We anticipate we will have sufficient funds available to meet current loan commitments, including loan applications received and in process prior to the issuance of firm commitments.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 holding companies and their subsidiary banks are required to maintain, including the capital conservation buffer, a total capital to total risk-weighted asset ratio of not less than 10.50%, Tier 1 capital to total risk-weighted asset ratio of not less than 8.50%, Common Equity Tier 1 capital to total risk-weighted asset ratio of not less than 7.0% and a Tier 1 leverage ratio of not less than 4.00%. The Basel III Rule was fully phased-in on January 1, 2019. See “Note 11: Regulatory Capital” for ratios and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This Quarterly Report on Form 10-Q contains certain financial information determined by methods other than in accordance with GAAP. These measures include adjusted net income, adjusted return on average assets, adjusted net interest margin, adjusted efficiency ratio, tangible common equity, tangible common equity to tangible assets and adjusted return on average tangible common equity. Management uses these non-GAAP measures, together with the related GAAP measures, to analyze the Company’s performance and to make business decisions. Management also uses these measures for peer comparisons.</w:t>
      </w:r>
    </w:p>
    <w:p>
      <w:pPr>
        <w:spacing w:after="0" w:line="173"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color w:val="auto"/>
        </w:rPr>
        <w:t>A reconciliation to what management believes to be the most direct compared GAAP financial measures, for example, net income in the case of adjusted net income and adjusted return on average assets, total net interest income, total non-interest income and total non-interest expense in the case of adjusted efficiency ratio and total stockholders’ equity in the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case of the tangible book value per share, appears below. The Company believes each of the adjusted measures is useful for investors and management to understand the effects of certain non-recurring non-interest items and provides additional perspective on the Company’s performance over time as well as comparison to the Company’s peers.</w:t>
      </w:r>
    </w:p>
    <w:p>
      <w:pPr>
        <w:spacing w:after="0" w:line="17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w:t>
      </w:r>
    </w:p>
    <w:p>
      <w:pPr>
        <w:spacing w:after="0" w:line="202"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u w:val="single" w:color="auto"/>
          <w:color w:val="auto"/>
        </w:rPr>
        <w:t xml:space="preserve">Reconciliation of Non-GAAP Financial Measures — Adjusted Net Income and Return on Average Assets </w:t>
      </w:r>
      <w:r>
        <w:rPr>
          <w:rFonts w:ascii="Arial" w:cs="Arial" w:eastAsia="Arial" w:hAnsi="Arial"/>
          <w:sz w:val="18"/>
          <w:szCs w:val="18"/>
          <w:i w:val="1"/>
          <w:i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88"/>
              <w:spacing w:after="0" w:line="160" w:lineRule="exact"/>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3"/>
                <w:szCs w:val="13"/>
                <w:color w:val="auto"/>
              </w:rPr>
            </w:pPr>
          </w:p>
        </w:tc>
        <w:tc>
          <w:tcPr>
            <w:tcW w:w="900" w:type="dxa"/>
            <w:vAlign w:val="bottom"/>
          </w:tcPr>
          <w:p>
            <w:pPr>
              <w:jc w:val="center"/>
              <w:ind w:right="88"/>
              <w:spacing w:after="0" w:line="160" w:lineRule="exact"/>
              <w:rPr>
                <w:sz w:val="20"/>
                <w:szCs w:val="20"/>
                <w:color w:val="auto"/>
              </w:rPr>
            </w:pPr>
            <w:r>
              <w:rPr>
                <w:rFonts w:ascii="Arial" w:cs="Arial" w:eastAsia="Arial" w:hAnsi="Arial"/>
                <w:sz w:val="14"/>
                <w:szCs w:val="14"/>
                <w:b w:val="1"/>
                <w:bCs w:val="1"/>
                <w:color w:val="auto"/>
                <w:w w:val="95"/>
              </w:rPr>
              <w:t>March 31,</w:t>
            </w:r>
          </w:p>
        </w:tc>
        <w:tc>
          <w:tcPr>
            <w:tcW w:w="360" w:type="dxa"/>
            <w:vAlign w:val="bottom"/>
          </w:tcPr>
          <w:p>
            <w:pPr>
              <w:spacing w:after="0"/>
              <w:rPr>
                <w:sz w:val="13"/>
                <w:szCs w:val="13"/>
                <w:color w:val="auto"/>
              </w:rPr>
            </w:pPr>
          </w:p>
        </w:tc>
        <w:tc>
          <w:tcPr>
            <w:tcW w:w="880" w:type="dxa"/>
            <w:vAlign w:val="bottom"/>
          </w:tcPr>
          <w:p>
            <w:pPr>
              <w:jc w:val="right"/>
              <w:ind w:right="188"/>
              <w:spacing w:after="0" w:line="160"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128"/>
              <w:spacing w:after="0" w:line="160" w:lineRule="exact"/>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3"/>
                <w:szCs w:val="13"/>
                <w:color w:val="auto"/>
              </w:rPr>
            </w:pPr>
          </w:p>
        </w:tc>
        <w:tc>
          <w:tcPr>
            <w:tcW w:w="860" w:type="dxa"/>
            <w:vAlign w:val="bottom"/>
          </w:tcPr>
          <w:p>
            <w:pPr>
              <w:jc w:val="right"/>
              <w:ind w:right="148"/>
              <w:spacing w:after="0" w:line="160"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2019</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24,085</w:t>
            </w:r>
          </w:p>
        </w:tc>
        <w:tc>
          <w:tcPr>
            <w:tcW w:w="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25,469</w:t>
            </w: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24,862</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49,554</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46,779</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Acquisition expenses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Salaries, wages, and employee</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4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benefits</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ind w:left="100"/>
              <w:spacing w:after="0"/>
              <w:rPr>
                <w:sz w:val="20"/>
                <w:szCs w:val="20"/>
                <w:color w:val="auto"/>
              </w:rPr>
            </w:pPr>
            <w:r>
              <w:rPr>
                <w:rFonts w:ascii="Arial" w:cs="Arial" w:eastAsia="Arial" w:hAnsi="Arial"/>
                <w:sz w:val="14"/>
                <w:szCs w:val="14"/>
                <w:color w:val="auto"/>
              </w:rPr>
              <w:t>Data processing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327</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334</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(includes professional and</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3,293</w:t>
            </w: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4,498</w:t>
            </w:r>
          </w:p>
        </w:tc>
        <w:tc>
          <w:tcPr>
            <w:tcW w:w="4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2,057</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legal)</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ind w:left="100"/>
              <w:spacing w:after="0"/>
              <w:rPr>
                <w:sz w:val="20"/>
                <w:szCs w:val="20"/>
                <w:color w:val="auto"/>
              </w:rPr>
            </w:pPr>
            <w:r>
              <w:rPr>
                <w:rFonts w:ascii="Arial" w:cs="Arial" w:eastAsia="Arial" w:hAnsi="Arial"/>
                <w:sz w:val="14"/>
                <w:szCs w:val="14"/>
                <w:color w:val="auto"/>
              </w:rPr>
              <w:t>Lease impairment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415</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415</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Other restructuring costs</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ind w:left="100"/>
              <w:spacing w:after="0"/>
              <w:rPr>
                <w:sz w:val="20"/>
                <w:szCs w:val="20"/>
                <w:color w:val="auto"/>
              </w:rPr>
            </w:pPr>
            <w:r>
              <w:rPr>
                <w:rFonts w:ascii="Arial" w:cs="Arial" w:eastAsia="Arial" w:hAnsi="Arial"/>
                <w:sz w:val="14"/>
                <w:szCs w:val="14"/>
                <w:color w:val="auto"/>
              </w:rPr>
              <w:t>Salaries, wages, and employee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275</w:t>
            </w: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275</w:t>
            </w:r>
          </w:p>
        </w:tc>
        <w:tc>
          <w:tcPr>
            <w:tcW w:w="4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417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tcPr>
          <w:p>
            <w:pPr>
              <w:ind w:left="200"/>
              <w:spacing w:after="0"/>
              <w:rPr>
                <w:sz w:val="20"/>
                <w:szCs w:val="20"/>
                <w:color w:val="auto"/>
              </w:rPr>
            </w:pPr>
            <w:r>
              <w:rPr>
                <w:rFonts w:ascii="Arial" w:cs="Arial" w:eastAsia="Arial" w:hAnsi="Arial"/>
                <w:sz w:val="14"/>
                <w:szCs w:val="14"/>
                <w:color w:val="auto"/>
              </w:rPr>
              <w:t>benefits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Data processing</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ind w:left="100"/>
              <w:spacing w:after="0"/>
              <w:rPr>
                <w:sz w:val="20"/>
                <w:szCs w:val="20"/>
                <w:color w:val="auto"/>
              </w:rPr>
            </w:pPr>
            <w:r>
              <w:rPr>
                <w:rFonts w:ascii="Arial" w:cs="Arial" w:eastAsia="Arial" w:hAnsi="Arial"/>
                <w:sz w:val="14"/>
                <w:szCs w:val="14"/>
                <w:color w:val="auto"/>
              </w:rPr>
              <w:t>Fixed asset impairment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(includes professional and</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826</w:t>
            </w: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4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legal)</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MSR valuation impairment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1,822</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1,822</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Related tax benefit</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w:t>
            </w: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3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20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(2,214)</w:t>
            </w:r>
          </w:p>
        </w:tc>
        <w:tc>
          <w:tcPr>
            <w:tcW w:w="4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(1,197)</w:t>
            </w:r>
          </w:p>
        </w:tc>
        <w:tc>
          <w:tcPr>
            <w:tcW w:w="2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20" w:type="dxa"/>
            <w:vAlign w:val="bottom"/>
            <w:gridSpan w:val="2"/>
          </w:tcPr>
          <w:p>
            <w:pPr>
              <w:spacing w:after="0"/>
              <w:rPr>
                <w:sz w:val="20"/>
                <w:szCs w:val="20"/>
                <w:color w:val="auto"/>
              </w:rPr>
            </w:pPr>
            <w:r>
              <w:rPr>
                <w:rFonts w:ascii="Arial" w:cs="Arial" w:eastAsia="Arial" w:hAnsi="Arial"/>
                <w:sz w:val="14"/>
                <w:szCs w:val="14"/>
                <w:color w:val="auto"/>
              </w:rPr>
              <w:t>Adjusted net income</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29,498</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26,614</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25,590</w:t>
            </w:r>
          </w:p>
        </w:tc>
        <w:tc>
          <w:tcPr>
            <w:tcW w:w="2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56,112</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50,512</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4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Average total assets</w:t>
            </w:r>
          </w:p>
        </w:tc>
        <w:tc>
          <w:tcPr>
            <w:tcW w:w="38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9,522,678</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8,865,642</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7,653,541</w:t>
            </w:r>
          </w:p>
        </w:tc>
        <w:tc>
          <w:tcPr>
            <w:tcW w:w="200" w:type="dxa"/>
            <w:vAlign w:val="bottom"/>
          </w:tcPr>
          <w:p>
            <w:pPr>
              <w:spacing w:after="0"/>
              <w:rPr>
                <w:sz w:val="15"/>
                <w:szCs w:val="15"/>
                <w:color w:val="auto"/>
              </w:rPr>
            </w:pPr>
          </w:p>
        </w:tc>
        <w:tc>
          <w:tcPr>
            <w:tcW w:w="4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9,198,975</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7,658,691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00" w:type="dxa"/>
            <w:vAlign w:val="bottom"/>
          </w:tcPr>
          <w:p>
            <w:pPr>
              <w:spacing w:after="0" w:line="176" w:lineRule="exact"/>
              <w:rPr>
                <w:sz w:val="20"/>
                <w:szCs w:val="20"/>
                <w:color w:val="auto"/>
              </w:rPr>
            </w:pPr>
            <w:r>
              <w:rPr>
                <w:rFonts w:ascii="Arial" w:cs="Arial" w:eastAsia="Arial" w:hAnsi="Arial"/>
                <w:sz w:val="14"/>
                <w:szCs w:val="14"/>
                <w:b w:val="1"/>
                <w:bCs w:val="1"/>
                <w:color w:val="auto"/>
                <w:w w:val="96"/>
              </w:rPr>
              <w:t>Reported</w:t>
            </w:r>
            <w:r>
              <w:rPr>
                <w:rFonts w:ascii="Arial" w:cs="Arial" w:eastAsia="Arial" w:hAnsi="Arial"/>
                <w:sz w:val="14"/>
                <w:szCs w:val="14"/>
                <w:color w:val="auto"/>
                <w:w w:val="96"/>
              </w:rPr>
              <w:t>: Return on average assets</w:t>
            </w:r>
            <w:r>
              <w:rPr>
                <w:rFonts w:ascii="Arial" w:cs="Arial" w:eastAsia="Arial" w:hAnsi="Arial"/>
                <w:sz w:val="20"/>
                <w:szCs w:val="20"/>
                <w:color w:val="auto"/>
                <w:w w:val="96"/>
                <w:vertAlign w:val="superscript"/>
              </w:rPr>
              <w:t>(1)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1.17</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1.09</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w w:val="79"/>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1.23</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shd w:val="clear" w:color="auto" w:fill="CCEEFF"/>
          </w:tcPr>
          <w:p>
            <w:pPr>
              <w:spacing w:after="0" w:line="176" w:lineRule="exact"/>
              <w:rPr>
                <w:sz w:val="20"/>
                <w:szCs w:val="20"/>
                <w:color w:val="auto"/>
              </w:rPr>
            </w:pPr>
            <w:r>
              <w:rPr>
                <w:rFonts w:ascii="Arial" w:cs="Arial" w:eastAsia="Arial" w:hAnsi="Arial"/>
                <w:sz w:val="14"/>
                <w:szCs w:val="14"/>
                <w:b w:val="1"/>
                <w:bCs w:val="1"/>
                <w:color w:val="auto"/>
                <w:w w:val="97"/>
              </w:rPr>
              <w:t>Adjusted</w:t>
            </w:r>
            <w:r>
              <w:rPr>
                <w:rFonts w:ascii="Arial" w:cs="Arial" w:eastAsia="Arial" w:hAnsi="Arial"/>
                <w:sz w:val="14"/>
                <w:szCs w:val="14"/>
                <w:color w:val="auto"/>
                <w:w w:val="97"/>
              </w:rPr>
              <w:t>: Return on average assets</w:t>
            </w:r>
            <w:r>
              <w:rPr>
                <w:rFonts w:ascii="Arial" w:cs="Arial" w:eastAsia="Arial" w:hAnsi="Arial"/>
                <w:sz w:val="20"/>
                <w:szCs w:val="20"/>
                <w:color w:val="auto"/>
                <w:w w:val="97"/>
                <w:vertAlign w:val="superscript"/>
              </w:rPr>
              <w:t>(1)</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Annualized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-146685</wp:posOffset>
            </wp:positionV>
            <wp:extent cx="5746115" cy="111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46115" cy="11176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Reconciliation of Non-GAAP Financial Measures — Adjusted Net Interest Margin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ectPr>
          <w:pgSz w:w="11900" w:h="16838" w:orient="portrait"/>
          <w:cols w:equalWidth="0" w:num="1">
            <w:col w:w="9060"/>
          </w:cols>
          <w:pgMar w:left="1420" w:top="53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Reported</w:t>
      </w:r>
      <w:r>
        <w:rPr>
          <w:rFonts w:ascii="Arial" w:cs="Arial" w:eastAsia="Arial" w:hAnsi="Arial"/>
          <w:sz w:val="13"/>
          <w:szCs w:val="13"/>
          <w:color w:val="auto"/>
        </w:rPr>
        <w:t>: Net interest income</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Tax-equivalent adjustment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Purchase accounting accretion</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Adjusted</w:t>
      </w:r>
      <w:r>
        <w:rPr>
          <w:rFonts w:ascii="Arial" w:cs="Arial" w:eastAsia="Arial" w:hAnsi="Arial"/>
          <w:sz w:val="13"/>
          <w:szCs w:val="13"/>
          <w:color w:val="auto"/>
        </w:rPr>
        <w:t>: Net interest income</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28"/>
              <w:spacing w:after="0" w:line="160" w:lineRule="exact"/>
              <w:rPr>
                <w:sz w:val="20"/>
                <w:szCs w:val="20"/>
                <w:color w:val="auto"/>
              </w:rPr>
            </w:pPr>
            <w:r>
              <w:rPr>
                <w:rFonts w:ascii="Arial" w:cs="Arial" w:eastAsia="Arial" w:hAnsi="Arial"/>
                <w:sz w:val="14"/>
                <w:szCs w:val="14"/>
                <w:b w:val="1"/>
                <w:bCs w:val="1"/>
                <w:color w:val="auto"/>
              </w:rPr>
              <w:t>June 30,</w:t>
            </w: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68"/>
              <w:spacing w:after="0" w:line="160" w:lineRule="exact"/>
              <w:rPr>
                <w:sz w:val="20"/>
                <w:szCs w:val="20"/>
                <w:color w:val="auto"/>
              </w:rPr>
            </w:pPr>
            <w:r>
              <w:rPr>
                <w:rFonts w:ascii="Arial" w:cs="Arial" w:eastAsia="Arial" w:hAnsi="Arial"/>
                <w:sz w:val="14"/>
                <w:szCs w:val="14"/>
                <w:b w:val="1"/>
                <w:bCs w:val="1"/>
                <w:color w:val="auto"/>
              </w:rPr>
              <w:t>March 31,</w:t>
            </w: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28"/>
              <w:spacing w:after="0" w:line="160" w:lineRule="exact"/>
              <w:rPr>
                <w:sz w:val="20"/>
                <w:szCs w:val="20"/>
                <w:color w:val="auto"/>
              </w:rPr>
            </w:pPr>
            <w:r>
              <w:rPr>
                <w:rFonts w:ascii="Arial" w:cs="Arial" w:eastAsia="Arial" w:hAnsi="Arial"/>
                <w:sz w:val="14"/>
                <w:szCs w:val="14"/>
                <w:b w:val="1"/>
                <w:bCs w:val="1"/>
                <w:color w:val="auto"/>
              </w:rPr>
              <w:t>June 30,</w:t>
            </w:r>
          </w:p>
        </w:tc>
      </w:tr>
      <w:tr>
        <w:trPr>
          <w:trHeight w:val="185"/>
        </w:trPr>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339"/>
        </w:trPr>
        <w:tc>
          <w:tcPr>
            <w:tcW w:w="16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73,428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68,383</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60,372</w:t>
            </w: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777</w:t>
            </w:r>
          </w:p>
        </w:tc>
        <w:tc>
          <w:tcPr>
            <w:tcW w:w="24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677</w:t>
            </w:r>
          </w:p>
        </w:tc>
        <w:tc>
          <w:tcPr>
            <w:tcW w:w="280" w:type="dxa"/>
            <w:vAlign w:val="bottom"/>
          </w:tcPr>
          <w:p>
            <w:pPr>
              <w:spacing w:after="0"/>
              <w:rPr>
                <w:sz w:val="15"/>
                <w:szCs w:val="15"/>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561</w:t>
            </w:r>
          </w:p>
        </w:tc>
      </w:tr>
      <w:tr>
        <w:trPr>
          <w:trHeight w:val="181"/>
        </w:trPr>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(3,471)</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(2,994)</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(3,015)</w:t>
            </w:r>
          </w:p>
        </w:tc>
      </w:tr>
      <w:tr>
        <w:trPr>
          <w:trHeight w:val="169"/>
        </w:trPr>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70,734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66,066</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57,918</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-1690370</wp:posOffset>
            </wp:positionH>
            <wp:positionV relativeFrom="paragraph">
              <wp:posOffset>-479425</wp:posOffset>
            </wp:positionV>
            <wp:extent cx="5746115"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46115" cy="111760"/>
                    </a:xfrm>
                    <a:prstGeom prst="rect">
                      <a:avLst/>
                    </a:prstGeom>
                    <a:noFill/>
                  </pic:spPr>
                </pic:pic>
              </a:graphicData>
            </a:graphic>
          </wp:anchor>
        </w:drawing>
        <w:drawing>
          <wp:anchor simplePos="0" relativeHeight="251657728" behindDoc="1" locked="0" layoutInCell="0" allowOverlap="1">
            <wp:simplePos x="0" y="0"/>
            <wp:positionH relativeFrom="column">
              <wp:posOffset>-1690370</wp:posOffset>
            </wp:positionH>
            <wp:positionV relativeFrom="paragraph">
              <wp:posOffset>-256540</wp:posOffset>
            </wp:positionV>
            <wp:extent cx="5746115" cy="111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46115"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Six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88"/>
              <w:spacing w:after="0" w:line="160" w:lineRule="exact"/>
              <w:rPr>
                <w:sz w:val="20"/>
                <w:szCs w:val="20"/>
                <w:color w:val="auto"/>
              </w:rPr>
            </w:pPr>
            <w:r>
              <w:rPr>
                <w:rFonts w:ascii="Arial" w:cs="Arial" w:eastAsia="Arial" w:hAnsi="Arial"/>
                <w:sz w:val="14"/>
                <w:szCs w:val="14"/>
                <w:b w:val="1"/>
                <w:bCs w:val="1"/>
                <w:color w:val="auto"/>
                <w:w w:val="99"/>
              </w:rPr>
              <w:t>June 30,</w:t>
            </w: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88"/>
              <w:spacing w:after="0" w:line="160" w:lineRule="exact"/>
              <w:rPr>
                <w:sz w:val="20"/>
                <w:szCs w:val="20"/>
                <w:color w:val="auto"/>
              </w:rPr>
            </w:pPr>
            <w:r>
              <w:rPr>
                <w:rFonts w:ascii="Arial" w:cs="Arial" w:eastAsia="Arial" w:hAnsi="Arial"/>
                <w:sz w:val="14"/>
                <w:szCs w:val="14"/>
                <w:b w:val="1"/>
                <w:bCs w:val="1"/>
                <w:color w:val="auto"/>
                <w:w w:val="99"/>
              </w:rPr>
              <w:t>June 30,</w:t>
            </w:r>
          </w:p>
        </w:tc>
      </w:tr>
      <w:tr>
        <w:trPr>
          <w:trHeight w:val="185"/>
        </w:trPr>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339"/>
        </w:trPr>
        <w:tc>
          <w:tcPr>
            <w:tcW w:w="16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141,811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120,129</w:t>
            </w: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1,454</w:t>
            </w:r>
          </w:p>
        </w:tc>
        <w:tc>
          <w:tcPr>
            <w:tcW w:w="240" w:type="dxa"/>
            <w:vAlign w:val="bottom"/>
          </w:tcPr>
          <w:p>
            <w:pPr>
              <w:spacing w:after="0"/>
              <w:rPr>
                <w:sz w:val="15"/>
                <w:szCs w:val="15"/>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1,139</w:t>
            </w:r>
          </w:p>
        </w:tc>
      </w:tr>
      <w:tr>
        <w:trPr>
          <w:trHeight w:val="181"/>
        </w:trPr>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(6,465)</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(6,425)</w:t>
            </w:r>
          </w:p>
        </w:tc>
      </w:tr>
      <w:tr>
        <w:trPr>
          <w:trHeight w:val="169"/>
        </w:trPr>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136,800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114,843</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3">
            <w:col w:w="1960" w:space="720"/>
            <w:col w:w="3800" w:space="200"/>
            <w:col w:w="2380"/>
          </w:cols>
          <w:pgMar w:left="1420" w:top="530" w:right="141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Average interest-earning assets</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8,666,136</w:t>
            </w: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8,088,396</w:t>
            </w: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6,984,486</w:t>
            </w:r>
          </w:p>
        </w:tc>
        <w:tc>
          <w:tcPr>
            <w:tcW w:w="300" w:type="dxa"/>
            <w:vAlign w:val="bottom"/>
          </w:tcPr>
          <w:p>
            <w:pPr>
              <w:spacing w:after="0"/>
              <w:rPr>
                <w:sz w:val="15"/>
                <w:szCs w:val="15"/>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8,378,862</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6,980,457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80" w:type="dxa"/>
            <w:vAlign w:val="bottom"/>
          </w:tcPr>
          <w:p>
            <w:pPr>
              <w:spacing w:after="0" w:line="176"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4"/>
                <w:szCs w:val="14"/>
                <w:color w:val="auto"/>
              </w:rPr>
              <w:t>: Net interest margin</w:t>
            </w:r>
            <w:r>
              <w:rPr>
                <w:rFonts w:ascii="Arial" w:cs="Arial" w:eastAsia="Arial" w:hAnsi="Arial"/>
                <w:sz w:val="20"/>
                <w:szCs w:val="20"/>
                <w:color w:val="auto"/>
                <w:vertAlign w:val="superscript"/>
              </w:rPr>
              <w:t>(1)</w:t>
            </w:r>
          </w:p>
        </w:tc>
        <w:tc>
          <w:tcPr>
            <w:tcW w:w="6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3.43</w:t>
            </w:r>
          </w:p>
        </w:tc>
        <w:tc>
          <w:tcPr>
            <w:tcW w:w="480" w:type="dxa"/>
            <w:vAlign w:val="bottom"/>
          </w:tcPr>
          <w:p>
            <w:pPr>
              <w:jc w:val="right"/>
              <w:ind w:right="268"/>
              <w:spacing w:after="0"/>
              <w:rPr>
                <w:sz w:val="20"/>
                <w:szCs w:val="20"/>
                <w:color w:val="auto"/>
              </w:rPr>
            </w:pPr>
            <w:r>
              <w:rPr>
                <w:rFonts w:ascii="Arial" w:cs="Arial" w:eastAsia="Arial" w:hAnsi="Arial"/>
                <w:sz w:val="14"/>
                <w:szCs w:val="14"/>
                <w:color w:val="auto"/>
                <w:w w:val="9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3.46</w:t>
            </w:r>
          </w:p>
        </w:tc>
        <w:tc>
          <w:tcPr>
            <w:tcW w:w="480" w:type="dxa"/>
            <w:vAlign w:val="bottom"/>
          </w:tcPr>
          <w:p>
            <w:pPr>
              <w:jc w:val="right"/>
              <w:ind w:right="268"/>
              <w:spacing w:after="0"/>
              <w:rPr>
                <w:sz w:val="20"/>
                <w:szCs w:val="20"/>
                <w:color w:val="auto"/>
              </w:rPr>
            </w:pPr>
            <w:r>
              <w:rPr>
                <w:rFonts w:ascii="Arial" w:cs="Arial" w:eastAsia="Arial" w:hAnsi="Arial"/>
                <w:sz w:val="14"/>
                <w:szCs w:val="14"/>
                <w:color w:val="auto"/>
                <w:w w:val="9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3.50</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3.45</w:t>
            </w:r>
          </w:p>
        </w:tc>
        <w:tc>
          <w:tcPr>
            <w:tcW w:w="420" w:type="dxa"/>
            <w:vAlign w:val="bottom"/>
          </w:tcPr>
          <w:p>
            <w:pPr>
              <w:jc w:val="right"/>
              <w:ind w:right="208"/>
              <w:spacing w:after="0"/>
              <w:rPr>
                <w:sz w:val="20"/>
                <w:szCs w:val="20"/>
                <w:color w:val="auto"/>
              </w:rPr>
            </w:pPr>
            <w:r>
              <w:rPr>
                <w:rFonts w:ascii="Arial" w:cs="Arial" w:eastAsia="Arial" w:hAnsi="Arial"/>
                <w:sz w:val="14"/>
                <w:szCs w:val="14"/>
                <w:color w:val="auto"/>
                <w:w w:val="9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3.50</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shd w:val="clear" w:color="auto" w:fill="CCEEFF"/>
          </w:tcPr>
          <w:p>
            <w:pPr>
              <w:spacing w:after="0" w:line="176"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14"/>
                <w:szCs w:val="14"/>
                <w:color w:val="auto"/>
              </w:rPr>
              <w:t>: Net Interest margin</w:t>
            </w:r>
            <w:r>
              <w:rPr>
                <w:rFonts w:ascii="Arial" w:cs="Arial" w:eastAsia="Arial" w:hAnsi="Arial"/>
                <w:sz w:val="20"/>
                <w:szCs w:val="20"/>
                <w:color w:val="auto"/>
                <w:vertAlign w:val="superscript"/>
              </w:rPr>
              <w:t>(1)</w:t>
            </w: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4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9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4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9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4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9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Annualized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-146685</wp:posOffset>
            </wp:positionV>
            <wp:extent cx="5746115" cy="111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46115" cy="111760"/>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Efficiency Ratio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08"/>
              <w:spacing w:after="0" w:line="160"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920" w:type="dxa"/>
            <w:vAlign w:val="bottom"/>
          </w:tcPr>
          <w:p>
            <w:pPr>
              <w:jc w:val="center"/>
              <w:ind w:right="88"/>
              <w:spacing w:after="0" w:line="160" w:lineRule="exact"/>
              <w:rPr>
                <w:sz w:val="20"/>
                <w:szCs w:val="20"/>
                <w:color w:val="auto"/>
              </w:rPr>
            </w:pPr>
            <w:r>
              <w:rPr>
                <w:rFonts w:ascii="Arial" w:cs="Arial" w:eastAsia="Arial" w:hAnsi="Arial"/>
                <w:sz w:val="14"/>
                <w:szCs w:val="14"/>
                <w:b w:val="1"/>
                <w:bCs w:val="1"/>
                <w:color w:val="auto"/>
                <w:w w:val="99"/>
              </w:rPr>
              <w:t>March 31,</w:t>
            </w:r>
          </w:p>
        </w:tc>
        <w:tc>
          <w:tcPr>
            <w:tcW w:w="360" w:type="dxa"/>
            <w:vAlign w:val="bottom"/>
          </w:tcPr>
          <w:p>
            <w:pPr>
              <w:spacing w:after="0"/>
              <w:rPr>
                <w:sz w:val="13"/>
                <w:szCs w:val="13"/>
                <w:color w:val="auto"/>
              </w:rPr>
            </w:pPr>
          </w:p>
        </w:tc>
        <w:tc>
          <w:tcPr>
            <w:tcW w:w="880" w:type="dxa"/>
            <w:vAlign w:val="bottom"/>
          </w:tcPr>
          <w:p>
            <w:pPr>
              <w:jc w:val="right"/>
              <w:ind w:right="208"/>
              <w:spacing w:after="0" w:line="160"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148"/>
              <w:spacing w:after="0" w:line="160" w:lineRule="exact"/>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3"/>
                <w:szCs w:val="13"/>
                <w:color w:val="auto"/>
              </w:rPr>
            </w:pPr>
          </w:p>
        </w:tc>
        <w:tc>
          <w:tcPr>
            <w:tcW w:w="860" w:type="dxa"/>
            <w:vAlign w:val="bottom"/>
          </w:tcPr>
          <w:p>
            <w:pPr>
              <w:jc w:val="right"/>
              <w:ind w:right="148"/>
              <w:spacing w:after="0" w:line="160"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2019</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4"/>
                <w:szCs w:val="14"/>
                <w:color w:val="auto"/>
              </w:rPr>
              <w:t>: Net Interest income</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73,428</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68,383</w:t>
            </w:r>
          </w:p>
        </w:tc>
        <w:tc>
          <w:tcPr>
            <w:tcW w:w="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60,372</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141,811</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120,129</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Tax-equivalent adjustment</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1,454</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Tax equivalent interest income</w:t>
            </w:r>
          </w:p>
        </w:tc>
        <w:tc>
          <w:tcPr>
            <w:tcW w:w="2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74,205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69,060</w:t>
            </w: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60,933</w:t>
            </w:r>
          </w:p>
        </w:tc>
        <w:tc>
          <w:tcPr>
            <w:tcW w:w="2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143,265</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121,268</w:t>
            </w:r>
          </w:p>
        </w:tc>
        <w:tc>
          <w:tcPr>
            <w:tcW w:w="2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2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4"/>
                <w:szCs w:val="14"/>
                <w:color w:val="auto"/>
              </w:rPr>
              <w:t>: Non-interest income</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27,896</w:t>
            </w: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25,945</w:t>
            </w: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22,802</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53,841</w:t>
            </w: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45,288</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ind w:left="140"/>
              <w:spacing w:after="0"/>
              <w:rPr>
                <w:sz w:val="20"/>
                <w:szCs w:val="20"/>
                <w:color w:val="auto"/>
              </w:rPr>
            </w:pPr>
            <w:r>
              <w:rPr>
                <w:rFonts w:ascii="Arial" w:cs="Arial" w:eastAsia="Arial" w:hAnsi="Arial"/>
                <w:sz w:val="14"/>
                <w:szCs w:val="14"/>
                <w:color w:val="auto"/>
              </w:rPr>
              <w:t>Net (losses) gains on sales of</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60" w:type="dxa"/>
            <w:vAlign w:val="bottom"/>
          </w:tcPr>
          <w:p>
            <w:pPr>
              <w:ind w:left="200"/>
              <w:spacing w:after="0"/>
              <w:rPr>
                <w:sz w:val="20"/>
                <w:szCs w:val="20"/>
                <w:color w:val="auto"/>
              </w:rPr>
            </w:pPr>
            <w:r>
              <w:rPr>
                <w:rFonts w:ascii="Arial" w:cs="Arial" w:eastAsia="Arial" w:hAnsi="Arial"/>
                <w:sz w:val="14"/>
                <w:szCs w:val="14"/>
                <w:color w:val="auto"/>
              </w:rPr>
              <w:t>securities and unrealized (losses)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tcPr>
          <w:p>
            <w:pPr>
              <w:ind w:left="200"/>
              <w:spacing w:after="0"/>
              <w:rPr>
                <w:sz w:val="20"/>
                <w:szCs w:val="20"/>
                <w:color w:val="auto"/>
              </w:rPr>
            </w:pPr>
            <w:r>
              <w:rPr>
                <w:rFonts w:ascii="Arial" w:cs="Arial" w:eastAsia="Arial" w:hAnsi="Arial"/>
                <w:sz w:val="14"/>
                <w:szCs w:val="14"/>
                <w:color w:val="auto"/>
              </w:rPr>
              <w:t>gains recognized on equity</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(1,026)</w:t>
            </w:r>
          </w:p>
        </w:tc>
        <w:tc>
          <w:tcPr>
            <w:tcW w:w="3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(984)</w:t>
            </w:r>
          </w:p>
        </w:tc>
        <w:tc>
          <w:tcPr>
            <w:tcW w:w="4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securities</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4"/>
                <w:szCs w:val="14"/>
                <w:color w:val="auto"/>
              </w:rPr>
              <w:t>Non-interest income</w:t>
            </w:r>
          </w:p>
        </w:tc>
        <w:tc>
          <w:tcPr>
            <w:tcW w:w="2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28,922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25,903</w:t>
            </w: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22,642</w:t>
            </w:r>
          </w:p>
        </w:tc>
        <w:tc>
          <w:tcPr>
            <w:tcW w:w="2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54,825</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45,128</w:t>
            </w:r>
          </w:p>
        </w:tc>
        <w:tc>
          <w:tcPr>
            <w:tcW w:w="2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2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4"/>
                <w:szCs w:val="14"/>
                <w:color w:val="auto"/>
              </w:rPr>
              <w:t>: Non-interest expense</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68,020</w:t>
            </w: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57,163</w:t>
            </w: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47,305</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125,183</w:t>
            </w: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98,345</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tcPr>
          <w:p>
            <w:pPr>
              <w:ind w:left="20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(2,412)</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(2,094)</w:t>
            </w: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(4,506)</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Non-operating adjustments:</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ind w:left="320"/>
              <w:spacing w:after="0"/>
              <w:rPr>
                <w:sz w:val="20"/>
                <w:szCs w:val="20"/>
                <w:color w:val="auto"/>
              </w:rPr>
            </w:pPr>
            <w:r>
              <w:rPr>
                <w:rFonts w:ascii="Arial" w:cs="Arial" w:eastAsia="Arial" w:hAnsi="Arial"/>
                <w:sz w:val="14"/>
                <w:szCs w:val="14"/>
                <w:color w:val="auto"/>
              </w:rPr>
              <w:t>Salaries, wages, and employee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(318)</w:t>
            </w:r>
          </w:p>
        </w:tc>
        <w:tc>
          <w:tcPr>
            <w:tcW w:w="3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(318)</w:t>
            </w:r>
          </w:p>
        </w:tc>
        <w:tc>
          <w:tcPr>
            <w:tcW w:w="4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(1,650)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60" w:type="dxa"/>
            <w:vAlign w:val="bottom"/>
          </w:tcPr>
          <w:p>
            <w:pPr>
              <w:ind w:left="420"/>
              <w:spacing w:after="0"/>
              <w:rPr>
                <w:sz w:val="20"/>
                <w:szCs w:val="20"/>
                <w:color w:val="auto"/>
              </w:rPr>
            </w:pPr>
            <w:r>
              <w:rPr>
                <w:rFonts w:ascii="Arial" w:cs="Arial" w:eastAsia="Arial" w:hAnsi="Arial"/>
                <w:sz w:val="14"/>
                <w:szCs w:val="14"/>
                <w:color w:val="auto"/>
              </w:rPr>
              <w:t>benefits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Data processing</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(6,356)</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(1,372)</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(7,728)</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(2,429)</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4"/>
                <w:szCs w:val="14"/>
                <w:color w:val="auto"/>
              </w:rPr>
              <w:t>Non-interest expense</w:t>
            </w:r>
          </w:p>
        </w:tc>
        <w:tc>
          <w:tcPr>
            <w:tcW w:w="2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58,315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53,590</w:t>
            </w: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44,857</w:t>
            </w:r>
          </w:p>
        </w:tc>
        <w:tc>
          <w:tcPr>
            <w:tcW w:w="2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111,905</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90,855</w:t>
            </w:r>
          </w:p>
        </w:tc>
        <w:tc>
          <w:tcPr>
            <w:tcW w:w="2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2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4"/>
                <w:szCs w:val="14"/>
                <w:color w:val="auto"/>
              </w:rPr>
              <w:t>: Efficiency ratio</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63.62</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57.99</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54.82</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9"/>
              </w:rPr>
              <w:t>%</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60.92</w:t>
            </w: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57.30</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4"/>
                <w:szCs w:val="14"/>
                <w:color w:val="auto"/>
              </w:rPr>
              <w:t>: Efficiency ratio</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56.55</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w w:val="79"/>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56.43</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53.67</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w w:val="79"/>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56.49</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w w:val="79"/>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54.60</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Reconciliation of Non-GAAP Financial Measures — Tangible common equity to tangible assets, Tangible book value per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share, Return on average tangible common equity</w:t>
      </w: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308"/>
              <w:spacing w:after="0"/>
              <w:rPr>
                <w:sz w:val="20"/>
                <w:szCs w:val="20"/>
                <w:color w:val="auto"/>
              </w:rPr>
            </w:pPr>
            <w:r>
              <w:rPr>
                <w:rFonts w:ascii="Arial" w:cs="Arial" w:eastAsia="Arial" w:hAnsi="Arial"/>
                <w:sz w:val="14"/>
                <w:szCs w:val="14"/>
                <w:b w:val="1"/>
                <w:bCs w:val="1"/>
                <w:color w:val="auto"/>
                <w:w w:val="93"/>
              </w:rPr>
              <w:t>Three Months Ended</w:t>
            </w: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308"/>
              <w:spacing w:after="0" w:line="160"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center"/>
              <w:ind w:right="108"/>
              <w:spacing w:after="0" w:line="160" w:lineRule="exact"/>
              <w:rPr>
                <w:sz w:val="20"/>
                <w:szCs w:val="20"/>
                <w:color w:val="auto"/>
              </w:rPr>
            </w:pPr>
            <w:r>
              <w:rPr>
                <w:rFonts w:ascii="Arial" w:cs="Arial" w:eastAsia="Arial" w:hAnsi="Arial"/>
                <w:sz w:val="14"/>
                <w:szCs w:val="14"/>
                <w:b w:val="1"/>
                <w:bCs w:val="1"/>
                <w:color w:val="auto"/>
                <w:w w:val="95"/>
              </w:rPr>
              <w:t>March 31,</w:t>
            </w:r>
          </w:p>
        </w:tc>
        <w:tc>
          <w:tcPr>
            <w:tcW w:w="460" w:type="dxa"/>
            <w:vAlign w:val="bottom"/>
          </w:tcPr>
          <w:p>
            <w:pPr>
              <w:spacing w:after="0"/>
              <w:rPr>
                <w:sz w:val="13"/>
                <w:szCs w:val="13"/>
                <w:color w:val="auto"/>
              </w:rPr>
            </w:pPr>
          </w:p>
        </w:tc>
        <w:tc>
          <w:tcPr>
            <w:tcW w:w="1020" w:type="dxa"/>
            <w:vAlign w:val="bottom"/>
          </w:tcPr>
          <w:p>
            <w:pPr>
              <w:jc w:val="right"/>
              <w:ind w:right="308"/>
              <w:spacing w:after="0" w:line="160"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2019</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8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9,612,667</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9,537,334</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7,775,544</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ind w:left="100"/>
              <w:spacing w:after="0"/>
              <w:rPr>
                <w:sz w:val="20"/>
                <w:szCs w:val="20"/>
                <w:color w:val="auto"/>
              </w:rPr>
            </w:pPr>
            <w:r>
              <w:rPr>
                <w:rFonts w:ascii="Arial" w:cs="Arial" w:eastAsia="Arial" w:hAnsi="Arial"/>
                <w:sz w:val="14"/>
                <w:szCs w:val="14"/>
                <w:color w:val="auto"/>
              </w:rPr>
              <w:t>Goodwill and other intangible assets, net</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(375,327)</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(377,739)</w:t>
            </w: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(303,407)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Tax effect of other intangible assets, net</w:t>
            </w:r>
          </w:p>
        </w:tc>
        <w:tc>
          <w:tcPr>
            <w:tcW w:w="6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17,075</w:t>
            </w:r>
          </w:p>
        </w:tc>
        <w:tc>
          <w:tcPr>
            <w:tcW w:w="16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17,751</w:t>
            </w:r>
          </w:p>
        </w:tc>
        <w:tc>
          <w:tcPr>
            <w:tcW w:w="4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9,288</w:t>
            </w:r>
          </w:p>
        </w:tc>
        <w:tc>
          <w:tcPr>
            <w:tcW w:w="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gridSpan w:val="2"/>
          </w:tcPr>
          <w:p>
            <w:pPr>
              <w:spacing w:after="0"/>
              <w:rPr>
                <w:sz w:val="20"/>
                <w:szCs w:val="20"/>
                <w:color w:val="auto"/>
              </w:rPr>
            </w:pPr>
            <w:r>
              <w:rPr>
                <w:rFonts w:ascii="Arial" w:cs="Arial" w:eastAsia="Arial" w:hAnsi="Arial"/>
                <w:sz w:val="14"/>
                <w:szCs w:val="14"/>
                <w:color w:val="auto"/>
              </w:rPr>
              <w:t>Tangible assets</w:t>
            </w:r>
          </w:p>
        </w:tc>
        <w:tc>
          <w:tcPr>
            <w:tcW w:w="620" w:type="dxa"/>
            <w:vAlign w:val="bottom"/>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9,254,415</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9,177,346</w:t>
            </w: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7,481,425</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0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1,203,608</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1,186,141</w:t>
            </w: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957,182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Goodwill and other intangible assets, net</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(375,327)</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(377,739)</w:t>
            </w: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(303,407)</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Tax effect of other intangible assets, net</w:t>
            </w:r>
          </w:p>
        </w:tc>
        <w:tc>
          <w:tcPr>
            <w:tcW w:w="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17,075</w:t>
            </w: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17,751</w:t>
            </w: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9,288</w:t>
            </w: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Tangible common equity</w:t>
            </w:r>
          </w:p>
        </w:tc>
        <w:tc>
          <w:tcPr>
            <w:tcW w:w="6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845,356</w:t>
            </w:r>
          </w:p>
        </w:tc>
        <w:tc>
          <w:tcPr>
            <w:tcW w:w="16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826,153</w:t>
            </w:r>
          </w:p>
        </w:tc>
        <w:tc>
          <w:tcPr>
            <w:tcW w:w="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663,063</w:t>
            </w:r>
          </w:p>
        </w:tc>
        <w:tc>
          <w:tcPr>
            <w:tcW w:w="2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4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20" w:type="dxa"/>
            <w:vAlign w:val="bottom"/>
            <w:shd w:val="clear" w:color="auto" w:fill="CCEEFF"/>
          </w:tcPr>
          <w:p>
            <w:pPr>
              <w:spacing w:after="0" w:line="176" w:lineRule="exact"/>
              <w:rPr>
                <w:sz w:val="20"/>
                <w:szCs w:val="20"/>
                <w:color w:val="auto"/>
              </w:rPr>
            </w:pPr>
            <w:r>
              <w:rPr>
                <w:rFonts w:ascii="Arial" w:cs="Arial" w:eastAsia="Arial" w:hAnsi="Arial"/>
                <w:sz w:val="14"/>
                <w:szCs w:val="14"/>
                <w:b w:val="1"/>
                <w:bCs w:val="1"/>
                <w:color w:val="auto"/>
              </w:rPr>
              <w:t>Tangible common equity to tangible assets</w:t>
            </w:r>
            <w:r>
              <w:rPr>
                <w:rFonts w:ascii="Arial" w:cs="Arial" w:eastAsia="Arial" w:hAnsi="Arial"/>
                <w:sz w:val="20"/>
                <w:szCs w:val="20"/>
                <w:b w:val="1"/>
                <w:bCs w:val="1"/>
                <w:color w:val="auto"/>
                <w:vertAlign w:val="superscript"/>
              </w:rPr>
              <w:t>(1)</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9.13 %</w:t>
            </w:r>
          </w:p>
        </w:tc>
        <w:tc>
          <w:tcPr>
            <w:tcW w:w="2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9.00 %</w:t>
            </w:r>
          </w:p>
        </w:tc>
        <w:tc>
          <w:tcPr>
            <w:tcW w:w="1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8.86 %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spacing w:after="0"/>
              <w:rPr>
                <w:sz w:val="20"/>
                <w:szCs w:val="20"/>
                <w:color w:val="auto"/>
              </w:rPr>
            </w:pPr>
            <w:r>
              <w:rPr>
                <w:rFonts w:ascii="Arial" w:cs="Arial" w:eastAsia="Arial" w:hAnsi="Arial"/>
                <w:sz w:val="14"/>
                <w:szCs w:val="14"/>
                <w:b w:val="1"/>
                <w:bCs w:val="1"/>
                <w:color w:val="auto"/>
              </w:rPr>
              <w:t>Tangible book value per share</w:t>
            </w:r>
          </w:p>
        </w:tc>
        <w:tc>
          <w:tcPr>
            <w:tcW w:w="8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14.95</w:t>
            </w:r>
          </w:p>
        </w:tc>
        <w:tc>
          <w:tcPr>
            <w:tcW w:w="160" w:type="dxa"/>
            <w:vAlign w:val="bottom"/>
          </w:tcPr>
          <w:p>
            <w:pPr>
              <w:spacing w:after="0"/>
              <w:rPr>
                <w:sz w:val="15"/>
                <w:szCs w:val="15"/>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14.53</w:t>
            </w: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13.40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Average stockholders’ common equity</w:t>
            </w:r>
          </w:p>
        </w:tc>
        <w:tc>
          <w:tcPr>
            <w:tcW w:w="8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1,195,802</w:t>
            </w:r>
          </w:p>
        </w:tc>
        <w:tc>
          <w:tcPr>
            <w:tcW w:w="160" w:type="dxa"/>
            <w:vAlign w:val="bottom"/>
          </w:tcPr>
          <w:p>
            <w:pPr>
              <w:spacing w:after="0"/>
              <w:rPr>
                <w:sz w:val="15"/>
                <w:szCs w:val="15"/>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1,109,872</w:t>
            </w: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944,131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Average goodwill and other intangible assets, net</w:t>
            </w:r>
          </w:p>
        </w:tc>
        <w:tc>
          <w:tcPr>
            <w:tcW w:w="6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(376,851)</w:t>
            </w:r>
          </w:p>
        </w:tc>
        <w:tc>
          <w:tcPr>
            <w:tcW w:w="16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(352,587)</w:t>
            </w:r>
          </w:p>
        </w:tc>
        <w:tc>
          <w:tcPr>
            <w:tcW w:w="4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(304,379)</w:t>
            </w:r>
          </w:p>
        </w:tc>
        <w:tc>
          <w:tcPr>
            <w:tcW w:w="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gridSpan w:val="2"/>
          </w:tcPr>
          <w:p>
            <w:pPr>
              <w:spacing w:after="0"/>
              <w:rPr>
                <w:sz w:val="20"/>
                <w:szCs w:val="20"/>
                <w:color w:val="auto"/>
              </w:rPr>
            </w:pPr>
            <w:r>
              <w:rPr>
                <w:rFonts w:ascii="Arial" w:cs="Arial" w:eastAsia="Arial" w:hAnsi="Arial"/>
                <w:sz w:val="14"/>
                <w:szCs w:val="14"/>
                <w:color w:val="auto"/>
              </w:rPr>
              <w:t>Average tangible stockholders’ common equity</w:t>
            </w:r>
          </w:p>
        </w:tc>
        <w:tc>
          <w:tcPr>
            <w:tcW w:w="620" w:type="dxa"/>
            <w:vAlign w:val="bottom"/>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818,951</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757,285</w:t>
            </w: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639,752</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0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20" w:type="dxa"/>
            <w:vAlign w:val="bottom"/>
          </w:tcPr>
          <w:p>
            <w:pPr>
              <w:spacing w:after="0" w:line="176"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4"/>
                <w:szCs w:val="14"/>
                <w:color w:val="auto"/>
              </w:rPr>
              <w:t>: Return on average tangible common equity</w:t>
            </w:r>
            <w:r>
              <w:rPr>
                <w:rFonts w:ascii="Arial" w:cs="Arial" w:eastAsia="Arial" w:hAnsi="Arial"/>
                <w:sz w:val="20"/>
                <w:szCs w:val="20"/>
                <w:color w:val="auto"/>
                <w:vertAlign w:val="superscript"/>
              </w:rPr>
              <w:t>(2)</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11.80</w:t>
            </w: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13.64</w:t>
            </w:r>
          </w:p>
        </w:tc>
        <w:tc>
          <w:tcPr>
            <w:tcW w:w="460" w:type="dxa"/>
            <w:vAlign w:val="bottom"/>
          </w:tcPr>
          <w:p>
            <w:pPr>
              <w:jc w:val="right"/>
              <w:ind w:right="268"/>
              <w:spacing w:after="0"/>
              <w:rPr>
                <w:sz w:val="20"/>
                <w:szCs w:val="20"/>
                <w:color w:val="auto"/>
              </w:rPr>
            </w:pPr>
            <w:r>
              <w:rPr>
                <w:rFonts w:ascii="Arial" w:cs="Arial" w:eastAsia="Arial" w:hAnsi="Arial"/>
                <w:sz w:val="14"/>
                <w:szCs w:val="14"/>
                <w:color w:val="auto"/>
                <w:w w:val="79"/>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15.59</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spacing w:after="0" w:line="176"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14"/>
                <w:szCs w:val="14"/>
                <w:color w:val="auto"/>
              </w:rPr>
              <w:t>: Return on average tangible common equity</w:t>
            </w:r>
            <w:r>
              <w:rPr>
                <w:rFonts w:ascii="Arial" w:cs="Arial" w:eastAsia="Arial" w:hAnsi="Arial"/>
                <w:sz w:val="20"/>
                <w:szCs w:val="20"/>
                <w:color w:val="auto"/>
                <w:vertAlign w:val="superscript"/>
              </w:rPr>
              <w:t>(2), (3)</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June 30,</w:t>
            </w: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June 30,</w:t>
            </w: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Average stockholders’ common equity</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1,153,075</w:t>
            </w:r>
          </w:p>
        </w:tc>
        <w:tc>
          <w:tcPr>
            <w:tcW w:w="5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938,975</w:t>
            </w: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Average goodwill and other intangible assets, net</w:t>
            </w:r>
          </w:p>
        </w:tc>
        <w:tc>
          <w:tcPr>
            <w:tcW w:w="6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(364,786)</w:t>
            </w: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(305,666)</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Average tangible stockholders’ common equity</w:t>
            </w:r>
          </w:p>
        </w:tc>
        <w:tc>
          <w:tcPr>
            <w:tcW w:w="6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788,289</w:t>
            </w:r>
          </w:p>
        </w:tc>
        <w:tc>
          <w:tcPr>
            <w:tcW w:w="5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633,309</w:t>
            </w:r>
          </w:p>
        </w:tc>
        <w:tc>
          <w:tcPr>
            <w:tcW w:w="26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4"/>
                <w:szCs w:val="14"/>
                <w:color w:val="auto"/>
              </w:rPr>
              <w:t>: Return on average tangible common equity</w:t>
            </w:r>
            <w:r>
              <w:rPr>
                <w:rFonts w:ascii="Arial" w:cs="Arial" w:eastAsia="Arial" w:hAnsi="Arial"/>
                <w:sz w:val="20"/>
                <w:szCs w:val="20"/>
                <w:color w:val="auto"/>
                <w:vertAlign w:val="superscript"/>
              </w:rPr>
              <w:t>(2)</w:t>
            </w: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5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9"/>
              </w:rPr>
              <w:t>%</w:t>
            </w: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2"/>
          </w:tcPr>
          <w:p>
            <w:pPr>
              <w:spacing w:after="0" w:line="176"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14"/>
                <w:szCs w:val="14"/>
                <w:color w:val="auto"/>
              </w:rPr>
              <w:t>: Return on average tangible common equity</w:t>
            </w:r>
            <w:r>
              <w:rPr>
                <w:rFonts w:ascii="Arial" w:cs="Arial" w:eastAsia="Arial" w:hAnsi="Arial"/>
                <w:sz w:val="20"/>
                <w:szCs w:val="20"/>
                <w:color w:val="auto"/>
                <w:vertAlign w:val="superscript"/>
              </w:rPr>
              <w:t>(2), (3)</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14.35</w:t>
            </w:r>
          </w:p>
        </w:tc>
        <w:tc>
          <w:tcPr>
            <w:tcW w:w="540" w:type="dxa"/>
            <w:vAlign w:val="bottom"/>
          </w:tcPr>
          <w:p>
            <w:pPr>
              <w:jc w:val="right"/>
              <w:ind w:right="348"/>
              <w:spacing w:after="0"/>
              <w:rPr>
                <w:sz w:val="20"/>
                <w:szCs w:val="20"/>
                <w:color w:val="auto"/>
              </w:rPr>
            </w:pPr>
            <w:r>
              <w:rPr>
                <w:rFonts w:ascii="Arial" w:cs="Arial" w:eastAsia="Arial" w:hAnsi="Arial"/>
                <w:sz w:val="14"/>
                <w:szCs w:val="14"/>
                <w:color w:val="auto"/>
                <w:w w:val="79"/>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16.08</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w w:val="79"/>
              </w:rPr>
              <w:t>%</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w w:val="88"/>
              </w:rPr>
              <w:t>(1)</w:t>
            </w:r>
          </w:p>
        </w:tc>
        <w:tc>
          <w:tcPr>
            <w:tcW w:w="3880" w:type="dxa"/>
            <w:vAlign w:val="bottom"/>
          </w:tcPr>
          <w:p>
            <w:pPr>
              <w:ind w:left="20"/>
              <w:spacing w:after="0"/>
              <w:rPr>
                <w:sz w:val="20"/>
                <w:szCs w:val="20"/>
                <w:color w:val="auto"/>
              </w:rPr>
            </w:pPr>
            <w:r>
              <w:rPr>
                <w:rFonts w:ascii="Arial" w:cs="Arial" w:eastAsia="Arial" w:hAnsi="Arial"/>
                <w:sz w:val="14"/>
                <w:szCs w:val="14"/>
                <w:color w:val="auto"/>
              </w:rPr>
              <w:t>Tax-effected measure</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1"/>
                <w:szCs w:val="11"/>
                <w:color w:val="auto"/>
                <w:w w:val="88"/>
              </w:rPr>
              <w:t>(2)</w:t>
            </w:r>
          </w:p>
        </w:tc>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Annualized measure</w:t>
            </w: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w w:val="88"/>
              </w:rPr>
              <w:t>(3)</w:t>
            </w:r>
          </w:p>
        </w:tc>
        <w:tc>
          <w:tcPr>
            <w:tcW w:w="3880" w:type="dxa"/>
            <w:vAlign w:val="bottom"/>
          </w:tcPr>
          <w:p>
            <w:pPr>
              <w:ind w:left="20"/>
              <w:spacing w:after="0"/>
              <w:rPr>
                <w:sz w:val="20"/>
                <w:szCs w:val="20"/>
                <w:color w:val="auto"/>
              </w:rPr>
            </w:pPr>
            <w:r>
              <w:rPr>
                <w:rFonts w:ascii="Arial" w:cs="Arial" w:eastAsia="Arial" w:hAnsi="Arial"/>
                <w:sz w:val="14"/>
                <w:szCs w:val="14"/>
                <w:color w:val="auto"/>
              </w:rPr>
              <w:t>Calculated using adjusted net income</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Statements made in this document,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the Company. Forward-looking statements, which may be based upon beliefs, expectations and assumptions of the Company’s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9"/>
        <w:spacing w:after="0" w:line="252" w:lineRule="auto"/>
        <w:tabs>
          <w:tab w:leader="none" w:pos="2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strength of the local, state, national and international economy (including the impact of tariffs, a U.S. withdrawal from or significant renegotiation of trade agreements, trade wars and other changes in trade regulations); (ii) changes in state and federal laws, regulations and governmental policies concerning the Company’s general business; (iii) changes in interest rates and prepayment rates of the Company’s assets; (iv) increased competition in the financial services sector and the inability to attract new customers; (v) changes in technology and the ability to develop and maintain secure and reliable electronic systems; (vi) the loss of key executives or employees; (vii) changes in consumer spending; (viii) unexpected results of current and/or future acquisitions, which may include failure to realize the anticipated benefits of any acquisition and the possibility that transaction costs may be greater than anticipated; (ix) unexpected outcomes of existing or new litigation involving the Company; (x) the economic impact of any future terrorist threats or attacks; (xi) the economic impact of exceptional weather occurrences such as tornadoes, hurricanes, floods, and blizzards; and (xii) changes in accounting policies and practices. These risks and uncertainties should be considered in evaluating forward-looking statements and undue reliance should not be placed on such statements. Additional information concerning the Company and its business, including additional factors that could materially affect its financial results, is included in the Company’s filings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w:t>
      </w:r>
    </w:p>
    <w:p>
      <w:pPr>
        <w:spacing w:after="0" w:line="162" w:lineRule="exact"/>
        <w:rPr>
          <w:sz w:val="20"/>
          <w:szCs w:val="20"/>
          <w:color w:val="auto"/>
        </w:rPr>
      </w:pPr>
    </w:p>
    <w:p>
      <w:pPr>
        <w:jc w:val="both"/>
        <w:ind w:right="560"/>
        <w:spacing w:after="0" w:line="294" w:lineRule="auto"/>
        <w:rPr>
          <w:sz w:val="20"/>
          <w:szCs w:val="20"/>
          <w:color w:val="auto"/>
        </w:rPr>
      </w:pPr>
      <w:r>
        <w:rPr>
          <w:rFonts w:ascii="Arial" w:cs="Arial" w:eastAsia="Arial" w:hAnsi="Arial"/>
          <w:sz w:val="16"/>
          <w:szCs w:val="16"/>
          <w:color w:val="auto"/>
        </w:rPr>
        <w:t>Our significant accounting policies are described in Note 1 of the Company’s 2018 Form 10-K. The majority of these accounting policies do not require management to make difficult, subjective or complex judgments or estimates or the variability of the estimates is not material. However, the following policies could be deemed critical:</w:t>
      </w:r>
    </w:p>
    <w:p>
      <w:pPr>
        <w:spacing w:after="0" w:line="13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Fair Value of Investment Securities</w:t>
      </w:r>
      <w:r>
        <w:rPr>
          <w:rFonts w:ascii="Arial" w:cs="Arial" w:eastAsia="Arial" w:hAnsi="Arial"/>
          <w:sz w:val="18"/>
          <w:szCs w:val="18"/>
          <w:color w:val="auto"/>
        </w:rPr>
        <w:t>. The fair values of investment securities are measurements from an independent pricing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and are based on observable data that may include dealer quotes, market spreads, cash flows, the U.S. Treasury yield curve, live trading levels, trade execution data, market consensus prepayment speeds, credit information and the security’s terms and conditions, among other things. The use of different judgments and estimates to determine the fair value of securities could result in a different fair value estimate.</w:t>
      </w:r>
    </w:p>
    <w:p>
      <w:pPr>
        <w:spacing w:after="0" w:line="176"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Realized securities gains or losses are reported in the Consolidated Statements of Income. The cost of securities sold is based on the specific identification method. Declines in the fair value of debt securities below their amortized cost are evaluated to determine whether such declines are temporary or OTTI. If the Company (a) has the intent to sell a debt security or (b) will more-likely-than-not be required to sell the debt security before its anticipated recovery, then the Company recognizes the entire decline in fair value as an OTTI loss. If neither of these conditions are met, the Company evaluates whether a credit loss exists. The decline in fair value is separated into the amount of impairment related to the credit loss and the amount of impairment related to all other factors. The amount of the impairment related to credit loss is recognized in earnings, and the amount of impairment related to all other factors is recognized in other comprehensive income (loss).</w:t>
      </w:r>
    </w:p>
    <w:p>
      <w:pPr>
        <w:spacing w:after="0" w:line="155"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i w:val="1"/>
          <w:iCs w:val="1"/>
          <w:color w:val="auto"/>
        </w:rPr>
        <w:t>Fair Value of Assets Acquired and Liabilities Assumed in Business Combinations</w:t>
      </w:r>
      <w:r>
        <w:rPr>
          <w:rFonts w:ascii="Arial" w:cs="Arial" w:eastAsia="Arial" w:hAnsi="Arial"/>
          <w:sz w:val="16"/>
          <w:szCs w:val="16"/>
          <w:color w:val="auto"/>
        </w:rPr>
        <w:t>. Business combinations are accounted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using the acquisition method of accounting. Under the acquisition method of accounting, assets acquired and liabilities assumed are recorded at their estimated fair value on the date of acquisition. Fair values are determined based on the definition of “fair value” defined in FASB ASC Topic 820 — Fair Value Measurement as “the price that would be received to sell an asset or paid to transfer a liability in an orderly transaction between market participants at the measurement date.”</w:t>
      </w:r>
    </w:p>
    <w:p>
      <w:pPr>
        <w:spacing w:after="0" w:line="146" w:lineRule="exact"/>
        <w:rPr>
          <w:sz w:val="20"/>
          <w:szCs w:val="20"/>
          <w:color w:val="auto"/>
        </w:rPr>
      </w:pPr>
    </w:p>
    <w:p>
      <w:pPr>
        <w:ind w:right="600"/>
        <w:spacing w:after="0" w:line="294" w:lineRule="auto"/>
        <w:rPr>
          <w:sz w:val="20"/>
          <w:szCs w:val="20"/>
          <w:color w:val="auto"/>
        </w:rPr>
      </w:pPr>
      <w:r>
        <w:rPr>
          <w:rFonts w:ascii="Arial" w:cs="Arial" w:eastAsia="Arial" w:hAnsi="Arial"/>
          <w:sz w:val="16"/>
          <w:szCs w:val="16"/>
          <w:color w:val="auto"/>
        </w:rPr>
        <w:t>The fair value of a loan portfolio acquired in a business combination generally requires greater levels of management estimates and judgment than other assets acquired or liabilities assumed. At the date of acquisition, when loans have evidence of credit deterioration since origination and it is probable that the Company will not collect all contractually</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required principal and interest payments, the difference between contractually required payments and the cash flows expected to be collected at acquisition is referred to as the non-accretable difference. At each future reporting date, the Company re-estimates the expected cash flows of the loans. Subsequent decreases in the expected cash flows will generally result in a provision for loan losses. Subsequent increases in the expected cash flows will generally be offset against the allowance for loan losses to the extent an allowance has been established or will be recognized as interest income prospectively.</w:t>
      </w:r>
    </w:p>
    <w:p>
      <w:pPr>
        <w:spacing w:after="0" w:line="176"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purchase price over the fair value of net assets acquired using the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of accounting. Determining the fair value often involves estimates based on third-party valuations, such as appraisals, or internal valuations based on discounted cash flow analyses or other valuation techniques. Goodwill is not amortized, instead, the Company assess the potential for impairment on an annual basis or more frequently if events and circumstances indicate that goodwill might be impaired.</w:t>
      </w:r>
    </w:p>
    <w:p>
      <w:pPr>
        <w:spacing w:after="0" w:line="176"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Company estimates income tax expense based on amounts expected to be owed to federal and state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jurisdictions. Estimated income tax expense is reported in the unaudited Consolidated Statements of Income. Accrued and deferred taxes, as reported in other assets or other liabilities in the unaudited Consolidated Balance Sheets,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Allowance for Loan Losses. </w:t>
      </w:r>
      <w:r>
        <w:rPr>
          <w:rFonts w:ascii="Arial" w:cs="Arial" w:eastAsia="Arial" w:hAnsi="Arial"/>
          <w:sz w:val="16"/>
          <w:szCs w:val="16"/>
          <w:color w:val="auto"/>
        </w:rPr>
        <w:t>First Busey has established an allowance for loan losses which represents its estimate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probable losses inherent in the loan portfolio as of the date of the consolidated financial statements and reduces the total</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loans outstanding by an estimate of uncollectible loans. Loans deemed uncollectible are charged against and reduce the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allowance. A provision for loan losses is charged to current expense and acts to replenish the allowance for loan losses 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order to maintain the allowance at a level that management deems adequate. Acquired loans from business combinations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with uncollected principal balances are carried net of a fair value adjustment for credit and interest rates. These loans are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only included in the allowance calculation to the extent that the reserve requirement exceeds the fair value</w:t>
      </w:r>
    </w:p>
    <w:p>
      <w:pPr>
        <w:spacing w:after="0"/>
        <w:rPr>
          <w:sz w:val="20"/>
          <w:szCs w:val="20"/>
          <w:color w:val="auto"/>
        </w:rPr>
      </w:pPr>
      <w:r>
        <w:rPr>
          <w:rFonts w:ascii="Arial" w:cs="Arial" w:eastAsia="Arial" w:hAnsi="Arial"/>
          <w:sz w:val="16"/>
          <w:szCs w:val="16"/>
          <w:color w:val="auto"/>
        </w:rPr>
        <w:t>adjustment. However, as the acquired loans renew, it is generally necessary to establish an allowance which represents an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amount that, in management’s opinion, will be adequate to absorb probable credit losses in such loans.</w:t>
      </w:r>
    </w:p>
    <w:p>
      <w:pPr>
        <w:spacing w:after="0" w:line="20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To determine the adequacy of the allowance for loan losses, a formal analysis is completed quarterly to assess the risk within the loan portfolio. This assessment is reviewed by the Company’s senior management.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14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allowance consists of specific and general components. The specific component considers loans that are classified as impaired. For such loans that are classified as impaired, an allowance is established when either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4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fair value of the collateral, if the loan is collateral-dependent or based on the discounted cash flows of the loan at the loan’s effective interest rate. The amount of impairment and any subsequent changes are recorded through a charge to the provision for loan losses. For collateral dependent loans, the allowance is based upon the estimated fair value, net of selling costs, of the applicable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collateral. The required allowance or actual loss on an impaired loan could differ significantly if the ultimate fair value of the collateral is significantly different from the fair value estimate.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8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and to structure the Consolidated Balance Sheets to maximize stable net interest income in consideration of projected future changes in interest rates.</w:t>
      </w:r>
    </w:p>
    <w:p>
      <w:pPr>
        <w:spacing w:after="0" w:line="19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and +300 basis points.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183"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interest rate risk of First Busey as a result of immediate and sustained changes in interest rates, expressed as a change in net interest income as a percentage of the net interest income calculated in the constant base model, was as follows: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Year-One: Basis Point Changes</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- 200</w:t>
            </w: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- 100</w:t>
            </w: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+100</w:t>
            </w: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+200</w:t>
            </w: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June 30, 2019</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(8.51)%</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(4.58)%</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1.10 %</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2.77 %</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4.26 %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(9.86)%</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(3.58)%</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1.08 %</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2.01 %</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Year-Two: Basis Point Changes</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- 200</w:t>
            </w: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- 100</w:t>
            </w: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+100</w:t>
            </w: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+200</w:t>
            </w: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June 30, 2019</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(11.53)%</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(6.79)%</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2.87 %</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5.68 %</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8.25 %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(13.71)%</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(5.13)%</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1.97 %</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3.70 %</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5.32 %</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 The above results do not take into account any management action to mitigate potential risk.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An evaluation of our disclosure controls and procedures (as defined in Rule 13a-15(e) under the Exchange Act was carried out as of June 30, 2019, under the supervision and with the participation of our Chief Executive Officer, Chief Financial Officer and several other members of our senior management. Based on this evaluation, our Chief Executive Officer and Chief Financial Officer concluded that, as of June 30, 2019, our disclosure controls and procedures were effective in ensuring that the information we are required to disclose in the reports we file or submit under the Exchange Act was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During the quarter ended June 30, 2019, First Busey did not make any changes in its internal control over financial reporting or other factors that have materially affected, or are reasonably likely to materially affect, its internal control over financial reporting.</w:t>
      </w: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 part of the ordinary course of business, First Busey and its subsidiaries are parties to litigation that is incidental to their regular business activities.</w:t>
      </w:r>
    </w:p>
    <w:p>
      <w:pPr>
        <w:spacing w:after="0" w:line="18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disclosed in Item 1A of Part I of the Company’s 2018 Form 10-K.</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and replaced the prior repurchase plan originally approved in 2008. On May 22, 2019, First Busey’s board of directors approved an amendment to increase the authorized shares under the repurchase program by 1,000,000 shares. On June 14, 2019, the Company repurchased 333,334 shares in a private transaction for $25.30 per share. At June 30, 2019, the Company had 1,000,000 shares that may still be purchased under the plan.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1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Total Number of Shares</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3"/>
              </w:rPr>
              <w:t>Maximum number of</w:t>
            </w:r>
          </w:p>
        </w:tc>
      </w:tr>
      <w:tr>
        <w:trPr>
          <w:trHeight w:val="230"/>
        </w:trPr>
        <w:tc>
          <w:tcPr>
            <w:tcW w:w="1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1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Purchased as Part of</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Shares that May Yet Be</w:t>
            </w:r>
          </w:p>
        </w:tc>
      </w:tr>
      <w:tr>
        <w:trPr>
          <w:trHeight w:val="230"/>
        </w:trPr>
        <w:tc>
          <w:tcPr>
            <w:tcW w:w="1400" w:type="dxa"/>
            <w:vAlign w:val="bottom"/>
          </w:tcPr>
          <w:p>
            <w:pPr>
              <w:spacing w:after="0"/>
              <w:rPr>
                <w:sz w:val="19"/>
                <w:szCs w:val="19"/>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 number of</w:t>
            </w: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Average price paid</w:t>
            </w:r>
          </w:p>
        </w:tc>
        <w:tc>
          <w:tcPr>
            <w:tcW w:w="21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Publicly Announced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Repurchased Under the</w:t>
            </w:r>
          </w:p>
        </w:tc>
      </w:tr>
      <w:tr>
        <w:trPr>
          <w:trHeight w:val="234"/>
        </w:trPr>
        <w:tc>
          <w:tcPr>
            <w:tcW w:w="14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Period</w:t>
            </w: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shared purchased</w:t>
            </w:r>
          </w:p>
        </w:tc>
        <w:tc>
          <w:tcPr>
            <w:tcW w:w="17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per share</w:t>
            </w:r>
          </w:p>
        </w:tc>
        <w:tc>
          <w:tcPr>
            <w:tcW w:w="2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Programs</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w:t>
            </w:r>
          </w:p>
        </w:tc>
      </w:tr>
      <w:tr>
        <w:trPr>
          <w:trHeight w:val="223"/>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April 1-30, 2019</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333,334</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May 1-31, 2019</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1,333,334</w:t>
            </w:r>
          </w:p>
        </w:tc>
      </w:tr>
      <w:tr>
        <w:trPr>
          <w:trHeight w:val="230"/>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June 1-30, 2019</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333,334</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$ 25.30</w:t>
            </w: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333,334</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9" w:name="page60"/>
    <w:bookmarkEnd w:id="5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8120" w:type="dxa"/>
            <w:vAlign w:val="bottom"/>
            <w:gridSpan w:val="11"/>
          </w:tcPr>
          <w:p>
            <w:pPr>
              <w:ind w:left="2820"/>
              <w:spacing w:after="0"/>
              <w:rPr>
                <w:sz w:val="20"/>
                <w:szCs w:val="20"/>
                <w:color w:val="auto"/>
              </w:rPr>
            </w:pPr>
            <w:r>
              <w:rPr>
                <w:rFonts w:ascii="Arial" w:cs="Arial" w:eastAsia="Arial" w:hAnsi="Arial"/>
                <w:sz w:val="18"/>
                <w:szCs w:val="18"/>
                <w:b w:val="1"/>
                <w:bCs w:val="1"/>
                <w:color w:val="auto"/>
              </w:rPr>
              <w:t>ITEM 6. EXHIBITS</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8120" w:type="dxa"/>
            <w:vAlign w:val="bottom"/>
            <w:tcBorders>
              <w:bottom w:val="single" w:sz="8" w:color="0000EE"/>
            </w:tcBorders>
            <w:gridSpan w:val="11"/>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Employment Agreement Addendum by and between First Busey Corporation and Christopher M. Shroyer, dated</w:t>
              </w:r>
            </w:hyperlink>
          </w:p>
        </w:tc>
      </w:tr>
      <w:tr>
        <w:trPr>
          <w:trHeight w:val="183"/>
        </w:trPr>
        <w:tc>
          <w:tcPr>
            <w:tcW w:w="920" w:type="dxa"/>
            <w:vAlign w:val="bottom"/>
          </w:tcPr>
          <w:p>
            <w:pPr>
              <w:spacing w:after="0"/>
              <w:rPr>
                <w:sz w:val="15"/>
                <w:szCs w:val="15"/>
                <w:color w:val="auto"/>
              </w:rPr>
            </w:pPr>
          </w:p>
        </w:tc>
        <w:tc>
          <w:tcPr>
            <w:tcW w:w="8120" w:type="dxa"/>
            <w:vAlign w:val="bottom"/>
            <w:gridSpan w:val="11"/>
          </w:tcPr>
          <w:p>
            <w:pPr>
              <w:spacing w:after="0" w:line="182" w:lineRule="exact"/>
              <w:rPr>
                <w:rFonts w:ascii="Arial" w:cs="Arial" w:eastAsia="Arial" w:hAnsi="Arial"/>
                <w:sz w:val="18"/>
                <w:szCs w:val="18"/>
                <w:color w:val="0000EE"/>
                <w:w w:val="94"/>
              </w:rPr>
            </w:pPr>
            <w:hyperlink r:id="rId88">
              <w:r>
                <w:rPr>
                  <w:rFonts w:ascii="Arial" w:cs="Arial" w:eastAsia="Arial" w:hAnsi="Arial"/>
                  <w:sz w:val="18"/>
                  <w:szCs w:val="18"/>
                  <w:color w:val="0000EE"/>
                  <w:w w:val="94"/>
                </w:rPr>
                <w:t>April 23, 2019 (filed as Exhibit 99.2 to the Company’s Form 8-K filed with the Commission on April 23, 2019</w:t>
              </w:r>
            </w:hyperlink>
          </w:p>
        </w:tc>
      </w:tr>
      <w:tr>
        <w:trPr>
          <w:trHeight w:val="183"/>
        </w:trPr>
        <w:tc>
          <w:tcPr>
            <w:tcW w:w="920" w:type="dxa"/>
            <w:vAlign w:val="bottom"/>
          </w:tcPr>
          <w:p>
            <w:pPr>
              <w:spacing w:after="0"/>
              <w:rPr>
                <w:sz w:val="15"/>
                <w:szCs w:val="15"/>
                <w:color w:val="auto"/>
              </w:rPr>
            </w:pPr>
          </w:p>
        </w:tc>
        <w:tc>
          <w:tcPr>
            <w:tcW w:w="48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(Commission No. 0-15950), and incorporated herein by reference).</w:t>
              </w:r>
            </w:hyperlink>
          </w:p>
        </w:tc>
        <w:tc>
          <w:tcPr>
            <w:tcW w:w="3140" w:type="dxa"/>
            <w:vAlign w:val="bottom"/>
            <w:tcBorders>
              <w:top w:val="single" w:sz="8" w:color="0000EE"/>
            </w:tcBorders>
            <w:gridSpan w:val="5"/>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8120" w:type="dxa"/>
            <w:vAlign w:val="bottom"/>
            <w:gridSpan w:val="11"/>
          </w:tcPr>
          <w:p>
            <w:pPr>
              <w:spacing w:after="0"/>
              <w:rPr>
                <w:rFonts w:ascii="Arial" w:cs="Arial" w:eastAsia="Arial" w:hAnsi="Arial"/>
                <w:sz w:val="18"/>
                <w:szCs w:val="18"/>
                <w:color w:val="0000EE"/>
                <w:w w:val="93"/>
              </w:rPr>
            </w:pPr>
            <w:hyperlink r:id="rId89">
              <w:r>
                <w:rPr>
                  <w:rFonts w:ascii="Arial" w:cs="Arial" w:eastAsia="Arial" w:hAnsi="Arial"/>
                  <w:sz w:val="18"/>
                  <w:szCs w:val="18"/>
                  <w:color w:val="0000EE"/>
                  <w:w w:val="93"/>
                </w:rPr>
                <w:t>Letter Agreement by and between First Busey Corporation and Robin N. Elliott, dated April 23, 2019 (filed as</w:t>
              </w:r>
            </w:hyperlink>
          </w:p>
        </w:tc>
      </w:tr>
      <w:tr>
        <w:trPr>
          <w:trHeight w:val="183"/>
        </w:trPr>
        <w:tc>
          <w:tcPr>
            <w:tcW w:w="920" w:type="dxa"/>
            <w:vAlign w:val="bottom"/>
          </w:tcPr>
          <w:p>
            <w:pPr>
              <w:spacing w:after="0"/>
              <w:rPr>
                <w:sz w:val="15"/>
                <w:szCs w:val="15"/>
                <w:color w:val="auto"/>
              </w:rPr>
            </w:pPr>
          </w:p>
        </w:tc>
        <w:tc>
          <w:tcPr>
            <w:tcW w:w="7960" w:type="dxa"/>
            <w:vAlign w:val="bottom"/>
            <w:tcBorders>
              <w:top w:val="single" w:sz="8" w:color="0000EE"/>
            </w:tcBorders>
            <w:gridSpan w:val="8"/>
          </w:tcPr>
          <w:p>
            <w:pPr>
              <w:spacing w:after="0" w:line="182" w:lineRule="exact"/>
              <w:rPr>
                <w:rFonts w:ascii="Arial" w:cs="Arial" w:eastAsia="Arial" w:hAnsi="Arial"/>
                <w:sz w:val="18"/>
                <w:szCs w:val="18"/>
                <w:color w:val="0000EE"/>
                <w:w w:val="95"/>
              </w:rPr>
            </w:pPr>
            <w:hyperlink r:id="rId89">
              <w:r>
                <w:rPr>
                  <w:rFonts w:ascii="Arial" w:cs="Arial" w:eastAsia="Arial" w:hAnsi="Arial"/>
                  <w:sz w:val="18"/>
                  <w:szCs w:val="18"/>
                  <w:color w:val="0000EE"/>
                  <w:w w:val="95"/>
                </w:rPr>
                <w:t>Exhibit 99.3 to the Company’s Form 8-K filed with the Commission on April 23, 2019 (Commission No. 0-</w:t>
              </w:r>
            </w:hyperlink>
          </w:p>
        </w:tc>
        <w:tc>
          <w:tcPr>
            <w:tcW w:w="1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3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15950)</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 xml:space="preserve"> and incorporated herein by reference).</w:t>
              </w:r>
            </w:hyperlink>
          </w:p>
        </w:tc>
        <w:tc>
          <w:tcPr>
            <w:tcW w:w="4420" w:type="dxa"/>
            <w:vAlign w:val="bottom"/>
            <w:tcBorders>
              <w:top w:val="single" w:sz="8" w:color="0000EE"/>
            </w:tcBorders>
            <w:gridSpan w:val="6"/>
          </w:tcPr>
          <w:p>
            <w:pPr>
              <w:spacing w:after="0"/>
              <w:rPr>
                <w:sz w:val="15"/>
                <w:szCs w:val="15"/>
                <w:color w:val="auto"/>
              </w:rPr>
            </w:pPr>
          </w:p>
        </w:tc>
        <w:tc>
          <w:tcPr>
            <w:tcW w:w="3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66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Certification of Principal Executive Officer, pursuant to Rule 13a-14(a) and Rule 15d-14(a).</w:t>
            </w:r>
          </w:p>
        </w:tc>
        <w:tc>
          <w:tcPr>
            <w:tcW w:w="1480" w:type="dxa"/>
            <w:vAlign w:val="bottom"/>
            <w:gridSpan w:val="5"/>
          </w:tcPr>
          <w:p>
            <w:pPr>
              <w:spacing w:after="0"/>
              <w:rPr>
                <w:sz w:val="24"/>
                <w:szCs w:val="24"/>
                <w:color w:val="auto"/>
              </w:rPr>
            </w:pPr>
          </w:p>
        </w:tc>
      </w:tr>
      <w:tr>
        <w:trPr>
          <w:trHeight w:val="439"/>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8120" w:type="dxa"/>
            <w:vAlign w:val="bottom"/>
            <w:gridSpan w:val="11"/>
          </w:tcPr>
          <w:p>
            <w:pPr>
              <w:spacing w:after="0"/>
              <w:rPr>
                <w:sz w:val="20"/>
                <w:szCs w:val="20"/>
                <w:color w:val="auto"/>
              </w:rPr>
            </w:pPr>
            <w:r>
              <w:rPr>
                <w:rFonts w:ascii="Arial" w:cs="Arial" w:eastAsia="Arial" w:hAnsi="Arial"/>
                <w:sz w:val="18"/>
                <w:szCs w:val="18"/>
                <w:color w:val="0000EE"/>
              </w:rPr>
              <w:t>Certification of Principal Financial Officer, pursuant to Rule 13a-14(a) and Rule 15d-14(a).</w:t>
            </w:r>
          </w:p>
        </w:tc>
      </w:tr>
      <w:tr>
        <w:trPr>
          <w:trHeight w:val="20"/>
        </w:trPr>
        <w:tc>
          <w:tcPr>
            <w:tcW w:w="920" w:type="dxa"/>
            <w:vAlign w:val="bottom"/>
          </w:tcPr>
          <w:p>
            <w:pPr>
              <w:spacing w:after="0" w:line="20" w:lineRule="exact"/>
              <w:rPr>
                <w:sz w:val="1"/>
                <w:szCs w:val="1"/>
                <w:color w:val="auto"/>
              </w:rPr>
            </w:pPr>
          </w:p>
        </w:tc>
        <w:tc>
          <w:tcPr>
            <w:tcW w:w="3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8120" w:type="dxa"/>
            <w:vAlign w:val="bottom"/>
            <w:gridSpan w:val="11"/>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w:t>
            </w:r>
          </w:p>
        </w:tc>
      </w:tr>
      <w:tr>
        <w:trPr>
          <w:trHeight w:val="183"/>
        </w:trPr>
        <w:tc>
          <w:tcPr>
            <w:tcW w:w="920" w:type="dxa"/>
            <w:vAlign w:val="bottom"/>
          </w:tcPr>
          <w:p>
            <w:pPr>
              <w:spacing w:after="0"/>
              <w:rPr>
                <w:sz w:val="15"/>
                <w:szCs w:val="15"/>
                <w:color w:val="auto"/>
              </w:rPr>
            </w:pPr>
          </w:p>
        </w:tc>
        <w:tc>
          <w:tcPr>
            <w:tcW w:w="394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2"/>
              </w:rPr>
              <w:t>of 2002, from the Company’s Chief Executive Officer.</w:t>
            </w:r>
          </w:p>
        </w:tc>
        <w:tc>
          <w:tcPr>
            <w:tcW w:w="4140" w:type="dxa"/>
            <w:vAlign w:val="bottom"/>
            <w:tcBorders>
              <w:top w:val="single" w:sz="8" w:color="0000EE"/>
            </w:tcBorders>
            <w:gridSpan w:val="7"/>
          </w:tcPr>
          <w:p>
            <w:pPr>
              <w:spacing w:after="0"/>
              <w:rPr>
                <w:sz w:val="15"/>
                <w:szCs w:val="15"/>
                <w:color w:val="auto"/>
              </w:rPr>
            </w:pPr>
          </w:p>
        </w:tc>
        <w:tc>
          <w:tcPr>
            <w:tcW w:w="40" w:type="dxa"/>
            <w:vAlign w:val="bottom"/>
          </w:tcPr>
          <w:p>
            <w:pPr>
              <w:spacing w:after="0"/>
              <w:rPr>
                <w:sz w:val="15"/>
                <w:szCs w:val="15"/>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8120" w:type="dxa"/>
            <w:vAlign w:val="bottom"/>
            <w:gridSpan w:val="11"/>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w:t>
            </w:r>
          </w:p>
        </w:tc>
      </w:tr>
      <w:tr>
        <w:trPr>
          <w:trHeight w:val="183"/>
        </w:trPr>
        <w:tc>
          <w:tcPr>
            <w:tcW w:w="920" w:type="dxa"/>
            <w:vAlign w:val="bottom"/>
          </w:tcPr>
          <w:p>
            <w:pPr>
              <w:spacing w:after="0"/>
              <w:rPr>
                <w:sz w:val="15"/>
                <w:szCs w:val="15"/>
                <w:color w:val="auto"/>
              </w:rPr>
            </w:pPr>
          </w:p>
        </w:tc>
        <w:tc>
          <w:tcPr>
            <w:tcW w:w="808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of 2002, from the Company’s Chief Financial Officer.</w:t>
            </w:r>
          </w:p>
        </w:tc>
        <w:tc>
          <w:tcPr>
            <w:tcW w:w="40" w:type="dxa"/>
            <w:vAlign w:val="bottom"/>
          </w:tcPr>
          <w:p>
            <w:pPr>
              <w:spacing w:after="0"/>
              <w:rPr>
                <w:sz w:val="15"/>
                <w:szCs w:val="15"/>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iXBRL Instance Document</w:t>
            </w:r>
          </w:p>
        </w:tc>
        <w:tc>
          <w:tcPr>
            <w:tcW w:w="4240" w:type="dxa"/>
            <w:vAlign w:val="bottom"/>
            <w:gridSpan w:val="9"/>
          </w:tcPr>
          <w:p>
            <w:pPr>
              <w:spacing w:after="0"/>
              <w:rPr>
                <w:sz w:val="24"/>
                <w:szCs w:val="24"/>
                <w:color w:val="auto"/>
              </w:rPr>
            </w:pP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8120" w:type="dxa"/>
            <w:vAlign w:val="bottom"/>
            <w:gridSpan w:val="11"/>
          </w:tcPr>
          <w:p>
            <w:pPr>
              <w:spacing w:after="0"/>
              <w:rPr>
                <w:sz w:val="20"/>
                <w:szCs w:val="20"/>
                <w:color w:val="auto"/>
              </w:rPr>
            </w:pPr>
            <w:r>
              <w:rPr>
                <w:rFonts w:ascii="Arial" w:cs="Arial" w:eastAsia="Arial" w:hAnsi="Arial"/>
                <w:sz w:val="18"/>
                <w:szCs w:val="18"/>
                <w:color w:val="auto"/>
              </w:rPr>
              <w:t>iXBRL Taxonomy Extension Schema</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8120" w:type="dxa"/>
            <w:vAlign w:val="bottom"/>
            <w:gridSpan w:val="11"/>
          </w:tcPr>
          <w:p>
            <w:pPr>
              <w:spacing w:after="0"/>
              <w:rPr>
                <w:sz w:val="20"/>
                <w:szCs w:val="20"/>
                <w:color w:val="auto"/>
              </w:rPr>
            </w:pPr>
            <w:r>
              <w:rPr>
                <w:rFonts w:ascii="Arial" w:cs="Arial" w:eastAsia="Arial" w:hAnsi="Arial"/>
                <w:sz w:val="18"/>
                <w:szCs w:val="18"/>
                <w:color w:val="auto"/>
              </w:rPr>
              <w:t>iXBRL Taxonomy Extension Calculation Linkbase</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8120" w:type="dxa"/>
            <w:vAlign w:val="bottom"/>
            <w:gridSpan w:val="11"/>
          </w:tcPr>
          <w:p>
            <w:pPr>
              <w:spacing w:after="0"/>
              <w:rPr>
                <w:sz w:val="20"/>
                <w:szCs w:val="20"/>
                <w:color w:val="auto"/>
              </w:rPr>
            </w:pPr>
            <w:r>
              <w:rPr>
                <w:rFonts w:ascii="Arial" w:cs="Arial" w:eastAsia="Arial" w:hAnsi="Arial"/>
                <w:sz w:val="18"/>
                <w:szCs w:val="18"/>
                <w:color w:val="auto"/>
              </w:rPr>
              <w:t>iXBRL Taxonomy Extension Label Linkbase</w:t>
            </w:r>
          </w:p>
        </w:tc>
      </w:tr>
      <w:tr>
        <w:trPr>
          <w:trHeight w:val="513"/>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8120" w:type="dxa"/>
            <w:vAlign w:val="bottom"/>
            <w:gridSpan w:val="11"/>
          </w:tcPr>
          <w:p>
            <w:pPr>
              <w:spacing w:after="0"/>
              <w:rPr>
                <w:sz w:val="20"/>
                <w:szCs w:val="20"/>
                <w:color w:val="auto"/>
              </w:rPr>
            </w:pPr>
            <w:r>
              <w:rPr>
                <w:rFonts w:ascii="Arial" w:cs="Arial" w:eastAsia="Arial" w:hAnsi="Arial"/>
                <w:sz w:val="18"/>
                <w:szCs w:val="18"/>
                <w:color w:val="auto"/>
              </w:rPr>
              <w:t>iXBRL Taxonomy Extension Presentation Linkbase</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8120" w:type="dxa"/>
            <w:vAlign w:val="bottom"/>
            <w:gridSpan w:val="11"/>
          </w:tcPr>
          <w:p>
            <w:pPr>
              <w:spacing w:after="0"/>
              <w:rPr>
                <w:sz w:val="20"/>
                <w:szCs w:val="20"/>
                <w:color w:val="auto"/>
              </w:rPr>
            </w:pPr>
            <w:r>
              <w:rPr>
                <w:rFonts w:ascii="Arial" w:cs="Arial" w:eastAsia="Arial" w:hAnsi="Arial"/>
                <w:sz w:val="18"/>
                <w:szCs w:val="18"/>
                <w:color w:val="auto"/>
              </w:rPr>
              <w:t>iXBRL Taxonomy Extension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368935</wp:posOffset>
            </wp:positionV>
            <wp:extent cx="14408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0" w:hanging="331"/>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349250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59"/>
          </w:cols>
          <w:pgMar w:left="1400" w:top="530" w:right="1440"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19"/>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FIRST BUSEY CORPORATION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w:t>
      </w:r>
    </w:p>
    <w:p>
      <w:pPr>
        <w:spacing w:after="0" w:line="2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By:/s/ VAN A. DUKEMAN</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-130175</wp:posOffset>
            </wp:positionV>
            <wp:extent cx="26498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8"/>
          <w:szCs w:val="18"/>
          <w:color w:val="auto"/>
        </w:rPr>
        <w:t>(Principal Executive Officer)</w:t>
      </w:r>
    </w:p>
    <w:p>
      <w:pPr>
        <w:spacing w:after="0" w:line="20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By:/s/ ROBIN N. ELLIOTT</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-130175</wp:posOffset>
            </wp:positionV>
            <wp:extent cx="26498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Financial Officer</w:t>
      </w:r>
    </w:p>
    <w:p>
      <w:pPr>
        <w:ind w:left="4880"/>
        <w:spacing w:after="0"/>
        <w:rPr>
          <w:sz w:val="20"/>
          <w:szCs w:val="20"/>
          <w:color w:val="auto"/>
        </w:rPr>
      </w:pPr>
      <w:r>
        <w:rPr>
          <w:rFonts w:ascii="Arial" w:cs="Arial" w:eastAsia="Arial" w:hAnsi="Arial"/>
          <w:sz w:val="17"/>
          <w:szCs w:val="17"/>
          <w:color w:val="auto"/>
        </w:rPr>
        <w:t>(Principal Financial Officer and Principal Accounting</w:t>
      </w:r>
    </w:p>
    <w:p>
      <w:pPr>
        <w:spacing w:after="0" w:line="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661"/>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21" w:hanging="321"/>
        <w:spacing w:after="0"/>
        <w:tabs>
          <w:tab w:leader="none" w:pos="3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21" w:right="100" w:hanging="321"/>
        <w:spacing w:after="0" w:line="264" w:lineRule="auto"/>
        <w:tabs>
          <w:tab w:leader="none" w:pos="32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21" w:hanging="321"/>
        <w:spacing w:after="0" w:line="264" w:lineRule="auto"/>
        <w:tabs>
          <w:tab w:leader="none" w:pos="32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1" w:lineRule="exact"/>
        <w:rPr>
          <w:rFonts w:ascii="Arial" w:cs="Arial" w:eastAsia="Arial" w:hAnsi="Arial"/>
          <w:sz w:val="18"/>
          <w:szCs w:val="18"/>
          <w:color w:val="auto"/>
        </w:rPr>
      </w:pPr>
    </w:p>
    <w:p>
      <w:pPr>
        <w:ind w:left="321" w:right="220" w:hanging="321"/>
        <w:spacing w:after="0" w:line="264"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1" w:right="60" w:hanging="320"/>
        <w:spacing w:after="0" w:line="286" w:lineRule="auto"/>
        <w:tabs>
          <w:tab w:leader="none" w:pos="642"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5" w:lineRule="exact"/>
        <w:rPr>
          <w:rFonts w:ascii="Arial" w:cs="Arial" w:eastAsia="Arial" w:hAnsi="Arial"/>
          <w:sz w:val="17"/>
          <w:szCs w:val="17"/>
          <w:color w:val="auto"/>
        </w:rPr>
      </w:pPr>
    </w:p>
    <w:p>
      <w:pPr>
        <w:ind w:left="601" w:right="360" w:hanging="320"/>
        <w:spacing w:after="0" w:line="286" w:lineRule="auto"/>
        <w:tabs>
          <w:tab w:leader="none" w:pos="652"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01" w:right="60" w:hanging="320"/>
        <w:spacing w:after="0" w:line="264" w:lineRule="auto"/>
        <w:tabs>
          <w:tab w:leader="none" w:pos="642"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ind w:left="601" w:right="160" w:hanging="320"/>
        <w:spacing w:after="0" w:line="312" w:lineRule="auto"/>
        <w:tabs>
          <w:tab w:leader="none" w:pos="652"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321" w:right="360" w:hanging="321"/>
        <w:spacing w:after="0" w:line="264"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41" w:right="20" w:hanging="317"/>
        <w:spacing w:after="0" w:line="342" w:lineRule="auto"/>
        <w:tabs>
          <w:tab w:leader="none" w:pos="636" w:val="left"/>
        </w:tabs>
        <w:numPr>
          <w:ilvl w:val="2"/>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41" w:right="260" w:hanging="317"/>
        <w:spacing w:after="0" w:line="277" w:lineRule="auto"/>
        <w:tabs>
          <w:tab w:leader="none" w:pos="647"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/s/ VAN A. DUKEMAN</w:t>
      </w:r>
    </w:p>
    <w:p>
      <w:pPr>
        <w:spacing w:after="0" w:line="2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-130810</wp:posOffset>
            </wp:positionV>
            <wp:extent cx="31902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August 7,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681"/>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Robin N. Elliott, Chief Financial Officer of First Busey Corporation, certify that:</w:t>
      </w:r>
    </w:p>
    <w:p>
      <w:pPr>
        <w:spacing w:after="0" w:line="225" w:lineRule="exact"/>
        <w:rPr>
          <w:sz w:val="20"/>
          <w:szCs w:val="20"/>
          <w:color w:val="auto"/>
        </w:rPr>
      </w:pPr>
    </w:p>
    <w:p>
      <w:pPr>
        <w:ind w:left="321" w:hanging="321"/>
        <w:spacing w:after="0"/>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21" w:right="100" w:hanging="321"/>
        <w:spacing w:after="0" w:line="264" w:lineRule="auto"/>
        <w:tabs>
          <w:tab w:leader="none" w:pos="3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21" w:hanging="321"/>
        <w:spacing w:after="0" w:line="264" w:lineRule="auto"/>
        <w:tabs>
          <w:tab w:leader="none" w:pos="3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1" w:lineRule="exact"/>
        <w:rPr>
          <w:rFonts w:ascii="Arial" w:cs="Arial" w:eastAsia="Arial" w:hAnsi="Arial"/>
          <w:sz w:val="18"/>
          <w:szCs w:val="18"/>
          <w:color w:val="auto"/>
        </w:rPr>
      </w:pPr>
    </w:p>
    <w:p>
      <w:pPr>
        <w:ind w:left="321" w:right="220" w:hanging="321"/>
        <w:spacing w:after="0" w:line="264"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41" w:right="20" w:hanging="317"/>
        <w:spacing w:after="0" w:line="286" w:lineRule="auto"/>
        <w:tabs>
          <w:tab w:leader="none" w:pos="636" w:val="left"/>
        </w:tabs>
        <w:numPr>
          <w:ilvl w:val="2"/>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5" w:lineRule="exact"/>
        <w:rPr>
          <w:rFonts w:ascii="Arial" w:cs="Arial" w:eastAsia="Arial" w:hAnsi="Arial"/>
          <w:sz w:val="17"/>
          <w:szCs w:val="17"/>
          <w:color w:val="auto"/>
        </w:rPr>
      </w:pPr>
    </w:p>
    <w:p>
      <w:pPr>
        <w:ind w:left="601" w:right="360" w:hanging="320"/>
        <w:spacing w:after="0" w:line="286" w:lineRule="auto"/>
        <w:tabs>
          <w:tab w:leader="none" w:pos="652"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01" w:right="60" w:hanging="320"/>
        <w:spacing w:after="0" w:line="264" w:lineRule="auto"/>
        <w:tabs>
          <w:tab w:leader="none" w:pos="642"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ind w:left="601" w:right="160" w:hanging="320"/>
        <w:spacing w:after="0" w:line="312" w:lineRule="auto"/>
        <w:tabs>
          <w:tab w:leader="none" w:pos="652"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321" w:right="360" w:hanging="321"/>
        <w:spacing w:after="0" w:line="264"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41" w:right="20" w:hanging="317"/>
        <w:spacing w:after="0" w:line="342" w:lineRule="auto"/>
        <w:tabs>
          <w:tab w:leader="none" w:pos="636" w:val="left"/>
        </w:tabs>
        <w:numPr>
          <w:ilvl w:val="2"/>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41" w:right="260" w:hanging="317"/>
        <w:spacing w:after="0" w:line="277" w:lineRule="auto"/>
        <w:tabs>
          <w:tab w:leader="none" w:pos="647"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/s/ ROBIN N. ELLIOTT</w:t>
      </w:r>
    </w:p>
    <w:p>
      <w:pPr>
        <w:spacing w:after="0" w:line="2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-130810</wp:posOffset>
            </wp:positionV>
            <wp:extent cx="31902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August 7,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63" w:name="page64"/>
    <w:bookmarkEnd w:id="63"/>
    <w:p>
      <w:pPr>
        <w:ind w:left="894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June 30, 2019,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VAN A. DUKEMAN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64" w:name="page65"/>
    <w:bookmarkEnd w:id="64"/>
    <w:p>
      <w:pPr>
        <w:ind w:left="894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June 30, 2019,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ROBIN N. ELLIOTT</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88" Type="http://schemas.openxmlformats.org/officeDocument/2006/relationships/hyperlink" Target="http://www.sec.gov/Archives/edgar/data/314489/000031448919000017/exhibit99_2.htm" TargetMode="External"/><Relationship Id="rId89" Type="http://schemas.openxmlformats.org/officeDocument/2006/relationships/hyperlink" Target="http://www.sec.gov/Archives/edgar/data/314489/000031448919000017/exhibit99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2019-11-30T08:41:59Z</dcterms:created>
  <dcterms:modified xsi:type="dcterms:W3CDTF">2019-11-30T08:41:59Z</dcterms:modified>
</cp:coreProperties>
</file>