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20, 2026</w:t>
      </w:r>
    </w:p>
    <w:p>
      <w:pPr>
        <w:ind w:left="3520"/>
        <w:spacing w:after="0"/>
        <w:rPr>
          <w:sz w:val="20"/>
          <w:szCs w:val="20"/>
          <w:color w:val="auto"/>
        </w:rPr>
      </w:pPr>
      <w:r>
        <w:rPr>
          <w:rFonts w:ascii="Arial" w:cs="Arial" w:eastAsia="Arial" w:hAnsi="Arial"/>
          <w:sz w:val="18"/>
          <w:szCs w:val="18"/>
          <w:color w:val="auto"/>
        </w:rPr>
        <w:t>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109220</wp:posOffset>
            </wp:positionV>
            <wp:extent cx="125158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158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First Busey Corporation</w:t>
      </w:r>
    </w:p>
    <w:p>
      <w:pPr>
        <w:jc w:val="center"/>
        <w:spacing w:after="0" w:line="215" w:lineRule="auto"/>
        <w:rPr>
          <w:sz w:val="20"/>
          <w:szCs w:val="20"/>
          <w:color w:val="auto"/>
        </w:rPr>
      </w:pPr>
      <w:r>
        <w:rPr>
          <w:rFonts w:ascii="Arial" w:cs="Arial" w:eastAsia="Arial" w:hAnsi="Arial"/>
          <w:sz w:val="18"/>
          <w:szCs w:val="18"/>
          <w:color w:val="auto"/>
        </w:rPr>
        <w:t>(Exact name of Registrant as specified in its charter)</w:t>
      </w:r>
    </w:p>
    <w:p>
      <w:pPr>
        <w:ind w:left="3520"/>
        <w:spacing w:after="0"/>
        <w:rPr>
          <w:sz w:val="20"/>
          <w:szCs w:val="20"/>
          <w:color w:val="auto"/>
        </w:rPr>
      </w:pPr>
      <w:r>
        <w:rPr>
          <w:rFonts w:ascii="Arial" w:cs="Arial" w:eastAsia="Arial" w:hAnsi="Arial"/>
          <w:sz w:val="18"/>
          <w:szCs w:val="18"/>
          <w:color w:val="auto"/>
        </w:rPr>
        <w:t>__________________________________________</w:t>
      </w:r>
    </w:p>
    <w:p>
      <w:pPr>
        <w:sectPr>
          <w:pgSz w:w="11900" w:h="16838" w:orient="portrait"/>
          <w:cols w:equalWidth="0" w:num="1">
            <w:col w:w="11240"/>
          </w:cols>
          <w:pgMar w:left="320" w:top="1440" w:right="339" w:bottom="1440" w:gutter="0" w:footer="0" w:header="0"/>
        </w:sectPr>
      </w:pPr>
    </w:p>
    <w:p>
      <w:pPr>
        <w:spacing w:after="0" w:line="194" w:lineRule="exact"/>
        <w:rPr>
          <w:sz w:val="24"/>
          <w:szCs w:val="24"/>
          <w:color w:val="auto"/>
        </w:rPr>
      </w:pPr>
    </w:p>
    <w:p>
      <w:pPr>
        <w:ind w:left="1560"/>
        <w:spacing w:after="0"/>
        <w:rPr>
          <w:sz w:val="20"/>
          <w:szCs w:val="20"/>
          <w:color w:val="auto"/>
        </w:rPr>
      </w:pPr>
      <w:r>
        <w:rPr>
          <w:rFonts w:ascii="Arial" w:cs="Arial" w:eastAsia="Arial" w:hAnsi="Arial"/>
          <w:sz w:val="17"/>
          <w:szCs w:val="17"/>
          <w:b w:val="1"/>
          <w:bCs w:val="1"/>
          <w:color w:val="auto"/>
        </w:rPr>
        <w:t>Nevada</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001-42677</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37-1078406</w:t>
      </w:r>
    </w:p>
    <w:p>
      <w:pPr>
        <w:spacing w:after="0" w:line="51" w:lineRule="exact"/>
        <w:rPr>
          <w:sz w:val="24"/>
          <w:szCs w:val="24"/>
          <w:color w:val="auto"/>
        </w:rPr>
      </w:pPr>
    </w:p>
    <w:p>
      <w:pPr>
        <w:sectPr>
          <w:pgSz w:w="11900" w:h="16838" w:orient="portrait"/>
          <w:cols w:equalWidth="0" w:num="3">
            <w:col w:w="4460" w:space="720"/>
            <w:col w:w="2980" w:space="720"/>
            <w:col w:w="2360"/>
          </w:cols>
          <w:pgMar w:left="320" w:top="1440" w:right="339" w:bottom="1440" w:gutter="0" w:footer="0" w:header="0"/>
          <w:type w:val="continuous"/>
        </w:sectPr>
      </w:pPr>
    </w:p>
    <w:p>
      <w:pPr>
        <w:ind w:left="104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55" w:lineRule="exact"/>
        <w:rPr>
          <w:sz w:val="24"/>
          <w:szCs w:val="24"/>
          <w:color w:val="auto"/>
        </w:rPr>
      </w:pPr>
    </w:p>
    <w:p>
      <w:pPr>
        <w:sectPr>
          <w:pgSz w:w="11900" w:h="16838" w:orient="portrait"/>
          <w:cols w:equalWidth="0" w:num="3">
            <w:col w:w="3920" w:space="720"/>
            <w:col w:w="2760" w:space="720"/>
            <w:col w:w="3120"/>
          </w:cols>
          <w:pgMar w:left="320" w:top="1440" w:right="3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11440 Tomahawk Creek Parkway</w:t>
      </w:r>
    </w:p>
    <w:p>
      <w:pPr>
        <w:jc w:val="center"/>
        <w:ind w:right="20"/>
        <w:spacing w:after="0"/>
        <w:rPr>
          <w:sz w:val="20"/>
          <w:szCs w:val="20"/>
          <w:color w:val="auto"/>
        </w:rPr>
      </w:pPr>
      <w:r>
        <w:rPr>
          <w:rFonts w:ascii="Arial" w:cs="Arial" w:eastAsia="Arial" w:hAnsi="Arial"/>
          <w:sz w:val="18"/>
          <w:szCs w:val="18"/>
          <w:b w:val="1"/>
          <w:bCs w:val="1"/>
          <w:color w:val="auto"/>
        </w:rPr>
        <w:t>Leawood, Kansas 66211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(217) 365-4544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12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12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12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7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Trading</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w:t>
            </w:r>
          </w:p>
        </w:tc>
        <w:tc>
          <w:tcPr>
            <w:tcW w:w="0" w:type="dxa"/>
            <w:vAlign w:val="bottom"/>
          </w:tcPr>
          <w:p>
            <w:pPr>
              <w:spacing w:after="0"/>
              <w:rPr>
                <w:sz w:val="1"/>
                <w:szCs w:val="1"/>
                <w:color w:val="auto"/>
              </w:rPr>
            </w:pPr>
          </w:p>
        </w:tc>
      </w:tr>
      <w:tr>
        <w:trPr>
          <w:trHeight w:val="216"/>
        </w:trPr>
        <w:tc>
          <w:tcPr>
            <w:tcW w:w="7600" w:type="dxa"/>
            <w:vAlign w:val="bottom"/>
            <w:gridSpan w:val="2"/>
            <w:vMerge w:val="continue"/>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Symbol(s)</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which registered</w:t>
            </w:r>
          </w:p>
        </w:tc>
        <w:tc>
          <w:tcPr>
            <w:tcW w:w="0" w:type="dxa"/>
            <w:vAlign w:val="bottom"/>
          </w:tcPr>
          <w:p>
            <w:pPr>
              <w:spacing w:after="0"/>
              <w:rPr>
                <w:sz w:val="1"/>
                <w:szCs w:val="1"/>
                <w:color w:val="auto"/>
              </w:rPr>
            </w:pPr>
          </w:p>
        </w:tc>
      </w:tr>
      <w:tr>
        <w:trPr>
          <w:trHeight w:val="218"/>
        </w:trPr>
        <w:tc>
          <w:tcPr>
            <w:tcW w:w="7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$0.001 par value</w:t>
            </w:r>
          </w:p>
        </w:tc>
        <w:tc>
          <w:tcPr>
            <w:tcW w:w="8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BUSE</w:t>
            </w:r>
          </w:p>
        </w:tc>
        <w:tc>
          <w:tcPr>
            <w:tcW w:w="80" w:type="dxa"/>
            <w:vAlign w:val="bottom"/>
          </w:tcPr>
          <w:p>
            <w:pPr>
              <w:spacing w:after="0"/>
              <w:rPr>
                <w:sz w:val="18"/>
                <w:szCs w:val="18"/>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Stock Market LLC</w:t>
            </w:r>
          </w:p>
        </w:tc>
        <w:tc>
          <w:tcPr>
            <w:tcW w:w="0" w:type="dxa"/>
            <w:vAlign w:val="bottom"/>
          </w:tcPr>
          <w:p>
            <w:pPr>
              <w:spacing w:after="0"/>
              <w:rPr>
                <w:sz w:val="1"/>
                <w:szCs w:val="1"/>
                <w:color w:val="auto"/>
              </w:rPr>
            </w:pPr>
          </w:p>
        </w:tc>
      </w:tr>
      <w:tr>
        <w:trPr>
          <w:trHeight w:val="189"/>
        </w:trPr>
        <w:tc>
          <w:tcPr>
            <w:tcW w:w="76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Depositary Shares, each representing a 1/40th interest in a share of 8.25% Fixed-Rate Series</w:t>
            </w:r>
          </w:p>
        </w:tc>
        <w:tc>
          <w:tcPr>
            <w:tcW w:w="1140" w:type="dxa"/>
            <w:vAlign w:val="bottom"/>
            <w:gridSpan w:val="2"/>
          </w:tcPr>
          <w:p>
            <w:pPr>
              <w:jc w:val="center"/>
              <w:ind w:right="60"/>
              <w:spacing w:after="0" w:line="189" w:lineRule="exact"/>
              <w:rPr>
                <w:sz w:val="20"/>
                <w:szCs w:val="20"/>
                <w:color w:val="auto"/>
              </w:rPr>
            </w:pPr>
            <w:r>
              <w:rPr>
                <w:rFonts w:ascii="Arial" w:cs="Arial" w:eastAsia="Arial" w:hAnsi="Arial"/>
                <w:sz w:val="18"/>
                <w:szCs w:val="18"/>
                <w:color w:val="auto"/>
                <w:w w:val="98"/>
              </w:rPr>
              <w:t>BUSEP</w:t>
            </w:r>
          </w:p>
        </w:tc>
        <w:tc>
          <w:tcPr>
            <w:tcW w:w="2500" w:type="dxa"/>
            <w:vAlign w:val="bottom"/>
          </w:tcPr>
          <w:p>
            <w:pPr>
              <w:jc w:val="center"/>
              <w:spacing w:after="0" w:line="189" w:lineRule="exact"/>
              <w:rPr>
                <w:sz w:val="20"/>
                <w:szCs w:val="20"/>
                <w:color w:val="auto"/>
              </w:rPr>
            </w:pPr>
            <w:r>
              <w:rPr>
                <w:rFonts w:ascii="Arial" w:cs="Arial" w:eastAsia="Arial" w:hAnsi="Arial"/>
                <w:sz w:val="18"/>
                <w:szCs w:val="18"/>
                <w:color w:val="auto"/>
                <w:w w:val="99"/>
              </w:rPr>
              <w:t>Nasdaq Stock Market LLC</w:t>
            </w:r>
          </w:p>
        </w:tc>
        <w:tc>
          <w:tcPr>
            <w:tcW w:w="0" w:type="dxa"/>
            <w:vAlign w:val="bottom"/>
          </w:tcPr>
          <w:p>
            <w:pPr>
              <w:spacing w:after="0"/>
              <w:rPr>
                <w:sz w:val="1"/>
                <w:szCs w:val="1"/>
                <w:color w:val="auto"/>
              </w:rPr>
            </w:pPr>
          </w:p>
        </w:tc>
      </w:tr>
      <w:tr>
        <w:trPr>
          <w:trHeight w:val="23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B Non-Cumulative Perpetual Preferred Stock, $0.001 par value</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90" w:lineRule="exact"/>
        <w:rPr>
          <w:sz w:val="24"/>
          <w:szCs w:val="24"/>
          <w:color w:val="auto"/>
        </w:rPr>
      </w:pPr>
    </w:p>
    <w:p>
      <w:pPr>
        <w:jc w:val="both"/>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7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Equity Incentive Plan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20, 2026, at the 2026 Annual Meeting of Stockholders (the “Annual Meeting”) of First Busey Corporation (“Busey”), Busey’s stockholders, upon the recommendation of Busey’s Board of Directors, approved the First Busey Corporation Second Amended 2020 Equity Incentive Plan (the “Amended Plan”). The Amended Plan authorizes an increase of 2,100,000 shares of Busey’s common stock, $0.001 par value, for equity awards, which may be granted in any one or a combination of the following forms: incentive stock options, nonqualified stock options, stock appreciation rights, restricted shares, restricted stock units, performance-based restricted stock units, deferred stock units, and other equity-based or equity-related or cash-based awards, including without limitation, the grant or offer for sale of unrestricted shares, bonus share awards, phantom share awards, performance share awards, performance units settled in shares, and performance units settled in cash. Equity awards under the Amended Plan may or may not include dividend equivalents. Participants under the Amended Plan may include employees, directors, and consultants of Busey or its subsidiaries.</w:t>
      </w:r>
    </w:p>
    <w:p>
      <w:pPr>
        <w:spacing w:after="0" w:line="140"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 summary of the principal features of the Amended Plan was included in </w:t>
      </w:r>
      <w:hyperlink r:id="rId14">
        <w:r>
          <w:rPr>
            <w:rFonts w:ascii="Arial" w:cs="Arial" w:eastAsia="Arial" w:hAnsi="Arial"/>
            <w:sz w:val="18"/>
            <w:szCs w:val="18"/>
            <w:u w:val="single" w:color="auto"/>
            <w:color w:val="0000FF"/>
          </w:rPr>
          <w:t>Busey’s amended 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Annual Meeting, as filed with the U.S. Securities and Exchange Commission on April 13, 2026 (the “Proxy Statement”). The foregoing description of the Amended Plan does not purport to be complete and is qualified in its entirety by the summary of the principal features of the Amended Plan included in the Proxy Statement and the full text of the Amended Plan, a copy of which was filed as </w:t>
      </w:r>
      <w:hyperlink r:id="rId15">
        <w:r>
          <w:rPr>
            <w:rFonts w:ascii="Arial" w:cs="Arial" w:eastAsia="Arial" w:hAnsi="Arial"/>
            <w:sz w:val="18"/>
            <w:szCs w:val="18"/>
            <w:u w:val="single" w:color="auto"/>
            <w:color w:val="0000FF"/>
          </w:rPr>
          <w:t>Appendix 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Proxy Statement, and is incorporated by reference into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w:t>
      </w:r>
      <w:r>
        <w:rPr>
          <w:rFonts w:ascii="Arial" w:cs="Arial" w:eastAsia="Arial" w:hAnsi="Arial"/>
          <w:sz w:val="18"/>
          <w:szCs w:val="18"/>
          <w:b w:val="1"/>
          <w:bCs w:val="1"/>
          <w:color w:val="808285"/>
        </w:rPr>
        <w:t>(BUSE)</w:t>
      </w:r>
      <w:r>
        <w:rPr>
          <w:rFonts w:ascii="Arial" w:cs="Arial" w:eastAsia="Arial" w:hAnsi="Arial"/>
          <w:sz w:val="18"/>
          <w:szCs w:val="18"/>
          <w:color w:val="808285"/>
        </w:rPr>
        <w:t xml:space="preserve"> | 2026 Annual Meeting Voting Results — </w:t>
      </w:r>
      <w:r>
        <w:rPr>
          <w:rFonts w:ascii="Arial" w:cs="Arial" w:eastAsia="Arial" w:hAnsi="Arial"/>
          <w:sz w:val="18"/>
          <w:szCs w:val="18"/>
          <w:b w:val="1"/>
          <w:bCs w:val="1"/>
          <w:color w:val="37648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20" w:type="dxa"/>
            <w:vAlign w:val="bottom"/>
          </w:tcPr>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10220" w:type="dxa"/>
            <w:vAlign w:val="bottom"/>
          </w:tcPr>
          <w:p>
            <w:pPr>
              <w:spacing w:after="0"/>
              <w:rPr>
                <w:sz w:val="20"/>
                <w:szCs w:val="20"/>
                <w:color w:val="auto"/>
              </w:rPr>
            </w:pPr>
            <w:r>
              <w:rPr>
                <w:rFonts w:ascii="Arial" w:cs="Arial" w:eastAsia="Arial" w:hAnsi="Arial"/>
                <w:sz w:val="18"/>
                <w:szCs w:val="18"/>
                <w:color w:val="auto"/>
              </w:rPr>
              <w:t>On May 20, 2026, Busey held the Annual Meeting. Stockholder representation at the Annual Meeting is summarized as follows: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220" w:type="dxa"/>
            <w:vAlign w:val="bottom"/>
            <w:shd w:val="clear" w:color="auto" w:fill="E0E7ED"/>
          </w:tcPr>
          <w:p>
            <w:pPr>
              <w:ind w:left="20"/>
              <w:spacing w:after="0"/>
              <w:rPr>
                <w:sz w:val="20"/>
                <w:szCs w:val="20"/>
                <w:color w:val="auto"/>
              </w:rPr>
            </w:pPr>
            <w:r>
              <w:rPr>
                <w:rFonts w:ascii="Arial" w:cs="Arial" w:eastAsia="Arial" w:hAnsi="Arial"/>
                <w:sz w:val="18"/>
                <w:szCs w:val="18"/>
                <w:color w:val="auto"/>
              </w:rPr>
              <w:t>Shares of common stock outstanding and entitled to vote at the Annual Meeting</w:t>
            </w:r>
          </w:p>
        </w:tc>
        <w:tc>
          <w:tcPr>
            <w:tcW w:w="1020" w:type="dxa"/>
            <w:vAlign w:val="bottom"/>
            <w:shd w:val="clear" w:color="auto" w:fill="E0E7ED"/>
          </w:tcPr>
          <w:p>
            <w:pPr>
              <w:jc w:val="right"/>
              <w:spacing w:after="0"/>
              <w:rPr>
                <w:sz w:val="20"/>
                <w:szCs w:val="20"/>
                <w:color w:val="auto"/>
              </w:rPr>
            </w:pPr>
            <w:r>
              <w:rPr>
                <w:rFonts w:ascii="Arial" w:cs="Arial" w:eastAsia="Arial" w:hAnsi="Arial"/>
                <w:sz w:val="18"/>
                <w:szCs w:val="18"/>
                <w:color w:val="auto"/>
              </w:rPr>
              <w:t>85,504,477</w:t>
            </w:r>
          </w:p>
        </w:tc>
        <w:tc>
          <w:tcPr>
            <w:tcW w:w="0" w:type="dxa"/>
            <w:vAlign w:val="bottom"/>
          </w:tcPr>
          <w:p>
            <w:pPr>
              <w:spacing w:after="0"/>
              <w:rPr>
                <w:sz w:val="1"/>
                <w:szCs w:val="1"/>
                <w:color w:val="auto"/>
              </w:rPr>
            </w:pPr>
          </w:p>
        </w:tc>
      </w:tr>
      <w:tr>
        <w:trPr>
          <w:trHeight w:val="176"/>
        </w:trPr>
        <w:tc>
          <w:tcPr>
            <w:tcW w:w="10220" w:type="dxa"/>
            <w:vAlign w:val="bottom"/>
          </w:tcPr>
          <w:p>
            <w:pPr>
              <w:ind w:left="20"/>
              <w:spacing w:after="0" w:line="176" w:lineRule="exact"/>
              <w:rPr>
                <w:sz w:val="20"/>
                <w:szCs w:val="20"/>
                <w:color w:val="auto"/>
              </w:rPr>
            </w:pPr>
            <w:r>
              <w:rPr>
                <w:rFonts w:ascii="Arial" w:cs="Arial" w:eastAsia="Arial" w:hAnsi="Arial"/>
                <w:sz w:val="18"/>
                <w:szCs w:val="18"/>
                <w:color w:val="auto"/>
              </w:rPr>
              <w:t>Shares represented at the Annual Meeting by Busey stockholders who were present or by Busey stockholders who were</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66,222,000</w:t>
            </w:r>
          </w:p>
        </w:tc>
        <w:tc>
          <w:tcPr>
            <w:tcW w:w="0" w:type="dxa"/>
            <w:vAlign w:val="bottom"/>
          </w:tcPr>
          <w:p>
            <w:pPr>
              <w:spacing w:after="0"/>
              <w:rPr>
                <w:sz w:val="1"/>
                <w:szCs w:val="1"/>
                <w:color w:val="auto"/>
              </w:rPr>
            </w:pPr>
          </w:p>
        </w:tc>
      </w:tr>
      <w:tr>
        <w:trPr>
          <w:trHeight w:val="243"/>
        </w:trPr>
        <w:tc>
          <w:tcPr>
            <w:tcW w:w="10220" w:type="dxa"/>
            <w:vAlign w:val="bottom"/>
          </w:tcPr>
          <w:p>
            <w:pPr>
              <w:ind w:left="20"/>
              <w:spacing w:after="0"/>
              <w:rPr>
                <w:sz w:val="20"/>
                <w:szCs w:val="20"/>
                <w:color w:val="auto"/>
              </w:rPr>
            </w:pPr>
            <w:r>
              <w:rPr>
                <w:rFonts w:ascii="Arial" w:cs="Arial" w:eastAsia="Arial" w:hAnsi="Arial"/>
                <w:sz w:val="18"/>
                <w:szCs w:val="18"/>
                <w:color w:val="auto"/>
              </w:rPr>
              <w:t>represented by proxy</w:t>
            </w: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220" w:type="dxa"/>
            <w:vAlign w:val="bottom"/>
            <w:shd w:val="clear" w:color="auto" w:fill="E0E7ED"/>
          </w:tcPr>
          <w:p>
            <w:pPr>
              <w:ind w:left="20"/>
              <w:spacing w:after="0"/>
              <w:rPr>
                <w:sz w:val="20"/>
                <w:szCs w:val="20"/>
                <w:color w:val="auto"/>
              </w:rPr>
            </w:pPr>
            <w:r>
              <w:rPr>
                <w:rFonts w:ascii="Arial" w:cs="Arial" w:eastAsia="Arial" w:hAnsi="Arial"/>
                <w:sz w:val="18"/>
                <w:szCs w:val="18"/>
                <w:color w:val="auto"/>
              </w:rPr>
              <w:t>Percentage of shares represented</w:t>
            </w:r>
          </w:p>
        </w:tc>
        <w:tc>
          <w:tcPr>
            <w:tcW w:w="1020" w:type="dxa"/>
            <w:vAlign w:val="bottom"/>
            <w:shd w:val="clear" w:color="auto" w:fill="E0E7ED"/>
          </w:tcPr>
          <w:p>
            <w:pPr>
              <w:jc w:val="right"/>
              <w:spacing w:after="0"/>
              <w:rPr>
                <w:sz w:val="20"/>
                <w:szCs w:val="20"/>
                <w:color w:val="auto"/>
              </w:rPr>
            </w:pPr>
            <w:r>
              <w:rPr>
                <w:rFonts w:ascii="Arial" w:cs="Arial" w:eastAsia="Arial" w:hAnsi="Arial"/>
                <w:sz w:val="18"/>
                <w:szCs w:val="18"/>
                <w:color w:val="auto"/>
              </w:rPr>
              <w:t>77.4 %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At the Annual Meeting, Busey stockholders voted on four proposals, as described in </w:t>
      </w:r>
      <w:hyperlink r:id="rId14">
        <w:r>
          <w:rPr>
            <w:rFonts w:ascii="Arial" w:cs="Arial" w:eastAsia="Arial" w:hAnsi="Arial"/>
            <w:sz w:val="18"/>
            <w:szCs w:val="18"/>
            <w:u w:val="single" w:color="auto"/>
            <w:color w:val="0000FF"/>
          </w:rPr>
          <w:t>the Proxy Statement</w:t>
        </w:r>
      </w:hyperlink>
      <w:r>
        <w:rPr>
          <w:rFonts w:ascii="Arial" w:cs="Arial" w:eastAsia="Arial" w:hAnsi="Arial"/>
          <w:sz w:val="18"/>
          <w:szCs w:val="18"/>
          <w:color w:val="auto"/>
        </w:rPr>
        <w:t>. Final results of voting on each of the matters submitted to a vote of stockholders during the Annual Meeting are as follows: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 Election of directors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 stockholders elected 12 individuals to serve as Busey's directors for a one-year term expiring at the 2027 Annual Meeting of Stockholders or when their successors are elected and have qualified. There were 10,141,821 broker non-votes in connection with the election of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ind w:left="360"/>
              <w:spacing w:after="0"/>
              <w:rPr>
                <w:sz w:val="20"/>
                <w:szCs w:val="20"/>
                <w:color w:val="auto"/>
              </w:rPr>
            </w:pPr>
            <w:r>
              <w:rPr>
                <w:rFonts w:ascii="Arial" w:cs="Arial" w:eastAsia="Arial" w:hAnsi="Arial"/>
                <w:sz w:val="14"/>
                <w:szCs w:val="14"/>
                <w:b w:val="1"/>
                <w:bCs w:val="1"/>
                <w:color w:val="auto"/>
              </w:rPr>
              <w:t>Votes For</w:t>
            </w: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 of Votes For</w:t>
            </w: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Votes Withheld</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 of Votes Withheld</w:t>
            </w:r>
          </w:p>
        </w:tc>
      </w:tr>
      <w:tr>
        <w:trPr>
          <w:trHeight w:val="224"/>
        </w:trPr>
        <w:tc>
          <w:tcPr>
            <w:tcW w:w="5240" w:type="dxa"/>
            <w:vAlign w:val="bottom"/>
            <w:tcBorders>
              <w:top w:val="single" w:sz="8" w:color="auto"/>
            </w:tcBorders>
            <w:shd w:val="clear" w:color="auto" w:fill="E0E7ED"/>
          </w:tcPr>
          <w:p>
            <w:pPr>
              <w:ind w:left="20"/>
              <w:spacing w:after="0"/>
              <w:rPr>
                <w:sz w:val="20"/>
                <w:szCs w:val="20"/>
                <w:color w:val="auto"/>
              </w:rPr>
            </w:pPr>
            <w:r>
              <w:rPr>
                <w:rFonts w:ascii="Arial" w:cs="Arial" w:eastAsia="Arial" w:hAnsi="Arial"/>
                <w:sz w:val="18"/>
                <w:szCs w:val="18"/>
                <w:color w:val="auto"/>
              </w:rPr>
              <w:t>Stanley J. Bradshaw</w:t>
            </w:r>
          </w:p>
        </w:tc>
        <w:tc>
          <w:tcPr>
            <w:tcW w:w="80" w:type="dxa"/>
            <w:vAlign w:val="bottom"/>
            <w:tcBorders>
              <w:top w:val="single" w:sz="8" w:color="E0E7ED"/>
            </w:tcBorders>
            <w:shd w:val="clear" w:color="auto" w:fill="E0E7ED"/>
          </w:tcPr>
          <w:p>
            <w:pPr>
              <w:spacing w:after="0"/>
              <w:rPr>
                <w:sz w:val="19"/>
                <w:szCs w:val="19"/>
                <w:color w:val="auto"/>
              </w:rPr>
            </w:pPr>
          </w:p>
        </w:tc>
        <w:tc>
          <w:tcPr>
            <w:tcW w:w="1360" w:type="dxa"/>
            <w:vAlign w:val="bottom"/>
            <w:tcBorders>
              <w:top w:val="single" w:sz="8" w:color="auto"/>
            </w:tcBorders>
            <w:shd w:val="clear" w:color="auto" w:fill="E0E7ED"/>
          </w:tcPr>
          <w:p>
            <w:pPr>
              <w:ind w:left="380"/>
              <w:spacing w:after="0"/>
              <w:rPr>
                <w:sz w:val="20"/>
                <w:szCs w:val="20"/>
                <w:color w:val="auto"/>
              </w:rPr>
            </w:pPr>
            <w:r>
              <w:rPr>
                <w:rFonts w:ascii="Arial" w:cs="Arial" w:eastAsia="Arial" w:hAnsi="Arial"/>
                <w:sz w:val="18"/>
                <w:szCs w:val="18"/>
                <w:color w:val="auto"/>
              </w:rPr>
              <w:t>53,672,783</w:t>
            </w:r>
          </w:p>
        </w:tc>
        <w:tc>
          <w:tcPr>
            <w:tcW w:w="80" w:type="dxa"/>
            <w:vAlign w:val="bottom"/>
            <w:tcBorders>
              <w:top w:val="single" w:sz="8" w:color="E0E7ED"/>
            </w:tcBorders>
            <w:shd w:val="clear" w:color="auto" w:fill="E0E7ED"/>
          </w:tcPr>
          <w:p>
            <w:pPr>
              <w:spacing w:after="0"/>
              <w:rPr>
                <w:sz w:val="19"/>
                <w:szCs w:val="19"/>
                <w:color w:val="auto"/>
              </w:rPr>
            </w:pPr>
          </w:p>
        </w:tc>
        <w:tc>
          <w:tcPr>
            <w:tcW w:w="150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95.7 %</w:t>
            </w:r>
          </w:p>
        </w:tc>
        <w:tc>
          <w:tcPr>
            <w:tcW w:w="80" w:type="dxa"/>
            <w:vAlign w:val="bottom"/>
            <w:tcBorders>
              <w:top w:val="single" w:sz="8" w:color="E0E7ED"/>
            </w:tcBorders>
            <w:shd w:val="clear" w:color="auto" w:fill="E0E7ED"/>
          </w:tcPr>
          <w:p>
            <w:pPr>
              <w:spacing w:after="0"/>
              <w:rPr>
                <w:sz w:val="19"/>
                <w:szCs w:val="19"/>
                <w:color w:val="auto"/>
              </w:rPr>
            </w:pPr>
          </w:p>
        </w:tc>
        <w:tc>
          <w:tcPr>
            <w:tcW w:w="13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2,407,396</w:t>
            </w:r>
          </w:p>
        </w:tc>
        <w:tc>
          <w:tcPr>
            <w:tcW w:w="80" w:type="dxa"/>
            <w:vAlign w:val="bottom"/>
            <w:tcBorders>
              <w:top w:val="single" w:sz="8" w:color="E0E7ED"/>
            </w:tcBorders>
            <w:shd w:val="clear" w:color="auto" w:fill="E0E7ED"/>
          </w:tcPr>
          <w:p>
            <w:pPr>
              <w:spacing w:after="0"/>
              <w:rPr>
                <w:sz w:val="19"/>
                <w:szCs w:val="19"/>
                <w:color w:val="auto"/>
              </w:rPr>
            </w:pPr>
          </w:p>
        </w:tc>
        <w:tc>
          <w:tcPr>
            <w:tcW w:w="148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Rodney K. Brenneman</w:t>
            </w:r>
          </w:p>
        </w:tc>
        <w:tc>
          <w:tcPr>
            <w:tcW w:w="1360" w:type="dxa"/>
            <w:vAlign w:val="bottom"/>
          </w:tcPr>
          <w:p>
            <w:pPr>
              <w:ind w:left="380"/>
              <w:spacing w:after="0"/>
              <w:rPr>
                <w:sz w:val="20"/>
                <w:szCs w:val="20"/>
                <w:color w:val="auto"/>
              </w:rPr>
            </w:pPr>
            <w:r>
              <w:rPr>
                <w:rFonts w:ascii="Arial" w:cs="Arial" w:eastAsia="Arial" w:hAnsi="Arial"/>
                <w:sz w:val="18"/>
                <w:szCs w:val="18"/>
                <w:color w:val="auto"/>
              </w:rPr>
              <w:t>55,056,259</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98.2 %</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1,023,920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32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Steven W. Caple</w:t>
            </w:r>
          </w:p>
        </w:tc>
        <w:tc>
          <w:tcPr>
            <w:tcW w:w="1360" w:type="dxa"/>
            <w:vAlign w:val="bottom"/>
            <w:shd w:val="clear" w:color="auto" w:fill="E0E7ED"/>
          </w:tcPr>
          <w:p>
            <w:pPr>
              <w:ind w:left="380"/>
              <w:spacing w:after="0"/>
              <w:rPr>
                <w:sz w:val="20"/>
                <w:szCs w:val="20"/>
                <w:color w:val="auto"/>
              </w:rPr>
            </w:pPr>
            <w:r>
              <w:rPr>
                <w:rFonts w:ascii="Arial" w:cs="Arial" w:eastAsia="Arial" w:hAnsi="Arial"/>
                <w:sz w:val="18"/>
                <w:szCs w:val="18"/>
                <w:color w:val="auto"/>
              </w:rPr>
              <w:t>55,018,321</w:t>
            </w:r>
          </w:p>
        </w:tc>
        <w:tc>
          <w:tcPr>
            <w:tcW w:w="80" w:type="dxa"/>
            <w:vAlign w:val="bottom"/>
            <w:shd w:val="clear" w:color="auto" w:fill="E0E7ED"/>
          </w:tcPr>
          <w:p>
            <w:pPr>
              <w:spacing w:after="0"/>
              <w:rPr>
                <w:sz w:val="19"/>
                <w:szCs w:val="19"/>
                <w:color w:val="auto"/>
              </w:rPr>
            </w:pPr>
          </w:p>
        </w:tc>
        <w:tc>
          <w:tcPr>
            <w:tcW w:w="15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98.1 %</w:t>
            </w:r>
          </w:p>
        </w:tc>
        <w:tc>
          <w:tcPr>
            <w:tcW w:w="80" w:type="dxa"/>
            <w:vAlign w:val="bottom"/>
            <w:shd w:val="clear" w:color="auto" w:fill="E0E7ED"/>
          </w:tcPr>
          <w:p>
            <w:pPr>
              <w:spacing w:after="0"/>
              <w:rPr>
                <w:sz w:val="19"/>
                <w:szCs w:val="19"/>
                <w:color w:val="auto"/>
              </w:rPr>
            </w:pPr>
          </w:p>
        </w:tc>
        <w:tc>
          <w:tcPr>
            <w:tcW w:w="13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1,061,858</w:t>
            </w:r>
          </w:p>
        </w:tc>
        <w:tc>
          <w:tcPr>
            <w:tcW w:w="80" w:type="dxa"/>
            <w:vAlign w:val="bottom"/>
            <w:shd w:val="clear" w:color="auto" w:fill="E0E7ED"/>
          </w:tcPr>
          <w:p>
            <w:pPr>
              <w:spacing w:after="0"/>
              <w:rPr>
                <w:sz w:val="19"/>
                <w:szCs w:val="19"/>
                <w:color w:val="auto"/>
              </w:rPr>
            </w:pPr>
          </w:p>
        </w:tc>
        <w:tc>
          <w:tcPr>
            <w:tcW w:w="14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Michael D. Cassens</w:t>
            </w:r>
          </w:p>
        </w:tc>
        <w:tc>
          <w:tcPr>
            <w:tcW w:w="1360" w:type="dxa"/>
            <w:vAlign w:val="bottom"/>
          </w:tcPr>
          <w:p>
            <w:pPr>
              <w:ind w:left="380"/>
              <w:spacing w:after="0"/>
              <w:rPr>
                <w:sz w:val="20"/>
                <w:szCs w:val="20"/>
                <w:color w:val="auto"/>
              </w:rPr>
            </w:pPr>
            <w:r>
              <w:rPr>
                <w:rFonts w:ascii="Arial" w:cs="Arial" w:eastAsia="Arial" w:hAnsi="Arial"/>
                <w:sz w:val="18"/>
                <w:szCs w:val="18"/>
                <w:color w:val="auto"/>
              </w:rPr>
              <w:t>54,887,238</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97.9 %</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1,192,941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532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Van A. Dukeman</w:t>
            </w:r>
          </w:p>
        </w:tc>
        <w:tc>
          <w:tcPr>
            <w:tcW w:w="1360" w:type="dxa"/>
            <w:vAlign w:val="bottom"/>
            <w:shd w:val="clear" w:color="auto" w:fill="E0E7ED"/>
          </w:tcPr>
          <w:p>
            <w:pPr>
              <w:ind w:left="380"/>
              <w:spacing w:after="0"/>
              <w:rPr>
                <w:sz w:val="20"/>
                <w:szCs w:val="20"/>
                <w:color w:val="auto"/>
              </w:rPr>
            </w:pPr>
            <w:r>
              <w:rPr>
                <w:rFonts w:ascii="Arial" w:cs="Arial" w:eastAsia="Arial" w:hAnsi="Arial"/>
                <w:sz w:val="18"/>
                <w:szCs w:val="18"/>
                <w:color w:val="auto"/>
              </w:rPr>
              <w:t>54,592,320</w:t>
            </w:r>
          </w:p>
        </w:tc>
        <w:tc>
          <w:tcPr>
            <w:tcW w:w="80" w:type="dxa"/>
            <w:vAlign w:val="bottom"/>
            <w:shd w:val="clear" w:color="auto" w:fill="E0E7ED"/>
          </w:tcPr>
          <w:p>
            <w:pPr>
              <w:spacing w:after="0"/>
              <w:rPr>
                <w:sz w:val="19"/>
                <w:szCs w:val="19"/>
                <w:color w:val="auto"/>
              </w:rPr>
            </w:pPr>
          </w:p>
        </w:tc>
        <w:tc>
          <w:tcPr>
            <w:tcW w:w="15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97.3 %</w:t>
            </w:r>
          </w:p>
        </w:tc>
        <w:tc>
          <w:tcPr>
            <w:tcW w:w="80" w:type="dxa"/>
            <w:vAlign w:val="bottom"/>
            <w:shd w:val="clear" w:color="auto" w:fill="E0E7ED"/>
          </w:tcPr>
          <w:p>
            <w:pPr>
              <w:spacing w:after="0"/>
              <w:rPr>
                <w:sz w:val="19"/>
                <w:szCs w:val="19"/>
                <w:color w:val="auto"/>
              </w:rPr>
            </w:pPr>
          </w:p>
        </w:tc>
        <w:tc>
          <w:tcPr>
            <w:tcW w:w="13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1,487,859</w:t>
            </w:r>
          </w:p>
        </w:tc>
        <w:tc>
          <w:tcPr>
            <w:tcW w:w="80" w:type="dxa"/>
            <w:vAlign w:val="bottom"/>
            <w:shd w:val="clear" w:color="auto" w:fill="E0E7ED"/>
          </w:tcPr>
          <w:p>
            <w:pPr>
              <w:spacing w:after="0"/>
              <w:rPr>
                <w:sz w:val="19"/>
                <w:szCs w:val="19"/>
                <w:color w:val="auto"/>
              </w:rPr>
            </w:pPr>
          </w:p>
        </w:tc>
        <w:tc>
          <w:tcPr>
            <w:tcW w:w="14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Jennifer M. Grigsby</w:t>
            </w:r>
          </w:p>
        </w:tc>
        <w:tc>
          <w:tcPr>
            <w:tcW w:w="1360" w:type="dxa"/>
            <w:vAlign w:val="bottom"/>
          </w:tcPr>
          <w:p>
            <w:pPr>
              <w:ind w:left="380"/>
              <w:spacing w:after="0"/>
              <w:rPr>
                <w:sz w:val="20"/>
                <w:szCs w:val="20"/>
                <w:color w:val="auto"/>
              </w:rPr>
            </w:pPr>
            <w:r>
              <w:rPr>
                <w:rFonts w:ascii="Arial" w:cs="Arial" w:eastAsia="Arial" w:hAnsi="Arial"/>
                <w:sz w:val="18"/>
                <w:szCs w:val="18"/>
                <w:color w:val="auto"/>
              </w:rPr>
              <w:t>55,200,162</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98.4 %</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880,017</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532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Karen M. Jensen</w:t>
            </w:r>
          </w:p>
        </w:tc>
        <w:tc>
          <w:tcPr>
            <w:tcW w:w="1360" w:type="dxa"/>
            <w:vAlign w:val="bottom"/>
            <w:shd w:val="clear" w:color="auto" w:fill="E0E7ED"/>
          </w:tcPr>
          <w:p>
            <w:pPr>
              <w:ind w:left="380"/>
              <w:spacing w:after="0"/>
              <w:rPr>
                <w:sz w:val="20"/>
                <w:szCs w:val="20"/>
                <w:color w:val="auto"/>
              </w:rPr>
            </w:pPr>
            <w:r>
              <w:rPr>
                <w:rFonts w:ascii="Arial" w:cs="Arial" w:eastAsia="Arial" w:hAnsi="Arial"/>
                <w:sz w:val="18"/>
                <w:szCs w:val="18"/>
                <w:color w:val="auto"/>
              </w:rPr>
              <w:t>54,942,454</w:t>
            </w:r>
          </w:p>
        </w:tc>
        <w:tc>
          <w:tcPr>
            <w:tcW w:w="80" w:type="dxa"/>
            <w:vAlign w:val="bottom"/>
            <w:shd w:val="clear" w:color="auto" w:fill="E0E7ED"/>
          </w:tcPr>
          <w:p>
            <w:pPr>
              <w:spacing w:after="0"/>
              <w:rPr>
                <w:sz w:val="19"/>
                <w:szCs w:val="19"/>
                <w:color w:val="auto"/>
              </w:rPr>
            </w:pPr>
          </w:p>
        </w:tc>
        <w:tc>
          <w:tcPr>
            <w:tcW w:w="15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98.0 %</w:t>
            </w:r>
          </w:p>
        </w:tc>
        <w:tc>
          <w:tcPr>
            <w:tcW w:w="80" w:type="dxa"/>
            <w:vAlign w:val="bottom"/>
            <w:shd w:val="clear" w:color="auto" w:fill="E0E7ED"/>
          </w:tcPr>
          <w:p>
            <w:pPr>
              <w:spacing w:after="0"/>
              <w:rPr>
                <w:sz w:val="19"/>
                <w:szCs w:val="19"/>
                <w:color w:val="auto"/>
              </w:rPr>
            </w:pPr>
          </w:p>
        </w:tc>
        <w:tc>
          <w:tcPr>
            <w:tcW w:w="13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1,137,725</w:t>
            </w:r>
          </w:p>
        </w:tc>
        <w:tc>
          <w:tcPr>
            <w:tcW w:w="80" w:type="dxa"/>
            <w:vAlign w:val="bottom"/>
            <w:shd w:val="clear" w:color="auto" w:fill="E0E7ED"/>
          </w:tcPr>
          <w:p>
            <w:pPr>
              <w:spacing w:after="0"/>
              <w:rPr>
                <w:sz w:val="19"/>
                <w:szCs w:val="19"/>
                <w:color w:val="auto"/>
              </w:rPr>
            </w:pPr>
          </w:p>
        </w:tc>
        <w:tc>
          <w:tcPr>
            <w:tcW w:w="14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Frederic L. Kenney</w:t>
            </w:r>
          </w:p>
        </w:tc>
        <w:tc>
          <w:tcPr>
            <w:tcW w:w="1360" w:type="dxa"/>
            <w:vAlign w:val="bottom"/>
          </w:tcPr>
          <w:p>
            <w:pPr>
              <w:ind w:left="380"/>
              <w:spacing w:after="0"/>
              <w:rPr>
                <w:sz w:val="20"/>
                <w:szCs w:val="20"/>
                <w:color w:val="auto"/>
              </w:rPr>
            </w:pPr>
            <w:r>
              <w:rPr>
                <w:rFonts w:ascii="Arial" w:cs="Arial" w:eastAsia="Arial" w:hAnsi="Arial"/>
                <w:sz w:val="18"/>
                <w:szCs w:val="18"/>
                <w:color w:val="auto"/>
              </w:rPr>
              <w:t>54,424,276</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97.0 %</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1,655,903</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532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Stephen V. King</w:t>
            </w:r>
          </w:p>
        </w:tc>
        <w:tc>
          <w:tcPr>
            <w:tcW w:w="1360" w:type="dxa"/>
            <w:vAlign w:val="bottom"/>
            <w:shd w:val="clear" w:color="auto" w:fill="E0E7ED"/>
          </w:tcPr>
          <w:p>
            <w:pPr>
              <w:ind w:left="380"/>
              <w:spacing w:after="0"/>
              <w:rPr>
                <w:sz w:val="20"/>
                <w:szCs w:val="20"/>
                <w:color w:val="auto"/>
              </w:rPr>
            </w:pPr>
            <w:r>
              <w:rPr>
                <w:rFonts w:ascii="Arial" w:cs="Arial" w:eastAsia="Arial" w:hAnsi="Arial"/>
                <w:sz w:val="18"/>
                <w:szCs w:val="18"/>
                <w:color w:val="auto"/>
              </w:rPr>
              <w:t>54,355,920</w:t>
            </w:r>
          </w:p>
        </w:tc>
        <w:tc>
          <w:tcPr>
            <w:tcW w:w="80" w:type="dxa"/>
            <w:vAlign w:val="bottom"/>
            <w:shd w:val="clear" w:color="auto" w:fill="E0E7ED"/>
          </w:tcPr>
          <w:p>
            <w:pPr>
              <w:spacing w:after="0"/>
              <w:rPr>
                <w:sz w:val="19"/>
                <w:szCs w:val="19"/>
                <w:color w:val="auto"/>
              </w:rPr>
            </w:pPr>
          </w:p>
        </w:tc>
        <w:tc>
          <w:tcPr>
            <w:tcW w:w="15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96.9 %</w:t>
            </w:r>
          </w:p>
        </w:tc>
        <w:tc>
          <w:tcPr>
            <w:tcW w:w="80" w:type="dxa"/>
            <w:vAlign w:val="bottom"/>
            <w:shd w:val="clear" w:color="auto" w:fill="E0E7ED"/>
          </w:tcPr>
          <w:p>
            <w:pPr>
              <w:spacing w:after="0"/>
              <w:rPr>
                <w:sz w:val="19"/>
                <w:szCs w:val="19"/>
                <w:color w:val="auto"/>
              </w:rPr>
            </w:pPr>
          </w:p>
        </w:tc>
        <w:tc>
          <w:tcPr>
            <w:tcW w:w="13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1,724,259</w:t>
            </w:r>
          </w:p>
        </w:tc>
        <w:tc>
          <w:tcPr>
            <w:tcW w:w="80" w:type="dxa"/>
            <w:vAlign w:val="bottom"/>
            <w:shd w:val="clear" w:color="auto" w:fill="E0E7ED"/>
          </w:tcPr>
          <w:p>
            <w:pPr>
              <w:spacing w:after="0"/>
              <w:rPr>
                <w:sz w:val="19"/>
                <w:szCs w:val="19"/>
                <w:color w:val="auto"/>
              </w:rPr>
            </w:pPr>
          </w:p>
        </w:tc>
        <w:tc>
          <w:tcPr>
            <w:tcW w:w="14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Kevin S. Rauckman</w:t>
            </w:r>
          </w:p>
        </w:tc>
        <w:tc>
          <w:tcPr>
            <w:tcW w:w="1360" w:type="dxa"/>
            <w:vAlign w:val="bottom"/>
          </w:tcPr>
          <w:p>
            <w:pPr>
              <w:ind w:left="380"/>
              <w:spacing w:after="0"/>
              <w:rPr>
                <w:sz w:val="20"/>
                <w:szCs w:val="20"/>
                <w:color w:val="auto"/>
              </w:rPr>
            </w:pPr>
            <w:r>
              <w:rPr>
                <w:rFonts w:ascii="Arial" w:cs="Arial" w:eastAsia="Arial" w:hAnsi="Arial"/>
                <w:sz w:val="18"/>
                <w:szCs w:val="18"/>
                <w:color w:val="auto"/>
              </w:rPr>
              <w:t>55,215,293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98.5 %</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864,886</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532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Scott A. Wehrli</w:t>
            </w:r>
          </w:p>
        </w:tc>
        <w:tc>
          <w:tcPr>
            <w:tcW w:w="1360" w:type="dxa"/>
            <w:vAlign w:val="bottom"/>
            <w:shd w:val="clear" w:color="auto" w:fill="E0E7ED"/>
          </w:tcPr>
          <w:p>
            <w:pPr>
              <w:ind w:left="380"/>
              <w:spacing w:after="0"/>
              <w:rPr>
                <w:sz w:val="20"/>
                <w:szCs w:val="20"/>
                <w:color w:val="auto"/>
              </w:rPr>
            </w:pPr>
            <w:r>
              <w:rPr>
                <w:rFonts w:ascii="Arial" w:cs="Arial" w:eastAsia="Arial" w:hAnsi="Arial"/>
                <w:sz w:val="18"/>
                <w:szCs w:val="18"/>
                <w:color w:val="auto"/>
              </w:rPr>
              <w:t>55,197,187</w:t>
            </w:r>
          </w:p>
        </w:tc>
        <w:tc>
          <w:tcPr>
            <w:tcW w:w="80" w:type="dxa"/>
            <w:vAlign w:val="bottom"/>
            <w:shd w:val="clear" w:color="auto" w:fill="E0E7ED"/>
          </w:tcPr>
          <w:p>
            <w:pPr>
              <w:spacing w:after="0"/>
              <w:rPr>
                <w:sz w:val="19"/>
                <w:szCs w:val="19"/>
                <w:color w:val="auto"/>
              </w:rPr>
            </w:pPr>
          </w:p>
        </w:tc>
        <w:tc>
          <w:tcPr>
            <w:tcW w:w="15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98.4 %</w:t>
            </w:r>
          </w:p>
        </w:tc>
        <w:tc>
          <w:tcPr>
            <w:tcW w:w="80" w:type="dxa"/>
            <w:vAlign w:val="bottom"/>
            <w:shd w:val="clear" w:color="auto" w:fill="E0E7ED"/>
          </w:tcPr>
          <w:p>
            <w:pPr>
              <w:spacing w:after="0"/>
              <w:rPr>
                <w:sz w:val="19"/>
                <w:szCs w:val="19"/>
                <w:color w:val="auto"/>
              </w:rPr>
            </w:pPr>
          </w:p>
        </w:tc>
        <w:tc>
          <w:tcPr>
            <w:tcW w:w="13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882,992</w:t>
            </w:r>
          </w:p>
        </w:tc>
        <w:tc>
          <w:tcPr>
            <w:tcW w:w="80" w:type="dxa"/>
            <w:vAlign w:val="bottom"/>
            <w:shd w:val="clear" w:color="auto" w:fill="E0E7ED"/>
          </w:tcPr>
          <w:p>
            <w:pPr>
              <w:spacing w:after="0"/>
              <w:rPr>
                <w:sz w:val="19"/>
                <w:szCs w:val="19"/>
                <w:color w:val="auto"/>
              </w:rPr>
            </w:pPr>
          </w:p>
        </w:tc>
        <w:tc>
          <w:tcPr>
            <w:tcW w:w="14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1.6 %</w:t>
            </w:r>
          </w:p>
        </w:tc>
      </w:tr>
      <w:tr>
        <w:trPr>
          <w:trHeight w:val="23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Tiffany B. White</w:t>
            </w:r>
          </w:p>
        </w:tc>
        <w:tc>
          <w:tcPr>
            <w:tcW w:w="1360" w:type="dxa"/>
            <w:vAlign w:val="bottom"/>
          </w:tcPr>
          <w:p>
            <w:pPr>
              <w:ind w:left="380"/>
              <w:spacing w:after="0"/>
              <w:rPr>
                <w:sz w:val="20"/>
                <w:szCs w:val="20"/>
                <w:color w:val="auto"/>
              </w:rPr>
            </w:pPr>
            <w:r>
              <w:rPr>
                <w:rFonts w:ascii="Arial" w:cs="Arial" w:eastAsia="Arial" w:hAnsi="Arial"/>
                <w:sz w:val="18"/>
                <w:szCs w:val="18"/>
                <w:color w:val="auto"/>
              </w:rPr>
              <w:t>54,937,873</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98.0 %</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1,142,306</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 Non-binding, advisory vote to approve executive officer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Busey stockholders approved, in a non-binding advisory vote, the compensation of Busey's named executive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ind w:left="1040"/>
              <w:spacing w:after="0"/>
              <w:rPr>
                <w:sz w:val="20"/>
                <w:szCs w:val="20"/>
                <w:color w:val="auto"/>
              </w:rPr>
            </w:pPr>
            <w:r>
              <w:rPr>
                <w:rFonts w:ascii="Arial" w:cs="Arial" w:eastAsia="Arial" w:hAnsi="Arial"/>
                <w:sz w:val="14"/>
                <w:szCs w:val="14"/>
                <w:b w:val="1"/>
                <w:bCs w:val="1"/>
                <w:color w:val="auto"/>
              </w:rPr>
              <w:t>Votes For</w:t>
            </w:r>
          </w:p>
        </w:tc>
        <w:tc>
          <w:tcPr>
            <w:tcW w:w="2840" w:type="dxa"/>
            <w:vAlign w:val="bottom"/>
            <w:gridSpan w:val="2"/>
          </w:tcPr>
          <w:p>
            <w:pPr>
              <w:ind w:left="900"/>
              <w:spacing w:after="0"/>
              <w:rPr>
                <w:sz w:val="20"/>
                <w:szCs w:val="20"/>
                <w:color w:val="auto"/>
              </w:rPr>
            </w:pPr>
            <w:r>
              <w:rPr>
                <w:rFonts w:ascii="Arial" w:cs="Arial" w:eastAsia="Arial" w:hAnsi="Arial"/>
                <w:sz w:val="14"/>
                <w:szCs w:val="14"/>
                <w:b w:val="1"/>
                <w:bCs w:val="1"/>
                <w:color w:val="auto"/>
              </w:rPr>
              <w:t>Votes Against</w:t>
            </w:r>
          </w:p>
        </w:tc>
        <w:tc>
          <w:tcPr>
            <w:tcW w:w="282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Abstentions</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24"/>
        </w:trPr>
        <w:tc>
          <w:tcPr>
            <w:tcW w:w="2740" w:type="dxa"/>
            <w:vAlign w:val="bottom"/>
            <w:tcBorders>
              <w:top w:val="single" w:sz="8" w:color="auto"/>
            </w:tcBorders>
            <w:shd w:val="clear" w:color="auto" w:fill="E0E7ED"/>
          </w:tcPr>
          <w:p>
            <w:pPr>
              <w:jc w:val="right"/>
              <w:ind w:right="836"/>
              <w:spacing w:after="0"/>
              <w:rPr>
                <w:sz w:val="20"/>
                <w:szCs w:val="20"/>
                <w:color w:val="auto"/>
              </w:rPr>
            </w:pPr>
            <w:r>
              <w:rPr>
                <w:rFonts w:ascii="Arial" w:cs="Arial" w:eastAsia="Arial" w:hAnsi="Arial"/>
                <w:sz w:val="18"/>
                <w:szCs w:val="18"/>
                <w:color w:val="auto"/>
              </w:rPr>
              <w:t>54,382,423</w:t>
            </w:r>
          </w:p>
        </w:tc>
        <w:tc>
          <w:tcPr>
            <w:tcW w:w="80" w:type="dxa"/>
            <w:vAlign w:val="bottom"/>
            <w:tcBorders>
              <w:top w:val="single" w:sz="8" w:color="E0E7ED"/>
            </w:tcBorders>
            <w:shd w:val="clear" w:color="auto" w:fill="E0E7ED"/>
          </w:tcPr>
          <w:p>
            <w:pPr>
              <w:spacing w:after="0"/>
              <w:rPr>
                <w:sz w:val="19"/>
                <w:szCs w:val="19"/>
                <w:color w:val="auto"/>
              </w:rPr>
            </w:pPr>
          </w:p>
        </w:tc>
        <w:tc>
          <w:tcPr>
            <w:tcW w:w="2740" w:type="dxa"/>
            <w:vAlign w:val="bottom"/>
            <w:tcBorders>
              <w:top w:val="single" w:sz="8" w:color="auto"/>
            </w:tcBorders>
            <w:shd w:val="clear" w:color="auto" w:fill="E0E7ED"/>
          </w:tcPr>
          <w:p>
            <w:pPr>
              <w:jc w:val="right"/>
              <w:ind w:right="876"/>
              <w:spacing w:after="0"/>
              <w:rPr>
                <w:sz w:val="20"/>
                <w:szCs w:val="20"/>
                <w:color w:val="auto"/>
              </w:rPr>
            </w:pPr>
            <w:r>
              <w:rPr>
                <w:rFonts w:ascii="Arial" w:cs="Arial" w:eastAsia="Arial" w:hAnsi="Arial"/>
                <w:sz w:val="18"/>
                <w:szCs w:val="18"/>
                <w:color w:val="auto"/>
              </w:rPr>
              <w:t>1,037,631</w:t>
            </w:r>
          </w:p>
        </w:tc>
        <w:tc>
          <w:tcPr>
            <w:tcW w:w="100" w:type="dxa"/>
            <w:vAlign w:val="bottom"/>
            <w:tcBorders>
              <w:top w:val="single" w:sz="8" w:color="E0E7ED"/>
            </w:tcBorders>
            <w:shd w:val="clear" w:color="auto" w:fill="E0E7ED"/>
          </w:tcPr>
          <w:p>
            <w:pPr>
              <w:spacing w:after="0"/>
              <w:rPr>
                <w:sz w:val="19"/>
                <w:szCs w:val="19"/>
                <w:color w:val="auto"/>
              </w:rPr>
            </w:pPr>
          </w:p>
        </w:tc>
        <w:tc>
          <w:tcPr>
            <w:tcW w:w="2740" w:type="dxa"/>
            <w:vAlign w:val="bottom"/>
            <w:tcBorders>
              <w:top w:val="single" w:sz="8" w:color="auto"/>
            </w:tcBorders>
            <w:shd w:val="clear" w:color="auto" w:fill="E0E7ED"/>
          </w:tcPr>
          <w:p>
            <w:pPr>
              <w:jc w:val="right"/>
              <w:ind w:right="956"/>
              <w:spacing w:after="0"/>
              <w:rPr>
                <w:sz w:val="20"/>
                <w:szCs w:val="20"/>
                <w:color w:val="auto"/>
              </w:rPr>
            </w:pPr>
            <w:r>
              <w:rPr>
                <w:rFonts w:ascii="Arial" w:cs="Arial" w:eastAsia="Arial" w:hAnsi="Arial"/>
                <w:sz w:val="18"/>
                <w:szCs w:val="18"/>
                <w:color w:val="auto"/>
              </w:rPr>
              <w:t>660,125</w:t>
            </w:r>
          </w:p>
        </w:tc>
        <w:tc>
          <w:tcPr>
            <w:tcW w:w="80" w:type="dxa"/>
            <w:vAlign w:val="bottom"/>
            <w:tcBorders>
              <w:top w:val="single" w:sz="8" w:color="E0E7ED"/>
            </w:tcBorders>
            <w:shd w:val="clear" w:color="auto" w:fill="E0E7ED"/>
          </w:tcPr>
          <w:p>
            <w:pPr>
              <w:spacing w:after="0"/>
              <w:rPr>
                <w:sz w:val="19"/>
                <w:szCs w:val="19"/>
                <w:color w:val="auto"/>
              </w:rPr>
            </w:pPr>
          </w:p>
        </w:tc>
        <w:tc>
          <w:tcPr>
            <w:tcW w:w="2760" w:type="dxa"/>
            <w:vAlign w:val="bottom"/>
            <w:tcBorders>
              <w:top w:val="single" w:sz="8" w:color="auto"/>
            </w:tcBorders>
            <w:shd w:val="clear" w:color="auto" w:fill="E0E7ED"/>
          </w:tcPr>
          <w:p>
            <w:pPr>
              <w:jc w:val="right"/>
              <w:ind w:right="839"/>
              <w:spacing w:after="0"/>
              <w:rPr>
                <w:sz w:val="20"/>
                <w:szCs w:val="20"/>
                <w:color w:val="auto"/>
              </w:rPr>
            </w:pPr>
            <w:r>
              <w:rPr>
                <w:rFonts w:ascii="Arial" w:cs="Arial" w:eastAsia="Arial" w:hAnsi="Arial"/>
                <w:sz w:val="18"/>
                <w:szCs w:val="18"/>
                <w:color w:val="auto"/>
              </w:rPr>
              <w:t>10,141,821</w:t>
            </w:r>
          </w:p>
        </w:tc>
      </w:tr>
      <w:tr>
        <w:trPr>
          <w:trHeight w:val="239"/>
        </w:trPr>
        <w:tc>
          <w:tcPr>
            <w:tcW w:w="2740" w:type="dxa"/>
            <w:vAlign w:val="bottom"/>
          </w:tcPr>
          <w:p>
            <w:pPr>
              <w:jc w:val="right"/>
              <w:ind w:right="1036"/>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20"/>
                <w:szCs w:val="20"/>
                <w:color w:val="auto"/>
              </w:rPr>
            </w:pPr>
          </w:p>
        </w:tc>
        <w:tc>
          <w:tcPr>
            <w:tcW w:w="2740" w:type="dxa"/>
            <w:vAlign w:val="bottom"/>
          </w:tcPr>
          <w:p>
            <w:pPr>
              <w:jc w:val="right"/>
              <w:ind w:right="107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740" w:type="dxa"/>
            <w:vAlign w:val="bottom"/>
          </w:tcPr>
          <w:p>
            <w:pPr>
              <w:jc w:val="right"/>
              <w:ind w:right="1076"/>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42" w:lineRule="exact"/>
        <w:rPr>
          <w:sz w:val="20"/>
          <w:szCs w:val="20"/>
          <w:color w:val="auto"/>
        </w:rPr>
      </w:pPr>
    </w:p>
    <w:p>
      <w:pPr>
        <w:ind w:right="3460"/>
        <w:spacing w:after="0" w:line="483" w:lineRule="auto"/>
        <w:rPr>
          <w:sz w:val="20"/>
          <w:szCs w:val="20"/>
          <w:color w:val="auto"/>
        </w:rPr>
      </w:pPr>
      <w:r>
        <w:rPr>
          <w:rFonts w:ascii="Arial" w:cs="Arial" w:eastAsia="Arial" w:hAnsi="Arial"/>
          <w:sz w:val="18"/>
          <w:szCs w:val="18"/>
          <w:u w:val="single" w:color="auto"/>
          <w:color w:val="auto"/>
        </w:rPr>
        <w:t xml:space="preserve">Proposal 3: Approval of the First Busey Corporation Second Amended 2020 Equity Incentive Plan </w:t>
      </w:r>
      <w:r>
        <w:rPr>
          <w:rFonts w:ascii="Arial" w:cs="Arial" w:eastAsia="Arial" w:hAnsi="Arial"/>
          <w:sz w:val="18"/>
          <w:szCs w:val="18"/>
          <w:color w:val="auto"/>
        </w:rPr>
        <w:t>Busey stockholders approved the Amended Plan.</w:t>
      </w: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ind w:left="1040"/>
              <w:spacing w:after="0"/>
              <w:rPr>
                <w:sz w:val="20"/>
                <w:szCs w:val="20"/>
                <w:color w:val="auto"/>
              </w:rPr>
            </w:pPr>
            <w:r>
              <w:rPr>
                <w:rFonts w:ascii="Arial" w:cs="Arial" w:eastAsia="Arial" w:hAnsi="Arial"/>
                <w:sz w:val="14"/>
                <w:szCs w:val="14"/>
                <w:b w:val="1"/>
                <w:bCs w:val="1"/>
                <w:color w:val="auto"/>
              </w:rPr>
              <w:t>Votes For</w:t>
            </w:r>
          </w:p>
        </w:tc>
        <w:tc>
          <w:tcPr>
            <w:tcW w:w="2840" w:type="dxa"/>
            <w:vAlign w:val="bottom"/>
            <w:gridSpan w:val="2"/>
          </w:tcPr>
          <w:p>
            <w:pPr>
              <w:ind w:left="900"/>
              <w:spacing w:after="0"/>
              <w:rPr>
                <w:sz w:val="20"/>
                <w:szCs w:val="20"/>
                <w:color w:val="auto"/>
              </w:rPr>
            </w:pPr>
            <w:r>
              <w:rPr>
                <w:rFonts w:ascii="Arial" w:cs="Arial" w:eastAsia="Arial" w:hAnsi="Arial"/>
                <w:sz w:val="14"/>
                <w:szCs w:val="14"/>
                <w:b w:val="1"/>
                <w:bCs w:val="1"/>
                <w:color w:val="auto"/>
              </w:rPr>
              <w:t>Votes Against</w:t>
            </w:r>
          </w:p>
        </w:tc>
        <w:tc>
          <w:tcPr>
            <w:tcW w:w="282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Abstentions</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24"/>
        </w:trPr>
        <w:tc>
          <w:tcPr>
            <w:tcW w:w="2740" w:type="dxa"/>
            <w:vAlign w:val="bottom"/>
            <w:tcBorders>
              <w:top w:val="single" w:sz="8" w:color="auto"/>
            </w:tcBorders>
            <w:shd w:val="clear" w:color="auto" w:fill="E0E7ED"/>
          </w:tcPr>
          <w:p>
            <w:pPr>
              <w:jc w:val="right"/>
              <w:ind w:right="836"/>
              <w:spacing w:after="0"/>
              <w:rPr>
                <w:sz w:val="20"/>
                <w:szCs w:val="20"/>
                <w:color w:val="auto"/>
              </w:rPr>
            </w:pPr>
            <w:r>
              <w:rPr>
                <w:rFonts w:ascii="Arial" w:cs="Arial" w:eastAsia="Arial" w:hAnsi="Arial"/>
                <w:sz w:val="18"/>
                <w:szCs w:val="18"/>
                <w:color w:val="auto"/>
              </w:rPr>
              <w:t>52,960,105</w:t>
            </w:r>
          </w:p>
        </w:tc>
        <w:tc>
          <w:tcPr>
            <w:tcW w:w="80" w:type="dxa"/>
            <w:vAlign w:val="bottom"/>
            <w:tcBorders>
              <w:top w:val="single" w:sz="8" w:color="E0E7ED"/>
            </w:tcBorders>
            <w:shd w:val="clear" w:color="auto" w:fill="E0E7ED"/>
          </w:tcPr>
          <w:p>
            <w:pPr>
              <w:spacing w:after="0"/>
              <w:rPr>
                <w:sz w:val="19"/>
                <w:szCs w:val="19"/>
                <w:color w:val="auto"/>
              </w:rPr>
            </w:pPr>
          </w:p>
        </w:tc>
        <w:tc>
          <w:tcPr>
            <w:tcW w:w="2740" w:type="dxa"/>
            <w:vAlign w:val="bottom"/>
            <w:tcBorders>
              <w:top w:val="single" w:sz="8" w:color="auto"/>
            </w:tcBorders>
            <w:shd w:val="clear" w:color="auto" w:fill="E0E7ED"/>
          </w:tcPr>
          <w:p>
            <w:pPr>
              <w:jc w:val="right"/>
              <w:ind w:right="876"/>
              <w:spacing w:after="0"/>
              <w:rPr>
                <w:sz w:val="20"/>
                <w:szCs w:val="20"/>
                <w:color w:val="auto"/>
              </w:rPr>
            </w:pPr>
            <w:r>
              <w:rPr>
                <w:rFonts w:ascii="Arial" w:cs="Arial" w:eastAsia="Arial" w:hAnsi="Arial"/>
                <w:sz w:val="18"/>
                <w:szCs w:val="18"/>
                <w:color w:val="auto"/>
              </w:rPr>
              <w:t>2,681,456</w:t>
            </w:r>
          </w:p>
        </w:tc>
        <w:tc>
          <w:tcPr>
            <w:tcW w:w="100" w:type="dxa"/>
            <w:vAlign w:val="bottom"/>
            <w:tcBorders>
              <w:top w:val="single" w:sz="8" w:color="E0E7ED"/>
            </w:tcBorders>
            <w:shd w:val="clear" w:color="auto" w:fill="E0E7ED"/>
          </w:tcPr>
          <w:p>
            <w:pPr>
              <w:spacing w:after="0"/>
              <w:rPr>
                <w:sz w:val="19"/>
                <w:szCs w:val="19"/>
                <w:color w:val="auto"/>
              </w:rPr>
            </w:pPr>
          </w:p>
        </w:tc>
        <w:tc>
          <w:tcPr>
            <w:tcW w:w="2740" w:type="dxa"/>
            <w:vAlign w:val="bottom"/>
            <w:tcBorders>
              <w:top w:val="single" w:sz="8" w:color="auto"/>
            </w:tcBorders>
            <w:shd w:val="clear" w:color="auto" w:fill="E0E7ED"/>
          </w:tcPr>
          <w:p>
            <w:pPr>
              <w:jc w:val="right"/>
              <w:ind w:right="956"/>
              <w:spacing w:after="0"/>
              <w:rPr>
                <w:sz w:val="20"/>
                <w:szCs w:val="20"/>
                <w:color w:val="auto"/>
              </w:rPr>
            </w:pPr>
            <w:r>
              <w:rPr>
                <w:rFonts w:ascii="Arial" w:cs="Arial" w:eastAsia="Arial" w:hAnsi="Arial"/>
                <w:sz w:val="18"/>
                <w:szCs w:val="18"/>
                <w:color w:val="auto"/>
              </w:rPr>
              <w:t>438,618</w:t>
            </w:r>
          </w:p>
        </w:tc>
        <w:tc>
          <w:tcPr>
            <w:tcW w:w="80" w:type="dxa"/>
            <w:vAlign w:val="bottom"/>
            <w:tcBorders>
              <w:top w:val="single" w:sz="8" w:color="E0E7ED"/>
            </w:tcBorders>
            <w:shd w:val="clear" w:color="auto" w:fill="E0E7ED"/>
          </w:tcPr>
          <w:p>
            <w:pPr>
              <w:spacing w:after="0"/>
              <w:rPr>
                <w:sz w:val="19"/>
                <w:szCs w:val="19"/>
                <w:color w:val="auto"/>
              </w:rPr>
            </w:pPr>
          </w:p>
        </w:tc>
        <w:tc>
          <w:tcPr>
            <w:tcW w:w="2760" w:type="dxa"/>
            <w:vAlign w:val="bottom"/>
            <w:tcBorders>
              <w:top w:val="single" w:sz="8" w:color="auto"/>
            </w:tcBorders>
            <w:shd w:val="clear" w:color="auto" w:fill="E0E7ED"/>
          </w:tcPr>
          <w:p>
            <w:pPr>
              <w:jc w:val="right"/>
              <w:ind w:right="839"/>
              <w:spacing w:after="0"/>
              <w:rPr>
                <w:sz w:val="20"/>
                <w:szCs w:val="20"/>
                <w:color w:val="auto"/>
              </w:rPr>
            </w:pPr>
            <w:r>
              <w:rPr>
                <w:rFonts w:ascii="Arial" w:cs="Arial" w:eastAsia="Arial" w:hAnsi="Arial"/>
                <w:sz w:val="18"/>
                <w:szCs w:val="18"/>
                <w:color w:val="auto"/>
              </w:rPr>
              <w:t>10,141,821</w:t>
            </w:r>
          </w:p>
        </w:tc>
      </w:tr>
      <w:tr>
        <w:trPr>
          <w:trHeight w:val="239"/>
        </w:trPr>
        <w:tc>
          <w:tcPr>
            <w:tcW w:w="2740" w:type="dxa"/>
            <w:vAlign w:val="bottom"/>
          </w:tcPr>
          <w:p>
            <w:pPr>
              <w:jc w:val="right"/>
              <w:ind w:right="1036"/>
              <w:spacing w:after="0"/>
              <w:rPr>
                <w:sz w:val="20"/>
                <w:szCs w:val="20"/>
                <w:color w:val="auto"/>
              </w:rPr>
            </w:pPr>
            <w:r>
              <w:rPr>
                <w:rFonts w:ascii="Arial" w:cs="Arial" w:eastAsia="Arial" w:hAnsi="Arial"/>
                <w:sz w:val="18"/>
                <w:szCs w:val="18"/>
                <w:color w:val="auto"/>
              </w:rPr>
              <w:t>94.4%</w:t>
            </w:r>
          </w:p>
        </w:tc>
        <w:tc>
          <w:tcPr>
            <w:tcW w:w="80" w:type="dxa"/>
            <w:vAlign w:val="bottom"/>
          </w:tcPr>
          <w:p>
            <w:pPr>
              <w:spacing w:after="0"/>
              <w:rPr>
                <w:sz w:val="20"/>
                <w:szCs w:val="20"/>
                <w:color w:val="auto"/>
              </w:rPr>
            </w:pPr>
          </w:p>
        </w:tc>
        <w:tc>
          <w:tcPr>
            <w:tcW w:w="2740" w:type="dxa"/>
            <w:vAlign w:val="bottom"/>
          </w:tcPr>
          <w:p>
            <w:pPr>
              <w:jc w:val="right"/>
              <w:ind w:right="107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740" w:type="dxa"/>
            <w:vAlign w:val="bottom"/>
          </w:tcPr>
          <w:p>
            <w:pPr>
              <w:jc w:val="right"/>
              <w:ind w:right="1076"/>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w:t>
      </w:r>
      <w:r>
        <w:rPr>
          <w:rFonts w:ascii="Arial" w:cs="Arial" w:eastAsia="Arial" w:hAnsi="Arial"/>
          <w:sz w:val="18"/>
          <w:szCs w:val="18"/>
          <w:b w:val="1"/>
          <w:bCs w:val="1"/>
          <w:color w:val="808285"/>
        </w:rPr>
        <w:t>(BUSE)</w:t>
      </w:r>
      <w:r>
        <w:rPr>
          <w:rFonts w:ascii="Arial" w:cs="Arial" w:eastAsia="Arial" w:hAnsi="Arial"/>
          <w:sz w:val="18"/>
          <w:szCs w:val="18"/>
          <w:color w:val="808285"/>
        </w:rPr>
        <w:t xml:space="preserve"> | 2026 Annual Meeting Voting Results — </w:t>
      </w:r>
      <w:r>
        <w:rPr>
          <w:rFonts w:ascii="Arial" w:cs="Arial" w:eastAsia="Arial" w:hAnsi="Arial"/>
          <w:sz w:val="18"/>
          <w:szCs w:val="18"/>
          <w:b w:val="1"/>
          <w:bCs w:val="1"/>
          <w:color w:val="37648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4: Ratification of independent registered public accounting firm</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 stockholders ratified the appointment of RSM US LLP as Busey’s independent registered public accounting firm for the year ending December 31, 2026.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ind w:left="1040"/>
              <w:spacing w:after="0"/>
              <w:rPr>
                <w:sz w:val="20"/>
                <w:szCs w:val="20"/>
                <w:color w:val="auto"/>
              </w:rPr>
            </w:pPr>
            <w:r>
              <w:rPr>
                <w:rFonts w:ascii="Arial" w:cs="Arial" w:eastAsia="Arial" w:hAnsi="Arial"/>
                <w:sz w:val="14"/>
                <w:szCs w:val="14"/>
                <w:b w:val="1"/>
                <w:bCs w:val="1"/>
                <w:color w:val="auto"/>
              </w:rPr>
              <w:t>Votes For</w:t>
            </w:r>
          </w:p>
        </w:tc>
        <w:tc>
          <w:tcPr>
            <w:tcW w:w="2840" w:type="dxa"/>
            <w:vAlign w:val="bottom"/>
            <w:gridSpan w:val="2"/>
          </w:tcPr>
          <w:p>
            <w:pPr>
              <w:ind w:left="900"/>
              <w:spacing w:after="0"/>
              <w:rPr>
                <w:sz w:val="20"/>
                <w:szCs w:val="20"/>
                <w:color w:val="auto"/>
              </w:rPr>
            </w:pPr>
            <w:r>
              <w:rPr>
                <w:rFonts w:ascii="Arial" w:cs="Arial" w:eastAsia="Arial" w:hAnsi="Arial"/>
                <w:sz w:val="14"/>
                <w:szCs w:val="14"/>
                <w:b w:val="1"/>
                <w:bCs w:val="1"/>
                <w:color w:val="auto"/>
              </w:rPr>
              <w:t>Votes Against</w:t>
            </w:r>
          </w:p>
        </w:tc>
        <w:tc>
          <w:tcPr>
            <w:tcW w:w="282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Abstentions</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24"/>
        </w:trPr>
        <w:tc>
          <w:tcPr>
            <w:tcW w:w="2740" w:type="dxa"/>
            <w:vAlign w:val="bottom"/>
            <w:tcBorders>
              <w:top w:val="single" w:sz="8" w:color="auto"/>
            </w:tcBorders>
            <w:shd w:val="clear" w:color="auto" w:fill="E0E7ED"/>
          </w:tcPr>
          <w:p>
            <w:pPr>
              <w:jc w:val="right"/>
              <w:ind w:right="836"/>
              <w:spacing w:after="0"/>
              <w:rPr>
                <w:sz w:val="20"/>
                <w:szCs w:val="20"/>
                <w:color w:val="auto"/>
              </w:rPr>
            </w:pPr>
            <w:r>
              <w:rPr>
                <w:rFonts w:ascii="Arial" w:cs="Arial" w:eastAsia="Arial" w:hAnsi="Arial"/>
                <w:sz w:val="18"/>
                <w:szCs w:val="18"/>
                <w:color w:val="auto"/>
              </w:rPr>
              <w:t>64,541,386</w:t>
            </w:r>
          </w:p>
        </w:tc>
        <w:tc>
          <w:tcPr>
            <w:tcW w:w="80" w:type="dxa"/>
            <w:vAlign w:val="bottom"/>
            <w:tcBorders>
              <w:top w:val="single" w:sz="8" w:color="E0E7ED"/>
            </w:tcBorders>
            <w:shd w:val="clear" w:color="auto" w:fill="E0E7ED"/>
          </w:tcPr>
          <w:p>
            <w:pPr>
              <w:spacing w:after="0"/>
              <w:rPr>
                <w:sz w:val="19"/>
                <w:szCs w:val="19"/>
                <w:color w:val="auto"/>
              </w:rPr>
            </w:pPr>
          </w:p>
        </w:tc>
        <w:tc>
          <w:tcPr>
            <w:tcW w:w="2740" w:type="dxa"/>
            <w:vAlign w:val="bottom"/>
            <w:tcBorders>
              <w:top w:val="single" w:sz="8" w:color="auto"/>
            </w:tcBorders>
            <w:shd w:val="clear" w:color="auto" w:fill="E0E7ED"/>
          </w:tcPr>
          <w:p>
            <w:pPr>
              <w:jc w:val="right"/>
              <w:ind w:right="876"/>
              <w:spacing w:after="0"/>
              <w:rPr>
                <w:sz w:val="20"/>
                <w:szCs w:val="20"/>
                <w:color w:val="auto"/>
              </w:rPr>
            </w:pPr>
            <w:r>
              <w:rPr>
                <w:rFonts w:ascii="Arial" w:cs="Arial" w:eastAsia="Arial" w:hAnsi="Arial"/>
                <w:sz w:val="18"/>
                <w:szCs w:val="18"/>
                <w:color w:val="auto"/>
              </w:rPr>
              <w:t>1,480,312</w:t>
            </w:r>
          </w:p>
        </w:tc>
        <w:tc>
          <w:tcPr>
            <w:tcW w:w="100" w:type="dxa"/>
            <w:vAlign w:val="bottom"/>
            <w:tcBorders>
              <w:top w:val="single" w:sz="8" w:color="E0E7ED"/>
            </w:tcBorders>
            <w:shd w:val="clear" w:color="auto" w:fill="E0E7ED"/>
          </w:tcPr>
          <w:p>
            <w:pPr>
              <w:spacing w:after="0"/>
              <w:rPr>
                <w:sz w:val="19"/>
                <w:szCs w:val="19"/>
                <w:color w:val="auto"/>
              </w:rPr>
            </w:pPr>
          </w:p>
        </w:tc>
        <w:tc>
          <w:tcPr>
            <w:tcW w:w="2740" w:type="dxa"/>
            <w:vAlign w:val="bottom"/>
            <w:tcBorders>
              <w:top w:val="single" w:sz="8" w:color="auto"/>
            </w:tcBorders>
            <w:shd w:val="clear" w:color="auto" w:fill="E0E7ED"/>
          </w:tcPr>
          <w:p>
            <w:pPr>
              <w:jc w:val="right"/>
              <w:ind w:right="956"/>
              <w:spacing w:after="0"/>
              <w:rPr>
                <w:sz w:val="20"/>
                <w:szCs w:val="20"/>
                <w:color w:val="auto"/>
              </w:rPr>
            </w:pPr>
            <w:r>
              <w:rPr>
                <w:rFonts w:ascii="Arial" w:cs="Arial" w:eastAsia="Arial" w:hAnsi="Arial"/>
                <w:sz w:val="18"/>
                <w:szCs w:val="18"/>
                <w:color w:val="auto"/>
              </w:rPr>
              <w:t>200,302</w:t>
            </w:r>
          </w:p>
        </w:tc>
        <w:tc>
          <w:tcPr>
            <w:tcW w:w="80" w:type="dxa"/>
            <w:vAlign w:val="bottom"/>
            <w:tcBorders>
              <w:top w:val="single" w:sz="8" w:color="E0E7ED"/>
            </w:tcBorders>
            <w:shd w:val="clear" w:color="auto" w:fill="E0E7ED"/>
          </w:tcPr>
          <w:p>
            <w:pPr>
              <w:spacing w:after="0"/>
              <w:rPr>
                <w:sz w:val="19"/>
                <w:szCs w:val="19"/>
                <w:color w:val="auto"/>
              </w:rPr>
            </w:pPr>
          </w:p>
        </w:tc>
        <w:tc>
          <w:tcPr>
            <w:tcW w:w="2760" w:type="dxa"/>
            <w:vAlign w:val="bottom"/>
            <w:tcBorders>
              <w:top w:val="single" w:sz="8" w:color="auto"/>
            </w:tcBorders>
            <w:shd w:val="clear" w:color="auto" w:fill="E0E7ED"/>
          </w:tcPr>
          <w:p>
            <w:pPr>
              <w:jc w:val="center"/>
              <w:spacing w:after="0"/>
              <w:rPr>
                <w:sz w:val="20"/>
                <w:szCs w:val="20"/>
                <w:color w:val="auto"/>
              </w:rPr>
            </w:pPr>
            <w:r>
              <w:rPr>
                <w:rFonts w:ascii="Arial" w:cs="Arial" w:eastAsia="Arial" w:hAnsi="Arial"/>
                <w:sz w:val="18"/>
                <w:szCs w:val="18"/>
                <w:color w:val="auto"/>
                <w:w w:val="99"/>
              </w:rPr>
              <w:t>Not Applicable</w:t>
            </w:r>
          </w:p>
        </w:tc>
      </w:tr>
      <w:tr>
        <w:trPr>
          <w:trHeight w:val="239"/>
        </w:trPr>
        <w:tc>
          <w:tcPr>
            <w:tcW w:w="2740" w:type="dxa"/>
            <w:vAlign w:val="bottom"/>
          </w:tcPr>
          <w:p>
            <w:pPr>
              <w:jc w:val="right"/>
              <w:ind w:right="1036"/>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20"/>
                <w:szCs w:val="20"/>
                <w:color w:val="auto"/>
              </w:rPr>
            </w:pPr>
          </w:p>
        </w:tc>
        <w:tc>
          <w:tcPr>
            <w:tcW w:w="2740" w:type="dxa"/>
            <w:vAlign w:val="bottom"/>
          </w:tcPr>
          <w:p>
            <w:pPr>
              <w:jc w:val="right"/>
              <w:ind w:right="107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740" w:type="dxa"/>
            <w:vAlign w:val="bottom"/>
          </w:tcPr>
          <w:p>
            <w:pPr>
              <w:jc w:val="right"/>
              <w:ind w:right="1076"/>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Share Repurchase Program</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20, 2026, Busey's board of directors approved an amendment to Busey’s previously adopted share repurchase program to increase the number of shares of Busey’s common stock available for repurchase by 4,000,000 shares. As of the close of business on May 20, 2026, under the amended share repurchase program, Busey is now authorized to repurchase, from time to time as Busey deems appropriate, up to a remaining number of 4,903,775 shares of Busey's common stock. Repurchases may be made in the open market, through block trades or otherwise, and in privately negotiated transactions. The repurchase program does not obligate Busey to repurchase any dollar amount or number of shares. The repurchase program has no expiration date, and may be expanded, modified, suspended, or discontinued by Busey's board of directors at its discretion at any time.</w:t>
      </w:r>
    </w:p>
    <w:p>
      <w:pPr>
        <w:spacing w:after="0" w:line="1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0"/>
                <w:szCs w:val="20"/>
                <w:color w:val="auto"/>
              </w:rPr>
            </w:pPr>
          </w:p>
        </w:tc>
        <w:tc>
          <w:tcPr>
            <w:tcW w:w="9580" w:type="dxa"/>
            <w:vAlign w:val="bottom"/>
            <w:gridSpan w:val="4"/>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15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580" w:type="dxa"/>
            <w:vAlign w:val="bottom"/>
            <w:tcBorders>
              <w:top w:val="single" w:sz="8" w:color="auto"/>
            </w:tcBorders>
            <w:gridSpan w:val="4"/>
          </w:tcPr>
          <w:p>
            <w:pPr>
              <w:spacing w:after="0" w:line="182" w:lineRule="exact"/>
              <w:rPr>
                <w:rFonts w:ascii="Arial" w:cs="Arial" w:eastAsia="Arial" w:hAnsi="Arial"/>
                <w:sz w:val="18"/>
                <w:szCs w:val="18"/>
                <w:color w:val="0000FF"/>
              </w:rPr>
            </w:pPr>
            <w:hyperlink r:id="rId15">
              <w:r>
                <w:rPr>
                  <w:rFonts w:ascii="Arial" w:cs="Arial" w:eastAsia="Arial" w:hAnsi="Arial"/>
                  <w:sz w:val="18"/>
                  <w:szCs w:val="18"/>
                  <w:color w:val="0000FF"/>
                </w:rPr>
                <w:t>First Busey Corporation Second Amended 2020 Equity Incentive Plan, filed with the U.S. Securities and Exchange</w:t>
              </w:r>
            </w:hyperlink>
          </w:p>
        </w:tc>
      </w:tr>
      <w:tr>
        <w:trPr>
          <w:trHeight w:val="169"/>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8"/>
              </w:rPr>
            </w:pPr>
            <w:hyperlink r:id="rId15">
              <w:r>
                <w:rPr>
                  <w:rFonts w:ascii="Arial" w:cs="Arial" w:eastAsia="Arial" w:hAnsi="Arial"/>
                  <w:sz w:val="18"/>
                  <w:szCs w:val="18"/>
                  <w:color w:val="0000FF"/>
                  <w:w w:val="98"/>
                </w:rPr>
                <w:t>Commission on April 13, 2026, as Appendix A to the Definitive Proxy Statement Amendment No. 1 and incorporated</w:t>
              </w:r>
            </w:hyperlink>
          </w:p>
        </w:tc>
        <w:tc>
          <w:tcPr>
            <w:tcW w:w="140" w:type="dxa"/>
            <w:vAlign w:val="bottom"/>
            <w:tcBorders>
              <w:bottom w:val="single" w:sz="8" w:color="0000FF"/>
            </w:tcBorders>
          </w:tcPr>
          <w:p>
            <w:pPr>
              <w:spacing w:after="0"/>
              <w:rPr>
                <w:sz w:val="14"/>
                <w:szCs w:val="14"/>
                <w:color w:val="auto"/>
              </w:rPr>
            </w:pPr>
          </w:p>
        </w:tc>
        <w:tc>
          <w:tcPr>
            <w:tcW w:w="340" w:type="dxa"/>
            <w:vAlign w:val="bottom"/>
          </w:tcPr>
          <w:p>
            <w:pPr>
              <w:spacing w:after="0"/>
              <w:rPr>
                <w:sz w:val="14"/>
                <w:szCs w:val="14"/>
                <w:color w:val="auto"/>
              </w:rPr>
            </w:pPr>
          </w:p>
        </w:tc>
      </w:tr>
      <w:tr>
        <w:trPr>
          <w:trHeight w:val="155"/>
        </w:trPr>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gridSpan w:val="3"/>
          </w:tcPr>
          <w:p>
            <w:pPr>
              <w:spacing w:after="0" w:line="156" w:lineRule="exact"/>
              <w:rPr>
                <w:rFonts w:ascii="Arial" w:cs="Arial" w:eastAsia="Arial" w:hAnsi="Arial"/>
                <w:sz w:val="18"/>
                <w:szCs w:val="18"/>
                <w:color w:val="0000FF"/>
              </w:rPr>
            </w:pPr>
            <w:hyperlink r:id="rId15">
              <w:r>
                <w:rPr>
                  <w:rFonts w:ascii="Arial" w:cs="Arial" w:eastAsia="Arial" w:hAnsi="Arial"/>
                  <w:sz w:val="18"/>
                  <w:szCs w:val="18"/>
                  <w:color w:val="0000FF"/>
                </w:rPr>
                <w:t>herein by reference</w:t>
              </w:r>
            </w:hyperlink>
          </w:p>
        </w:tc>
        <w:tc>
          <w:tcPr>
            <w:tcW w:w="34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r>
      <w:tr>
        <w:trPr>
          <w:trHeight w:val="254"/>
        </w:trPr>
        <w:tc>
          <w:tcPr>
            <w:tcW w:w="156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w:t>
      </w:r>
      <w:r>
        <w:rPr>
          <w:rFonts w:ascii="Arial" w:cs="Arial" w:eastAsia="Arial" w:hAnsi="Arial"/>
          <w:sz w:val="18"/>
          <w:szCs w:val="18"/>
          <w:b w:val="1"/>
          <w:bCs w:val="1"/>
          <w:color w:val="808285"/>
        </w:rPr>
        <w:t>(BUSE)</w:t>
      </w:r>
      <w:r>
        <w:rPr>
          <w:rFonts w:ascii="Arial" w:cs="Arial" w:eastAsia="Arial" w:hAnsi="Arial"/>
          <w:sz w:val="18"/>
          <w:szCs w:val="18"/>
          <w:color w:val="808285"/>
        </w:rPr>
        <w:t xml:space="preserve"> | 2026 Annual Meeting Voting Results — </w:t>
      </w:r>
      <w:r>
        <w:rPr>
          <w:rFonts w:ascii="Arial" w:cs="Arial" w:eastAsia="Arial" w:hAnsi="Arial"/>
          <w:sz w:val="18"/>
          <w:szCs w:val="18"/>
          <w:b w:val="1"/>
          <w:bCs w:val="1"/>
          <w:color w:val="376484"/>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4840" w:type="dxa"/>
        <w:tblCellMar>
          <w:top w:w="0" w:type="dxa"/>
          <w:left w:w="0" w:type="dxa"/>
          <w:bottom w:w="0" w:type="dxa"/>
          <w:right w:w="0" w:type="dxa"/>
        </w:tblCellMar>
      </w:tblPr>
      <w:tr>
        <w:trPr>
          <w:trHeight w:val="247"/>
        </w:trPr>
        <w:tc>
          <w:tcPr>
            <w:tcW w:w="6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FIRST BUSEY CORPORATION</w:t>
            </w:r>
          </w:p>
        </w:tc>
      </w:tr>
      <w:tr>
        <w:trPr>
          <w:trHeight w:val="48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/s/ CHRISTOPHER H.M. CHAN</w:t>
            </w:r>
          </w:p>
        </w:tc>
      </w:tr>
      <w:tr>
        <w:trPr>
          <w:trHeight w:val="218"/>
        </w:trPr>
        <w:tc>
          <w:tcPr>
            <w:tcW w:w="620" w:type="dxa"/>
            <w:vAlign w:val="bottom"/>
          </w:tcPr>
          <w:p>
            <w:pPr>
              <w:spacing w:after="0"/>
              <w:rPr>
                <w:sz w:val="18"/>
                <w:szCs w:val="18"/>
                <w:color w:val="auto"/>
              </w:rPr>
            </w:pPr>
          </w:p>
        </w:tc>
        <w:tc>
          <w:tcPr>
            <w:tcW w:w="3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Christopher H.M. Chan</w:t>
            </w:r>
          </w:p>
        </w:tc>
        <w:tc>
          <w:tcPr>
            <w:tcW w:w="760" w:type="dxa"/>
            <w:vAlign w:val="bottom"/>
          </w:tcPr>
          <w:p>
            <w:pPr>
              <w:spacing w:after="0"/>
              <w:rPr>
                <w:sz w:val="18"/>
                <w:szCs w:val="18"/>
                <w:color w:val="auto"/>
              </w:rPr>
            </w:pPr>
          </w:p>
        </w:tc>
      </w:tr>
      <w:tr>
        <w:trPr>
          <w:trHeight w:val="239"/>
        </w:trPr>
        <w:tc>
          <w:tcPr>
            <w:tcW w:w="620" w:type="dxa"/>
            <w:vAlign w:val="bottom"/>
          </w:tcPr>
          <w:p>
            <w:pPr>
              <w:spacing w:after="0"/>
              <w:rPr>
                <w:sz w:val="20"/>
                <w:szCs w:val="20"/>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w w:val="99"/>
              </w:rPr>
              <w:t>Executive Vice President, Chief Financial Officer</w:t>
            </w:r>
          </w:p>
        </w:tc>
      </w:tr>
      <w:tr>
        <w:trPr>
          <w:trHeight w:val="495"/>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22, 2026</w:t>
            </w:r>
          </w:p>
        </w:tc>
        <w:tc>
          <w:tcPr>
            <w:tcW w:w="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w:t>
      </w:r>
      <w:r>
        <w:rPr>
          <w:rFonts w:ascii="Arial" w:cs="Arial" w:eastAsia="Arial" w:hAnsi="Arial"/>
          <w:sz w:val="18"/>
          <w:szCs w:val="18"/>
          <w:b w:val="1"/>
          <w:bCs w:val="1"/>
          <w:color w:val="808285"/>
        </w:rPr>
        <w:t>(BUSE)</w:t>
      </w:r>
      <w:r>
        <w:rPr>
          <w:rFonts w:ascii="Arial" w:cs="Arial" w:eastAsia="Arial" w:hAnsi="Arial"/>
          <w:sz w:val="18"/>
          <w:szCs w:val="18"/>
          <w:color w:val="808285"/>
        </w:rPr>
        <w:t xml:space="preserve"> | 2026 Annual Meeting Voting Results — </w:t>
      </w:r>
      <w:r>
        <w:rPr>
          <w:rFonts w:ascii="Arial" w:cs="Arial" w:eastAsia="Arial" w:hAnsi="Arial"/>
          <w:sz w:val="18"/>
          <w:szCs w:val="18"/>
          <w:b w:val="1"/>
          <w:bCs w:val="1"/>
          <w:color w:val="376484"/>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4" Type="http://schemas.openxmlformats.org/officeDocument/2006/relationships/hyperlink" Target="https://www.sec.gov/Archives/edgar/data/314489/000031448926000021/buse-20260413.htm" TargetMode="External"/><Relationship Id="rId15" Type="http://schemas.openxmlformats.org/officeDocument/2006/relationships/hyperlink" Target="https://www.sec.gov/Archives/edgar/data/314489/000031448926000021/buse-20260413.htm#i1cf41c4468e3422782c77711cb77ca6d"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2026-05-22T15:14:43Z</dcterms:created>
  <dcterms:modified xsi:type="dcterms:W3CDTF">2026-05-22T15:14:43Z</dcterms:modified>
</cp:coreProperties>
</file>