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-199390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ind w:left="2500" w:right="1599" w:hanging="2235"/>
        <w:spacing w:after="0" w:line="305" w:lineRule="auto"/>
        <w:tabs>
          <w:tab w:leader="none" w:pos="645"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30" w:lineRule="exact"/>
        <w:rPr>
          <w:sz w:val="24"/>
          <w:szCs w:val="24"/>
          <w:color w:val="auto"/>
        </w:rPr>
      </w:pPr>
    </w:p>
    <w:p>
      <w:pPr>
        <w:ind w:left="3380" w:right="1579" w:hanging="3115"/>
        <w:spacing w:after="0" w:line="336" w:lineRule="auto"/>
        <w:tabs>
          <w:tab w:leader="none" w:pos="63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2"/>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56" w:lineRule="exact"/>
        <w:rPr>
          <w:sz w:val="24"/>
          <w:szCs w:val="24"/>
          <w:color w:val="auto"/>
        </w:rPr>
      </w:pPr>
    </w:p>
    <w:p>
      <w:pPr>
        <w:ind w:left="500"/>
        <w:spacing w:after="0" w:line="324"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both"/>
        <w:ind w:right="200" w:firstLine="762"/>
        <w:spacing w:after="0" w:line="24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348" w:lineRule="exact"/>
        <w:rPr>
          <w:sz w:val="24"/>
          <w:szCs w:val="24"/>
          <w:color w:val="auto"/>
        </w:rPr>
      </w:pPr>
    </w:p>
    <w:p>
      <w:pPr>
        <w:sectPr>
          <w:pgSz w:w="11900" w:h="16838" w:orient="portrait"/>
          <w:cols w:equalWidth="0" w:num="4">
            <w:col w:w="2480" w:space="160"/>
            <w:col w:w="320" w:space="720"/>
            <w:col w:w="2380" w:space="720"/>
            <w:col w:w="2239"/>
          </w:cols>
          <w:pgMar w:left="1440" w:top="665" w:right="1440" w:bottom="1440" w:gutter="0" w:footer="0" w:header="0"/>
          <w:type w:val="continuous"/>
        </w:sect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3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Outstanding at November 4, 2021</w:t>
            </w:r>
          </w:p>
        </w:tc>
      </w:tr>
      <w:tr>
        <w:trPr>
          <w:trHeight w:val="210"/>
        </w:trPr>
        <w:tc>
          <w:tcPr>
            <w:tcW w:w="920" w:type="dxa"/>
            <w:vAlign w:val="bottom"/>
            <w:tcBorders>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60" w:type="dxa"/>
            <w:vAlign w:val="bottom"/>
            <w:tcBorders>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55,668,984</w:t>
            </w:r>
          </w:p>
        </w:tc>
        <w:tc>
          <w:tcPr>
            <w:tcW w:w="900" w:type="dxa"/>
            <w:vAlign w:val="bottom"/>
            <w:tcBorders>
              <w:bottom w:val="single" w:sz="8" w:color="auto"/>
            </w:tcBorders>
          </w:tcPr>
          <w:p>
            <w:pPr>
              <w:spacing w:after="0"/>
              <w:rPr>
                <w:sz w:val="18"/>
                <w:szCs w:val="18"/>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7"/>
          </w:tcPr>
          <w:p>
            <w:pPr>
              <w:spacing w:after="0"/>
              <w:rPr>
                <w:sz w:val="20"/>
                <w:szCs w:val="20"/>
                <w:color w:val="auto"/>
              </w:rPr>
            </w:pPr>
            <w:r>
              <w:rPr>
                <w:rFonts w:ascii="Arial" w:cs="Arial" w:eastAsia="Arial" w:hAnsi="Arial"/>
                <w:sz w:val="18"/>
                <w:szCs w:val="18"/>
                <w:color w:val="auto"/>
              </w:rPr>
              <w:t>GLOSSARY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20" w:type="dxa"/>
            <w:vAlign w:val="bottom"/>
            <w:gridSpan w:val="4"/>
          </w:tcPr>
          <w:p>
            <w:pPr>
              <w:spacing w:after="0"/>
              <w:rPr>
                <w:sz w:val="24"/>
                <w:szCs w:val="24"/>
                <w:color w:val="auto"/>
              </w:rPr>
            </w:pPr>
          </w:p>
        </w:tc>
        <w:tc>
          <w:tcPr>
            <w:tcW w:w="2400" w:type="dxa"/>
            <w:vAlign w:val="bottom"/>
            <w:tcBorders>
              <w:bottom w:val="single" w:sz="8" w:color="0000EE"/>
            </w:tcBorders>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940" w:type="dxa"/>
            <w:vAlign w:val="bottom"/>
            <w:gridSpan w:val="2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340" w:type="dxa"/>
            <w:vAlign w:val="bottom"/>
            <w:gridSpan w:val="4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top w:val="single" w:sz="8" w:color="0000EE"/>
            </w:tcBorders>
            <w:gridSpan w:val="24"/>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w:t>
              </w:r>
            </w:hyperlink>
          </w:p>
        </w:tc>
        <w:tc>
          <w:tcPr>
            <w:tcW w:w="4360" w:type="dxa"/>
            <w:vAlign w:val="bottom"/>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INCOME</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40" w:type="dxa"/>
            <w:vAlign w:val="bottom"/>
            <w:gridSpan w:val="4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INCOME</w:t>
              </w:r>
            </w:hyperlink>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tcBorders>
              <w:top w:val="single" w:sz="8" w:color="0000EE"/>
            </w:tcBorders>
            <w:gridSpan w:val="37"/>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CONSOLIDATED STATEMENTS OF STOCKHOLDERS’ EQUITY</w:t>
              </w:r>
            </w:hyperlink>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52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40" w:type="dxa"/>
            <w:vAlign w:val="bottom"/>
            <w:gridSpan w:val="4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NOTES TO UNAUDITED CONSOLIDATED FINANCIAL STATEMENTS</w:t>
              </w:r>
            </w:hyperlink>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Note 1:</w:t>
              </w:r>
            </w:hyperlink>
          </w:p>
        </w:tc>
        <w:tc>
          <w:tcPr>
            <w:tcW w:w="45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Significant Accounting Policies</w:t>
              </w:r>
            </w:hyperlink>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Note 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Acquisitions</w:t>
            </w:r>
          </w:p>
        </w:tc>
        <w:tc>
          <w:tcPr>
            <w:tcW w:w="80" w:type="dxa"/>
            <w:vAlign w:val="bottom"/>
            <w:gridSpan w:val="2"/>
          </w:tcPr>
          <w:p>
            <w:pPr>
              <w:spacing w:after="0"/>
              <w:rPr>
                <w:sz w:val="15"/>
                <w:szCs w:val="15"/>
                <w:color w:val="auto"/>
              </w:rPr>
            </w:pPr>
          </w:p>
        </w:tc>
        <w:tc>
          <w:tcPr>
            <w:tcW w:w="8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Note 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Securities</w:t>
              </w:r>
            </w:hyperlink>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Note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Portfolio</w:t>
              </w:r>
            </w:hyperlink>
          </w:p>
        </w:tc>
        <w:tc>
          <w:tcPr>
            <w:tcW w:w="5580" w:type="dxa"/>
            <w:vAlign w:val="bottom"/>
            <w:gridSpan w:val="31"/>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Loans</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Note 5:</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Deposits</w:t>
              </w:r>
            </w:hyperlink>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Note 6:</w:t>
              </w:r>
            </w:hyperlink>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280" w:type="dxa"/>
            <w:vAlign w:val="bottom"/>
            <w:gridSpan w:val="35"/>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Borrowings</w:t>
              </w:r>
            </w:hyperlink>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Note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0000EE"/>
            </w:tcBorders>
            <w:gridSpan w:val="6"/>
          </w:tcPr>
          <w:p>
            <w:pPr>
              <w:spacing w:after="0" w:line="182"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Regulatory</w:t>
              </w:r>
            </w:hyperlink>
          </w:p>
        </w:tc>
        <w:tc>
          <w:tcPr>
            <w:tcW w:w="5440" w:type="dxa"/>
            <w:vAlign w:val="bottom"/>
            <w:gridSpan w:val="29"/>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Capital</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Note 8:</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0000EE"/>
            </w:tcBorders>
            <w:gridSpan w:val="12"/>
          </w:tcPr>
          <w:p>
            <w:pPr>
              <w:spacing w:after="0" w:line="182"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Employee Benefit</w:t>
              </w:r>
            </w:hyperlink>
          </w:p>
        </w:tc>
        <w:tc>
          <w:tcPr>
            <w:tcW w:w="4920" w:type="dxa"/>
            <w:vAlign w:val="bottom"/>
            <w:gridSpan w:val="23"/>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Plans</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Note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77"/>
              </w:rPr>
            </w:pPr>
            <w:hyperlink w:anchor="page29">
              <w:r>
                <w:rPr>
                  <w:rFonts w:ascii="Arial" w:cs="Arial" w:eastAsia="Arial" w:hAnsi="Arial"/>
                  <w:sz w:val="18"/>
                  <w:szCs w:val="18"/>
                  <w:color w:val="0000EE"/>
                  <w:w w:val="77"/>
                </w:rPr>
                <w:t>Stock-Based Compensation</w:t>
              </w:r>
            </w:hyperlink>
          </w:p>
        </w:tc>
        <w:tc>
          <w:tcPr>
            <w:tcW w:w="10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20" w:type="dxa"/>
            <w:vAlign w:val="bottom"/>
            <w:gridSpan w:val="41"/>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Note 10: Outstanding Commitments and Contingent Liabilities</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top w:val="single" w:sz="8" w:color="0000EE"/>
            </w:tcBorders>
            <w:gridSpan w:val="4"/>
          </w:tcPr>
          <w:p>
            <w:pPr>
              <w:spacing w:after="0" w:line="182"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Note 11: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6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Derivative Financial Instruments</w:t>
              </w:r>
            </w:hyperlink>
          </w:p>
        </w:tc>
        <w:tc>
          <w:tcPr>
            <w:tcW w:w="11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Note 12:</w:t>
              </w:r>
            </w:hyperlink>
          </w:p>
        </w:tc>
        <w:tc>
          <w:tcPr>
            <w:tcW w:w="40" w:type="dxa"/>
            <w:vAlign w:val="bottom"/>
            <w:tcBorders>
              <w:bottom w:val="single" w:sz="8" w:color="0000EE"/>
            </w:tcBorders>
            <w:gridSpan w:val="2"/>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Fair Value Measurements</w:t>
              </w:r>
            </w:hyperlink>
          </w:p>
        </w:tc>
        <w:tc>
          <w:tcPr>
            <w:tcW w:w="520" w:type="dxa"/>
            <w:vAlign w:val="bottom"/>
            <w:tcBorders>
              <w:top w:val="single" w:sz="8" w:color="0000EE"/>
            </w:tcBorders>
            <w:gridSpan w:val="7"/>
          </w:tcPr>
          <w:p>
            <w:pPr>
              <w:spacing w:after="0"/>
              <w:rPr>
                <w:sz w:val="15"/>
                <w:szCs w:val="15"/>
                <w:color w:val="auto"/>
              </w:rPr>
            </w:pPr>
          </w:p>
        </w:tc>
        <w:tc>
          <w:tcPr>
            <w:tcW w:w="8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5"/>
          </w:tcPr>
          <w:p>
            <w:pPr>
              <w:spacing w:after="0" w:line="182"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Note 13:</w:t>
              </w:r>
            </w:hyperlink>
          </w:p>
        </w:tc>
        <w:tc>
          <w:tcPr>
            <w:tcW w:w="80" w:type="dxa"/>
            <w:vAlign w:val="bottom"/>
          </w:tcPr>
          <w:p>
            <w:pPr>
              <w:spacing w:after="0"/>
              <w:rPr>
                <w:sz w:val="15"/>
                <w:szCs w:val="15"/>
                <w:color w:val="auto"/>
              </w:rPr>
            </w:pPr>
          </w:p>
        </w:tc>
        <w:tc>
          <w:tcPr>
            <w:tcW w:w="6280" w:type="dxa"/>
            <w:vAlign w:val="bottom"/>
            <w:gridSpan w:val="35"/>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Earnings per Common Share</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5"/>
          </w:tcPr>
          <w:p>
            <w:pPr>
              <w:spacing w:after="0" w:line="182"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Note 14:</w:t>
              </w:r>
            </w:hyperlink>
          </w:p>
        </w:tc>
        <w:tc>
          <w:tcPr>
            <w:tcW w:w="80" w:type="dxa"/>
            <w:vAlign w:val="bottom"/>
            <w:vMerge w:val="continue"/>
          </w:tcPr>
          <w:p>
            <w:pPr>
              <w:spacing w:after="0"/>
              <w:rPr>
                <w:sz w:val="15"/>
                <w:szCs w:val="15"/>
                <w:color w:val="auto"/>
              </w:rPr>
            </w:pPr>
          </w:p>
        </w:tc>
        <w:tc>
          <w:tcPr>
            <w:tcW w:w="6280" w:type="dxa"/>
            <w:vAlign w:val="bottom"/>
            <w:gridSpan w:val="3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Accumulated Other Comprehensive Income</w:t>
              </w:r>
            </w:hyperlink>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Note 15:</w:t>
              </w:r>
            </w:hyperlink>
          </w:p>
        </w:tc>
        <w:tc>
          <w:tcPr>
            <w:tcW w:w="8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Operating Segments and Related Information</w:t>
              </w:r>
            </w:hyperlink>
          </w:p>
        </w:tc>
        <w:tc>
          <w:tcPr>
            <w:tcW w:w="80" w:type="dxa"/>
            <w:vAlign w:val="bottom"/>
            <w:tcBorders>
              <w:bottom w:val="single" w:sz="8" w:color="0000EE"/>
            </w:tcBorders>
          </w:tcPr>
          <w:p>
            <w:pPr>
              <w:spacing w:after="0"/>
              <w:rPr>
                <w:sz w:val="15"/>
                <w:szCs w:val="15"/>
                <w:color w:val="auto"/>
              </w:rPr>
            </w:pPr>
          </w:p>
        </w:tc>
        <w:tc>
          <w:tcPr>
            <w:tcW w:w="17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5"/>
            <w:vMerge w:val="restart"/>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320" w:type="dxa"/>
            <w:vAlign w:val="bottom"/>
          </w:tcPr>
          <w:p>
            <w:pPr>
              <w:spacing w:after="0"/>
              <w:rPr>
                <w:sz w:val="15"/>
                <w:szCs w:val="15"/>
                <w:color w:val="auto"/>
              </w:rPr>
            </w:pPr>
          </w:p>
        </w:tc>
        <w:tc>
          <w:tcPr>
            <w:tcW w:w="660" w:type="dxa"/>
            <w:vAlign w:val="bottom"/>
            <w:gridSpan w:val="5"/>
          </w:tcPr>
          <w:p>
            <w:pPr>
              <w:spacing w:after="0" w:line="182"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Note 16:</w:t>
              </w:r>
            </w:hyperlink>
          </w:p>
        </w:tc>
        <w:tc>
          <w:tcPr>
            <w:tcW w:w="80" w:type="dxa"/>
            <w:vAlign w:val="bottom"/>
          </w:tcPr>
          <w:p>
            <w:pPr>
              <w:spacing w:after="0"/>
              <w:rPr>
                <w:sz w:val="15"/>
                <w:szCs w:val="15"/>
                <w:color w:val="auto"/>
              </w:rPr>
            </w:pPr>
          </w:p>
        </w:tc>
        <w:tc>
          <w:tcPr>
            <w:tcW w:w="3260" w:type="dxa"/>
            <w:vAlign w:val="bottom"/>
            <w:gridSpan w:val="27"/>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Leases</w:t>
              </w:r>
            </w:hyperlink>
          </w:p>
        </w:tc>
        <w:tc>
          <w:tcPr>
            <w:tcW w:w="17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5"/>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020" w:type="dxa"/>
            <w:vAlign w:val="bottom"/>
            <w:gridSpan w:val="41"/>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w:t>
              </w:r>
            </w:hyperlink>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RESULTS OF OPERATIONS</w:t>
              </w:r>
            </w:hyperlink>
          </w:p>
        </w:tc>
        <w:tc>
          <w:tcPr>
            <w:tcW w:w="4480" w:type="dxa"/>
            <w:vAlign w:val="bottom"/>
            <w:tcBorders>
              <w:top w:val="single" w:sz="8" w:color="0000EE"/>
            </w:tcBorders>
            <w:gridSpan w:val="24"/>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Item 3.</w:t>
              </w:r>
            </w:hyperlink>
          </w:p>
        </w:tc>
        <w:tc>
          <w:tcPr>
            <w:tcW w:w="7340" w:type="dxa"/>
            <w:vAlign w:val="bottom"/>
            <w:gridSpan w:val="42"/>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rFonts w:ascii="Arial" w:cs="Arial" w:eastAsia="Arial" w:hAnsi="Arial"/>
                <w:sz w:val="18"/>
                <w:szCs w:val="18"/>
                <w:color w:val="0000EE"/>
                <w:w w:val="83"/>
              </w:rPr>
            </w:pPr>
            <w:hyperlink w:anchor="page69">
              <w:r>
                <w:rPr>
                  <w:rFonts w:ascii="Arial" w:cs="Arial" w:eastAsia="Arial" w:hAnsi="Arial"/>
                  <w:sz w:val="18"/>
                  <w:szCs w:val="18"/>
                  <w:color w:val="0000EE"/>
                  <w:w w:val="83"/>
                </w:rPr>
                <w:t>Item 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tcBorders>
              <w:top w:val="single" w:sz="8" w:color="0000EE"/>
            </w:tcBorders>
            <w:gridSpan w:val="4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200" w:type="dxa"/>
            <w:vAlign w:val="bottom"/>
            <w:gridSpan w:val="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180" w:type="dxa"/>
            <w:vAlign w:val="bottom"/>
            <w:gridSpan w:val="2"/>
          </w:tcPr>
          <w:p>
            <w:pPr>
              <w:spacing w:after="0"/>
              <w:rPr>
                <w:sz w:val="24"/>
                <w:szCs w:val="24"/>
                <w:color w:val="auto"/>
              </w:rPr>
            </w:pPr>
          </w:p>
        </w:tc>
        <w:tc>
          <w:tcPr>
            <w:tcW w:w="7340" w:type="dxa"/>
            <w:vAlign w:val="bottom"/>
            <w:gridSpan w:val="42"/>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180" w:type="dxa"/>
            <w:vAlign w:val="bottom"/>
            <w:gridSpan w:val="2"/>
          </w:tcPr>
          <w:p>
            <w:pPr>
              <w:spacing w:after="0"/>
              <w:rPr>
                <w:sz w:val="24"/>
                <w:szCs w:val="24"/>
                <w:color w:val="auto"/>
              </w:rPr>
            </w:pPr>
          </w:p>
        </w:tc>
        <w:tc>
          <w:tcPr>
            <w:tcW w:w="18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LEGAL PROCEEDINGS</w:t>
              </w:r>
            </w:hyperlink>
          </w:p>
        </w:tc>
        <w:tc>
          <w:tcPr>
            <w:tcW w:w="140" w:type="dxa"/>
            <w:vAlign w:val="bottom"/>
            <w:tcBorders>
              <w:top w:val="single" w:sz="8" w:color="0000EE"/>
            </w:tcBorders>
            <w:gridSpan w:val="3"/>
          </w:tcPr>
          <w:p>
            <w:pPr>
              <w:spacing w:after="0"/>
              <w:rPr>
                <w:sz w:val="24"/>
                <w:szCs w:val="24"/>
                <w:color w:val="auto"/>
              </w:rPr>
            </w:pPr>
          </w:p>
        </w:tc>
        <w:tc>
          <w:tcPr>
            <w:tcW w:w="5320" w:type="dxa"/>
            <w:vAlign w:val="bottom"/>
            <w:gridSpan w:val="2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5"/>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1A</w:t>
              </w:r>
            </w:hyperlink>
          </w:p>
        </w:tc>
        <w:tc>
          <w:tcPr>
            <w:tcW w:w="1880" w:type="dxa"/>
            <w:vAlign w:val="bottom"/>
            <w:gridSpan w:val="12"/>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560" w:type="dxa"/>
            <w:vAlign w:val="bottom"/>
            <w:gridSpan w:val="8"/>
          </w:tcPr>
          <w:p>
            <w:pPr>
              <w:spacing w:after="0"/>
              <w:rPr>
                <w:sz w:val="15"/>
                <w:szCs w:val="15"/>
                <w:color w:val="auto"/>
              </w:rPr>
            </w:pPr>
          </w:p>
        </w:tc>
        <w:tc>
          <w:tcPr>
            <w:tcW w:w="740" w:type="dxa"/>
            <w:vAlign w:val="bottom"/>
            <w:gridSpan w:val="7"/>
          </w:tcPr>
          <w:p>
            <w:pPr>
              <w:spacing w:after="0"/>
              <w:rPr>
                <w:sz w:val="15"/>
                <w:szCs w:val="15"/>
                <w:color w:val="auto"/>
              </w:rPr>
            </w:pPr>
          </w:p>
        </w:tc>
        <w:tc>
          <w:tcPr>
            <w:tcW w:w="2900" w:type="dxa"/>
            <w:vAlign w:val="bottom"/>
            <w:gridSpan w:val="12"/>
          </w:tcPr>
          <w:p>
            <w:pPr>
              <w:spacing w:after="0"/>
              <w:rPr>
                <w:sz w:val="15"/>
                <w:szCs w:val="15"/>
                <w:color w:val="auto"/>
              </w:rPr>
            </w:pPr>
          </w:p>
        </w:tc>
        <w:tc>
          <w:tcPr>
            <w:tcW w:w="1260" w:type="dxa"/>
            <w:vAlign w:val="bottom"/>
            <w:gridSpan w:val="3"/>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2.</w:t>
              </w:r>
            </w:hyperlink>
          </w:p>
        </w:tc>
        <w:tc>
          <w:tcPr>
            <w:tcW w:w="120" w:type="dxa"/>
            <w:vAlign w:val="bottom"/>
          </w:tcPr>
          <w:p>
            <w:pPr>
              <w:spacing w:after="0"/>
              <w:rPr>
                <w:sz w:val="15"/>
                <w:szCs w:val="15"/>
                <w:color w:val="auto"/>
              </w:rPr>
            </w:pPr>
          </w:p>
        </w:tc>
        <w:tc>
          <w:tcPr>
            <w:tcW w:w="1260" w:type="dxa"/>
            <w:vAlign w:val="bottom"/>
            <w:tcBorders>
              <w:top w:val="single" w:sz="8" w:color="0000EE"/>
            </w:tcBorders>
            <w:gridSpan w:val="8"/>
          </w:tcPr>
          <w:p>
            <w:pPr>
              <w:spacing w:after="0" w:line="182"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UNREGISTERED</w:t>
              </w:r>
            </w:hyperlink>
          </w:p>
        </w:tc>
        <w:tc>
          <w:tcPr>
            <w:tcW w:w="6080" w:type="dxa"/>
            <w:vAlign w:val="bottom"/>
            <w:gridSpan w:val="34"/>
          </w:tcPr>
          <w:p>
            <w:pPr>
              <w:ind w:left="140"/>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SALES OF EQUITY SECURITIES AND USE OF PROCEEDS</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200" w:type="dxa"/>
            <w:vAlign w:val="bottom"/>
            <w:gridSpan w:val="3"/>
          </w:tcPr>
          <w:p>
            <w:pPr>
              <w:spacing w:after="0"/>
              <w:rPr>
                <w:sz w:val="15"/>
                <w:szCs w:val="15"/>
                <w:color w:val="auto"/>
              </w:rPr>
            </w:pPr>
          </w:p>
        </w:tc>
        <w:tc>
          <w:tcPr>
            <w:tcW w:w="608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1260" w:type="dxa"/>
            <w:vAlign w:val="bottom"/>
            <w:gridSpan w:val="3"/>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200" w:type="dxa"/>
            <w:vAlign w:val="bottom"/>
            <w:gridSpan w:val="3"/>
          </w:tcPr>
          <w:p>
            <w:pPr>
              <w:spacing w:after="0"/>
              <w:rPr>
                <w:sz w:val="15"/>
                <w:szCs w:val="15"/>
                <w:color w:val="auto"/>
              </w:rPr>
            </w:pPr>
          </w:p>
        </w:tc>
        <w:tc>
          <w:tcPr>
            <w:tcW w:w="31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4160" w:type="dxa"/>
            <w:vAlign w:val="bottom"/>
            <w:gridSpan w:val="15"/>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200" w:type="dxa"/>
            <w:vAlign w:val="bottom"/>
            <w:gridSpan w:val="3"/>
          </w:tcPr>
          <w:p>
            <w:pPr>
              <w:spacing w:after="0"/>
              <w:rPr>
                <w:sz w:val="15"/>
                <w:szCs w:val="15"/>
                <w:color w:val="auto"/>
              </w:rPr>
            </w:pPr>
          </w:p>
        </w:tc>
        <w:tc>
          <w:tcPr>
            <w:tcW w:w="24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4900" w:type="dxa"/>
            <w:vAlign w:val="bottom"/>
            <w:gridSpan w:val="2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rFonts w:ascii="Arial" w:cs="Arial" w:eastAsia="Arial" w:hAnsi="Arial"/>
                <w:sz w:val="18"/>
                <w:szCs w:val="18"/>
                <w:color w:val="0000EE"/>
                <w:w w:val="83"/>
              </w:rPr>
            </w:pPr>
            <w:hyperlink w:anchor="page71">
              <w:r>
                <w:rPr>
                  <w:rFonts w:ascii="Arial" w:cs="Arial" w:eastAsia="Arial" w:hAnsi="Arial"/>
                  <w:sz w:val="18"/>
                  <w:szCs w:val="18"/>
                  <w:color w:val="0000EE"/>
                  <w:w w:val="83"/>
                </w:rPr>
                <w:t>Item 6.</w:t>
              </w:r>
            </w:hyperlink>
          </w:p>
        </w:tc>
        <w:tc>
          <w:tcPr>
            <w:tcW w:w="20" w:type="dxa"/>
            <w:vAlign w:val="bottom"/>
            <w:tcBorders>
              <w:top w:val="single" w:sz="8" w:color="0000EE"/>
            </w:tcBorders>
          </w:tcPr>
          <w:p>
            <w:pPr>
              <w:spacing w:after="0"/>
              <w:rPr>
                <w:sz w:val="15"/>
                <w:szCs w:val="15"/>
                <w:color w:val="auto"/>
              </w:rPr>
            </w:pPr>
          </w:p>
        </w:tc>
        <w:tc>
          <w:tcPr>
            <w:tcW w:w="200" w:type="dxa"/>
            <w:vAlign w:val="bottom"/>
            <w:gridSpan w:val="3"/>
          </w:tcPr>
          <w:p>
            <w:pPr>
              <w:spacing w:after="0"/>
              <w:rPr>
                <w:sz w:val="15"/>
                <w:szCs w:val="15"/>
                <w:color w:val="auto"/>
              </w:rPr>
            </w:pPr>
          </w:p>
        </w:tc>
        <w:tc>
          <w:tcPr>
            <w:tcW w:w="10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2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280" w:type="dxa"/>
            <w:vAlign w:val="bottom"/>
            <w:gridSpan w:val="35"/>
          </w:tcPr>
          <w:p>
            <w:pPr>
              <w:spacing w:after="0" w:line="20" w:lineRule="exact"/>
              <w:rPr>
                <w:sz w:val="1"/>
                <w:szCs w:val="1"/>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40" w:type="dxa"/>
            <w:vAlign w:val="bottom"/>
            <w:gridSpan w:val="42"/>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940" w:type="dxa"/>
            <w:vAlign w:val="bottom"/>
            <w:gridSpan w:val="25"/>
          </w:tcPr>
          <w:p>
            <w:pPr>
              <w:ind w:left="26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Quarterly Report, as defined in the glossary below:</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00" w:type="dxa"/>
            <w:vAlign w:val="bottom"/>
          </w:tcPr>
          <w:p>
            <w:pPr>
              <w:spacing w:after="0"/>
              <w:rPr>
                <w:sz w:val="20"/>
                <w:szCs w:val="20"/>
                <w:color w:val="auto"/>
              </w:rPr>
            </w:pPr>
            <w:r>
              <w:rPr>
                <w:rFonts w:ascii="Arial" w:cs="Arial" w:eastAsia="Arial" w:hAnsi="Arial"/>
                <w:sz w:val="14"/>
                <w:szCs w:val="14"/>
                <w:b w:val="1"/>
                <w:bCs w:val="1"/>
                <w:color w:val="auto"/>
              </w:rPr>
              <w:t>Definition</w:t>
            </w:r>
          </w:p>
        </w:tc>
      </w:tr>
      <w:tr>
        <w:trPr>
          <w:trHeight w:val="196"/>
        </w:trPr>
        <w:tc>
          <w:tcPr>
            <w:tcW w:w="2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2020 Equity Plan</w:t>
            </w:r>
          </w:p>
        </w:tc>
        <w:tc>
          <w:tcPr>
            <w:tcW w:w="28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First Busey's 2020 Equity Incentive Plan</w:t>
            </w: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2020 Annual Report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4"/>
              </w:rPr>
              <w:t>Annual report filed with the SEC on Form 10-K pursuant to Section 13 or 15(d) of the</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Exchange Act for the year ended December 31, 2020</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credit losses</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ASC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Accounting Standards Codification</w:t>
            </w: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Basel III</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2010 capital accord adopted by the international Basel Committee on Banking</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Supervision</w:t>
            </w: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Basel III Rule</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6"/>
              </w:rPr>
              <w:t>Regulations promulgated by U.S. federal banking agencies—the OCC, the Federal</w:t>
            </w: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w w:val="91"/>
              </w:rPr>
              <w:t>Reserve, and the FDIC—to both enforce implementation of certain aspects of the Basel</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III capital reforms and effect certain changes required by the Dodd-Frank Act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Cummins-American Corp.</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CARES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Aid, Relief, and Economic Security Act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CECL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Expected Credit Losses</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COVID-19</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disease 2019</w:t>
            </w:r>
          </w:p>
        </w:tc>
      </w:tr>
      <w:tr>
        <w:trPr>
          <w:trHeight w:val="202"/>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Dodd-Frank Act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Dodd-Frank Wall Street Reform and Consumer Protection Act</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Deferred stock unit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ESPP</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Stock Purchase Plan</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Exchange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Securities Exchange Act of 1934, as amended</w:t>
            </w: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Fair value</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The price that would be received to sell an asset, or paid to transfer a liability, in an</w:t>
            </w:r>
          </w:p>
        </w:tc>
      </w:tr>
      <w:tr>
        <w:trPr>
          <w:trHeight w:val="203"/>
        </w:trPr>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orderly transaction between market participants at the measurement date, as defined in</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ASC 820</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FDIC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Deposit Insurance Corporation</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 Reserve</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Board of Governors of the Federal Reserve System</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FHLB</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Home Loan Bank</w:t>
            </w: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First Busey</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First Busey Corporation and its wholly-owned consolidated subsidiaries; also, "Busey,"</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"the Company," "we," "us," and "our"</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First Busey Risk Management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First Busey Risk Management, Inc.</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FirsTech</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FirsTech, Inc.</w:t>
            </w:r>
          </w:p>
        </w:tc>
      </w:tr>
      <w:tr>
        <w:trPr>
          <w:trHeight w:val="202"/>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GAAP</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U.S. Generally Accepted Accounting Principles</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GSB</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Glenview State Bank</w:t>
            </w: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Interagency Statement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4"/>
              </w:rPr>
              <w:t>Interagency Statement on Loan Modifications and Reporting for Financial Institutions</w:t>
            </w: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w w:val="93"/>
              </w:rPr>
              <w:t>Working with Customers Affected by the Coronavirus, issued on March 22, 2020, and</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revised on April 7, 2020</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LIBOR</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London Interbank Offered Rate</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OCI</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OREO</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real estate owned</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PCD</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Purchased credit deteriorated</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PSU</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Performance-based restricted stock unit</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PPP</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Paycheck Protection Program</w:t>
            </w: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Quarterly Report</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Quarterly report filed with the SEC on Form 10-Q pursuant to Section 13 or 15(d) of the</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Restricted stock unit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SBA</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Small Business Administration</w:t>
            </w: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U.S. Securities and Exchange Commission</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TDR</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Troubled debt restructuring</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6400" w:type="dxa"/>
            <w:vAlign w:val="bottom"/>
          </w:tcPr>
          <w:p>
            <w:pPr>
              <w:spacing w:after="0"/>
              <w:rPr>
                <w:sz w:val="20"/>
                <w:szCs w:val="20"/>
                <w:color w:val="auto"/>
              </w:rPr>
            </w:pPr>
            <w:r>
              <w:rPr>
                <w:rFonts w:ascii="Arial" w:cs="Arial" w:eastAsia="Arial" w:hAnsi="Arial"/>
                <w:sz w:val="18"/>
                <w:szCs w:val="18"/>
                <w:color w:val="auto"/>
              </w:rPr>
              <w:t>U.S. Department of the Treasury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BALANCE SHEETS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9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151,372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Interest-bearing deposits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732,473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cash and cash equivalents</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883,845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688,537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securities available for sale</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3,997,244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Equity securities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held for sale, at fair value</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Portfolio loans (net of ACL of $92,802 at September 30, 2021; $101,048 at December 31, 2020)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7,057,833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Premises and equipment, net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142,031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Right of use assets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317,766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Other intangible assets, net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surrender value of bank owned life insurance</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218,451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12,899,330</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660"/>
              <w:spacing w:after="0"/>
              <w:rPr>
                <w:sz w:val="20"/>
                <w:szCs w:val="20"/>
                <w:color w:val="auto"/>
              </w:rPr>
            </w:pPr>
            <w:r>
              <w:rPr>
                <w:rFonts w:ascii="Arial" w:cs="Arial" w:eastAsia="Arial" w:hAnsi="Arial"/>
                <w:sz w:val="14"/>
                <w:szCs w:val="14"/>
                <w:color w:val="auto"/>
              </w:rPr>
              <w:t>Noninterest-bearing</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3,453,906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2,552,039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Interest-bearing</w:t>
            </w: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7,363,961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Pr>
          <w:p>
            <w:pPr>
              <w:ind w:left="440"/>
              <w:spacing w:after="0" w:line="155" w:lineRule="exact"/>
              <w:rPr>
                <w:sz w:val="20"/>
                <w:szCs w:val="20"/>
                <w:color w:val="auto"/>
              </w:rPr>
            </w:pPr>
            <w:r>
              <w:rPr>
                <w:rFonts w:ascii="Arial" w:cs="Arial" w:eastAsia="Arial" w:hAnsi="Arial"/>
                <w:sz w:val="14"/>
                <w:szCs w:val="14"/>
                <w:color w:val="auto"/>
              </w:rPr>
              <w:t>Total deposits</w:t>
            </w:r>
          </w:p>
        </w:tc>
        <w:tc>
          <w:tcPr>
            <w:tcW w:w="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10,817,867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8,677,849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Securities sold under agreements to repurchase</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241,242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49,233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Senior notes, net of unamortized issuance costs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Subordinated notes, net of unamortized issuance costs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182,637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Junior subordinated debt owed to unconsolidated trusts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Lease liabilities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134,979</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11,566,254</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9,273,978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Outstanding commitments and contingent liabilities (see Notes 10 and 16)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b w:val="1"/>
                <w:bCs w:val="1"/>
                <w:color w:val="auto"/>
              </w:rPr>
              <w:t>Stockholders’ Equity</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Common stock, ($.001 par value)</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1,315,038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1,253,360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Retained earnings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75,643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top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stockholders’ equity before treasury stock</w:t>
            </w: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1,389,373</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1,307,555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Treasury stock at cost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(56,297)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1,333,076</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1,270,069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12,899,330</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Common shares issued</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58,116,970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55,910,733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Less treasury shares</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(2,289,986)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Pr>
          <w:p>
            <w:pPr>
              <w:ind w:left="220"/>
              <w:spacing w:after="0" w:line="155" w:lineRule="exact"/>
              <w:rPr>
                <w:sz w:val="20"/>
                <w:szCs w:val="20"/>
                <w:color w:val="auto"/>
              </w:rPr>
            </w:pPr>
            <w:r>
              <w:rPr>
                <w:rFonts w:ascii="Arial" w:cs="Arial" w:eastAsia="Arial" w:hAnsi="Arial"/>
                <w:sz w:val="14"/>
                <w:szCs w:val="14"/>
                <w:color w:val="auto"/>
              </w:rPr>
              <w:t>Common shares outstanding</w:t>
            </w: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55,826,984</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54,404,379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 w:lineRule="exact"/>
        <w:rPr>
          <w:sz w:val="20"/>
          <w:szCs w:val="20"/>
          <w:color w:val="auto"/>
        </w:rPr>
      </w:pPr>
    </w:p>
    <w:p>
      <w:pPr>
        <w:jc w:val="center"/>
        <w:ind w:left="1500" w:right="2060"/>
        <w:spacing w:after="0" w:line="239" w:lineRule="auto"/>
        <w:rPr>
          <w:sz w:val="20"/>
          <w:szCs w:val="20"/>
          <w:color w:val="auto"/>
        </w:rPr>
      </w:pPr>
      <w:r>
        <w:rPr>
          <w:rFonts w:ascii="Arial" w:cs="Arial" w:eastAsia="Arial" w:hAnsi="Arial"/>
          <w:sz w:val="18"/>
          <w:szCs w:val="18"/>
          <w:b w:val="1"/>
          <w:bCs w:val="1"/>
          <w:color w:val="auto"/>
        </w:rPr>
        <w:t xml:space="preserve">FIRST BUSEY CORPORATION CONSOLIDATED STATEMENTS OF INCOME (Unaudited) </w:t>
      </w:r>
      <w:r>
        <w:rPr>
          <w:rFonts w:ascii="Arial" w:cs="Arial" w:eastAsia="Arial" w:hAnsi="Arial"/>
          <w:sz w:val="18"/>
          <w:szCs w:val="18"/>
          <w:i w:val="1"/>
          <w:iCs w:val="1"/>
          <w:color w:val="auto"/>
        </w:rPr>
        <w:t>(dollars in thousands, except per share amounts)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Three Months Ended September 30,</w:t>
            </w:r>
          </w:p>
        </w:tc>
        <w:tc>
          <w:tcPr>
            <w:tcW w:w="226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Interest income</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65,163</w:t>
            </w:r>
          </w:p>
        </w:tc>
        <w:tc>
          <w:tcPr>
            <w:tcW w:w="1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69,809</w:t>
            </w:r>
          </w:p>
        </w:tc>
        <w:tc>
          <w:tcPr>
            <w:tcW w:w="2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189,132</w:t>
            </w:r>
          </w:p>
        </w:tc>
        <w:tc>
          <w:tcPr>
            <w:tcW w:w="20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213,434</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440"/>
              <w:spacing w:after="0"/>
              <w:rPr>
                <w:sz w:val="20"/>
                <w:szCs w:val="20"/>
                <w:color w:val="auto"/>
              </w:rPr>
            </w:pPr>
            <w:r>
              <w:rPr>
                <w:rFonts w:ascii="Arial" w:cs="Arial" w:eastAsia="Arial" w:hAnsi="Arial"/>
                <w:sz w:val="14"/>
                <w:szCs w:val="14"/>
                <w:color w:val="auto"/>
              </w:rPr>
              <w:t>Taxable interest income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11,324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26,807</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Non-taxable interest income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interest income</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income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77,864</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79,629</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221,883</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245,295</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Deposits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3,059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10,086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26,053</w:t>
            </w:r>
          </w:p>
        </w:tc>
        <w:tc>
          <w:tcPr>
            <w:tcW w:w="0" w:type="dxa"/>
            <w:vAlign w:val="bottom"/>
          </w:tcPr>
          <w:p>
            <w:pPr>
              <w:spacing w:after="0"/>
              <w:rPr>
                <w:sz w:val="1"/>
                <w:szCs w:val="1"/>
                <w:color w:val="auto"/>
              </w:rPr>
            </w:pPr>
          </w:p>
        </w:tc>
      </w:tr>
      <w:tr>
        <w:trPr>
          <w:trHeight w:val="143"/>
        </w:trPr>
        <w:tc>
          <w:tcPr>
            <w:tcW w:w="41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5"/>
              </w:rPr>
              <w:t>Federal funds purchased and securities sold under agreements to</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Short-term borrowings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Subordinated notes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7,109</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9,876</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21,693</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35,296</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69,753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200,190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209,999</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(1,869)</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(10,365)</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35,656</w:t>
            </w:r>
          </w:p>
        </w:tc>
        <w:tc>
          <w:tcPr>
            <w:tcW w:w="0" w:type="dxa"/>
            <w:vAlign w:val="bottom"/>
          </w:tcPr>
          <w:p>
            <w:pPr>
              <w:spacing w:after="0"/>
              <w:rPr>
                <w:sz w:val="1"/>
                <w:szCs w:val="1"/>
                <w:color w:val="auto"/>
              </w:rPr>
            </w:pPr>
          </w:p>
        </w:tc>
      </w:tr>
      <w:tr>
        <w:trPr>
          <w:trHeight w:val="155"/>
        </w:trPr>
        <w:tc>
          <w:tcPr>
            <w:tcW w:w="41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72,624</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64,204</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210,555</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174,343</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Wealth management fees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13,749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10,548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39,335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32,296</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Fees for customer services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23,400</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Remittance processing</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11,466</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Mortgage revenue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9,879</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Income on bank owned life insurance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3,439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(437)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3,339</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7,134</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5,888</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33,259</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32,285</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97,715</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87,766</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107,222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95,397</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16,881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12,383</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13,419</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7,311</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w:t>
            </w:r>
          </w:p>
        </w:tc>
        <w:tc>
          <w:tcPr>
            <w:tcW w:w="0" w:type="dxa"/>
            <w:vAlign w:val="bottom"/>
          </w:tcPr>
          <w:p>
            <w:pPr>
              <w:spacing w:after="0"/>
              <w:rPr>
                <w:sz w:val="1"/>
                <w:szCs w:val="1"/>
                <w:color w:val="auto"/>
              </w:rPr>
            </w:pPr>
          </w:p>
        </w:tc>
      </w:tr>
      <w:tr>
        <w:trPr>
          <w:trHeight w:val="162"/>
        </w:trPr>
        <w:tc>
          <w:tcPr>
            <w:tcW w:w="412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7,569</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Interchange expense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10,807</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24,947</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noninterest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73,487</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56,542</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190,611</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170,124</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117,659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91,985</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19,986</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25,941</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30,829</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93,523</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71,999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0.46</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0.56</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3"/>
        </w:trPr>
        <w:tc>
          <w:tcPr>
            <w:tcW w:w="412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Dividends declared per share of common stock</w:t>
            </w: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0.23</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0.22</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0.69</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2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25,941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30,829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93,523</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71,999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ind w:left="200"/>
              <w:spacing w:after="0" w:line="143" w:lineRule="exact"/>
              <w:rPr>
                <w:sz w:val="20"/>
                <w:szCs w:val="20"/>
                <w:color w:val="auto"/>
              </w:rPr>
            </w:pPr>
            <w:r>
              <w:rPr>
                <w:rFonts w:ascii="Arial" w:cs="Arial" w:eastAsia="Arial" w:hAnsi="Arial"/>
                <w:sz w:val="14"/>
                <w:szCs w:val="14"/>
                <w:color w:val="auto"/>
              </w:rPr>
              <w:t>Unrealized gains (losses) on debt securities available for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Pr>
          <w:p>
            <w:pPr>
              <w:ind w:left="200"/>
              <w:spacing w:after="0"/>
              <w:rPr>
                <w:sz w:val="20"/>
                <w:szCs w:val="20"/>
                <w:color w:val="auto"/>
              </w:rPr>
            </w:pPr>
            <w:r>
              <w:rPr>
                <w:rFonts w:ascii="Arial" w:cs="Arial" w:eastAsia="Arial" w:hAnsi="Arial"/>
                <w:sz w:val="14"/>
                <w:szCs w:val="14"/>
                <w:color w:val="auto"/>
              </w:rPr>
              <w:t>sale: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Net unrealized holding gains (losses) on debt securities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9"/>
              </w:rPr>
              <w:t>available for sale, net of taxes of $4,902, $682, $14,195,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 ($9,577), respectively</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ind w:left="400"/>
              <w:spacing w:after="0" w:line="143" w:lineRule="exact"/>
              <w:rPr>
                <w:sz w:val="20"/>
                <w:szCs w:val="20"/>
                <w:color w:val="auto"/>
              </w:rPr>
            </w:pPr>
            <w:r>
              <w:rPr>
                <w:rFonts w:ascii="Arial" w:cs="Arial" w:eastAsia="Arial" w:hAnsi="Arial"/>
                <w:sz w:val="14"/>
                <w:szCs w:val="14"/>
                <w:color w:val="auto"/>
              </w:rPr>
              <w:t>Reclassification adjustment for realized (gains) losses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400"/>
              <w:spacing w:after="0"/>
              <w:rPr>
                <w:sz w:val="20"/>
                <w:szCs w:val="20"/>
                <w:color w:val="auto"/>
              </w:rPr>
            </w:pPr>
            <w:r>
              <w:rPr>
                <w:rFonts w:ascii="Arial" w:cs="Arial" w:eastAsia="Arial" w:hAnsi="Arial"/>
                <w:sz w:val="14"/>
                <w:szCs w:val="14"/>
                <w:color w:val="auto"/>
              </w:rPr>
              <w:t>on debt securities available for sale included in net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400"/>
              <w:spacing w:after="0"/>
              <w:rPr>
                <w:sz w:val="20"/>
                <w:szCs w:val="20"/>
                <w:color w:val="auto"/>
              </w:rPr>
            </w:pPr>
            <w:r>
              <w:rPr>
                <w:rFonts w:ascii="Arial" w:cs="Arial" w:eastAsia="Arial" w:hAnsi="Arial"/>
                <w:sz w:val="14"/>
                <w:szCs w:val="14"/>
                <w:color w:val="auto"/>
              </w:rPr>
              <w:t>income, net of taxes of ($1), $3, $7, and $492,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respectively</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200"/>
              <w:spacing w:after="0" w:line="123" w:lineRule="exact"/>
              <w:rPr>
                <w:sz w:val="20"/>
                <w:szCs w:val="20"/>
                <w:color w:val="auto"/>
              </w:rPr>
            </w:pPr>
            <w:r>
              <w:rPr>
                <w:rFonts w:ascii="Arial" w:cs="Arial" w:eastAsia="Arial" w:hAnsi="Arial"/>
                <w:sz w:val="14"/>
                <w:szCs w:val="14"/>
                <w:color w:val="auto"/>
              </w:rPr>
              <w:t>Net change in unrealized gains (losses) on debt securities</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available for sale</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gains (losses) on cash flow hedges: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ind w:left="400"/>
              <w:spacing w:after="0" w:line="143" w:lineRule="exact"/>
              <w:rPr>
                <w:sz w:val="20"/>
                <w:szCs w:val="20"/>
                <w:color w:val="auto"/>
              </w:rPr>
            </w:pPr>
            <w:r>
              <w:rPr>
                <w:rFonts w:ascii="Arial" w:cs="Arial" w:eastAsia="Arial" w:hAnsi="Arial"/>
                <w:sz w:val="14"/>
                <w:szCs w:val="14"/>
                <w:color w:val="auto"/>
              </w:rPr>
              <w:t>Net unrealized holding gains (losses) on cash flow</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400"/>
              <w:spacing w:after="0"/>
              <w:rPr>
                <w:sz w:val="20"/>
                <w:szCs w:val="20"/>
                <w:color w:val="auto"/>
              </w:rPr>
            </w:pPr>
            <w:r>
              <w:rPr>
                <w:rFonts w:ascii="Arial" w:cs="Arial" w:eastAsia="Arial" w:hAnsi="Arial"/>
                <w:sz w:val="14"/>
                <w:szCs w:val="14"/>
                <w:color w:val="auto"/>
              </w:rPr>
              <w:t>hedges, net of taxes of $2, ($6), ($134), and $890,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Pr>
          <w:p>
            <w:pPr>
              <w:ind w:left="400"/>
              <w:spacing w:after="0"/>
              <w:rPr>
                <w:sz w:val="20"/>
                <w:szCs w:val="20"/>
                <w:color w:val="auto"/>
              </w:rPr>
            </w:pPr>
            <w:r>
              <w:rPr>
                <w:rFonts w:ascii="Arial" w:cs="Arial" w:eastAsia="Arial" w:hAnsi="Arial"/>
                <w:sz w:val="14"/>
                <w:szCs w:val="14"/>
                <w:color w:val="auto"/>
              </w:rPr>
              <w:t>respectively</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Reclassification adjustment for realized (gains) losses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on cash flow hedges included in net income, net of</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taxes of ($82), ($76), ($243), and ($16), respectively</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ind w:left="200"/>
              <w:spacing w:after="0" w:line="155" w:lineRule="exact"/>
              <w:rPr>
                <w:sz w:val="20"/>
                <w:szCs w:val="20"/>
                <w:color w:val="auto"/>
              </w:rPr>
            </w:pPr>
            <w:r>
              <w:rPr>
                <w:rFonts w:ascii="Arial" w:cs="Arial" w:eastAsia="Arial" w:hAnsi="Arial"/>
                <w:sz w:val="14"/>
                <w:szCs w:val="14"/>
                <w:color w:val="auto"/>
                <w:w w:val="97"/>
              </w:rPr>
              <w:t>Net change in unrealized gains (losses) on cash flow hedges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947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line="155" w:lineRule="exact"/>
              <w:rPr>
                <w:sz w:val="20"/>
                <w:szCs w:val="20"/>
                <w:color w:val="auto"/>
              </w:rPr>
            </w:pPr>
            <w:r>
              <w:rPr>
                <w:rFonts w:ascii="Arial" w:cs="Arial" w:eastAsia="Arial" w:hAnsi="Arial"/>
                <w:sz w:val="14"/>
                <w:szCs w:val="14"/>
                <w:color w:val="auto"/>
                <w:w w:val="98"/>
              </w:rPr>
              <w:t>Net change in accumulated other comprehensive income (loss)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(12,091)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(1,512)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(34,675)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20,565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13,850</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29,317</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58,848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8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56,330,616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$ 1,316,716</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62,926</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10,725</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(44,734)</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1,345,691</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25,941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25,941</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(12,091)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(12,091)</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(625,000)</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(14,790)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(14,790)</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Issuance of treasury stock for employee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740" w:type="dxa"/>
            <w:vAlign w:val="bottom"/>
          </w:tcPr>
          <w:p>
            <w:pPr>
              <w:jc w:val="right"/>
              <w:spacing w:after="0"/>
              <w:rPr>
                <w:sz w:val="20"/>
                <w:szCs w:val="20"/>
                <w:color w:val="auto"/>
              </w:rPr>
            </w:pPr>
            <w:r>
              <w:rPr>
                <w:rFonts w:ascii="Arial" w:cs="Arial" w:eastAsia="Arial" w:hAnsi="Arial"/>
                <w:sz w:val="14"/>
                <w:szCs w:val="14"/>
                <w:color w:val="auto"/>
              </w:rPr>
              <w:t>14,658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377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restricted/deferred stock unit vesting and</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related 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106,710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(3,738)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common stock at $0.23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per share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(12,956)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(12,956)</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 at $0.23 per share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1,837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1,837</w:t>
            </w:r>
          </w:p>
        </w:tc>
      </w:tr>
      <w:tr>
        <w:trPr>
          <w:trHeight w:val="156"/>
        </w:trPr>
        <w:tc>
          <w:tcPr>
            <w:tcW w:w="28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September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55,826,984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$ 1,315,038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75,643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(56,297)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1,333,076</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2"/>
              </w:rPr>
              <w:t>Nine Months Ended September 30, 2021</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8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2020</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54,404,379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$ 1,253,360</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20,830</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33,309</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(37,486)</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1,270,069</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93,523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93,523</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(34,675)</w:t>
            </w: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(34,675)</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58,953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58,955</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(905,000)</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(22,038)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(22,038)</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Issuance of treasury stock for employee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740" w:type="dxa"/>
            <w:vAlign w:val="bottom"/>
          </w:tcPr>
          <w:p>
            <w:pPr>
              <w:jc w:val="right"/>
              <w:spacing w:after="0"/>
              <w:rPr>
                <w:sz w:val="20"/>
                <w:szCs w:val="20"/>
                <w:color w:val="auto"/>
              </w:rPr>
            </w:pPr>
            <w:r>
              <w:rPr>
                <w:rFonts w:ascii="Arial" w:cs="Arial" w:eastAsia="Arial" w:hAnsi="Arial"/>
                <w:sz w:val="14"/>
                <w:szCs w:val="14"/>
                <w:color w:val="auto"/>
              </w:rPr>
              <w:t>14,658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377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restricted/deferred stock unit vesting and</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related 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106,710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(3,738)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common stock at $0.69</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per share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w w:val="95"/>
              </w:rPr>
              <w:t>(37,953)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(37,953)</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 at $0.69 per share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(757)</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5,722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5,722</w:t>
            </w:r>
          </w:p>
        </w:tc>
      </w:tr>
      <w:tr>
        <w:trPr>
          <w:trHeight w:val="155"/>
        </w:trPr>
        <w:tc>
          <w:tcPr>
            <w:tcW w:w="28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September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55,826,984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$ 1,315,038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75,643</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(1,366)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(56,297)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1,333,076</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1"/>
                <w:szCs w:val="11"/>
                <w:color w:val="auto"/>
              </w:rPr>
            </w:pPr>
          </w:p>
        </w:tc>
        <w:tc>
          <w:tcPr>
            <w:tcW w:w="1100" w:type="dxa"/>
            <w:vAlign w:val="bottom"/>
            <w:gridSpan w:val="4"/>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(Accumulated</w:t>
            </w:r>
          </w:p>
        </w:tc>
        <w:tc>
          <w:tcPr>
            <w:tcW w:w="2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20" w:type="dxa"/>
            <w:vAlign w:val="bottom"/>
          </w:tcPr>
          <w:p>
            <w:pPr>
              <w:spacing w:after="0"/>
              <w:rPr>
                <w:sz w:val="16"/>
                <w:szCs w:val="16"/>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258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2020</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54,516,000</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$ 1,248,045</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(13,951)</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37,037</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(35,103)</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1,236,084</w:t>
            </w:r>
          </w:p>
        </w:tc>
      </w:tr>
      <w:tr>
        <w:trPr>
          <w:trHeight w:val="162"/>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30,829</w:t>
            </w: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(1,512)</w:t>
            </w: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Issuance of treasury stock for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spacing w:after="0"/>
              <w:rPr>
                <w:sz w:val="20"/>
                <w:szCs w:val="20"/>
                <w:color w:val="auto"/>
              </w:rPr>
            </w:pPr>
            <w:r>
              <w:rPr>
                <w:rFonts w:ascii="Arial" w:cs="Arial" w:eastAsia="Arial" w:hAnsi="Arial"/>
                <w:sz w:val="14"/>
                <w:szCs w:val="14"/>
                <w:color w:val="auto"/>
              </w:rPr>
              <w:t>6,119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5"/>
          </w:tcPr>
          <w:p>
            <w:pPr>
              <w:jc w:val="right"/>
              <w:ind w:right="140"/>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43"/>
        </w:trPr>
        <w:tc>
          <w:tcPr>
            <w:tcW w:w="2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restricted/deferred stock unit vesting</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1"/>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and related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Cash dividends common stock at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$0.22 per share</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(11,994)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(11,994)</w:t>
            </w:r>
          </w:p>
        </w:tc>
      </w:tr>
      <w:tr>
        <w:trPr>
          <w:trHeight w:val="143"/>
        </w:trPr>
        <w:tc>
          <w:tcPr>
            <w:tcW w:w="2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 units at $0.22 per share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(166)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2,205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2,205</w:t>
            </w:r>
          </w:p>
        </w:tc>
      </w:tr>
      <w:tr>
        <w:trPr>
          <w:trHeight w:val="156"/>
        </w:trPr>
        <w:tc>
          <w:tcPr>
            <w:tcW w:w="258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September 30, 2020</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54,522,231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$ 1,250,391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35,525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(34,985)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1,255,705</w:t>
            </w: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8"/>
        </w:trPr>
        <w:tc>
          <w:tcPr>
            <w:tcW w:w="2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2"/>
              </w:rPr>
              <w:t>Nine Months Ended September 30, 2020</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33"/>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1"/>
                <w:szCs w:val="11"/>
                <w:color w:val="auto"/>
              </w:rPr>
            </w:pPr>
          </w:p>
        </w:tc>
        <w:tc>
          <w:tcPr>
            <w:tcW w:w="110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(Accumulated</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Deficit)</w:t>
            </w:r>
          </w:p>
        </w:tc>
        <w:tc>
          <w:tcPr>
            <w:tcW w:w="2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6"/>
        </w:trPr>
        <w:tc>
          <w:tcPr>
            <w:tcW w:w="25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2019</w:t>
            </w: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54,788,772</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$ 1,248,216</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(14,813)</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14,960</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(27,985)</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1,220,434</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Cumulative effect of change in</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accounting principle</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(15,922)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(15,922)</w:t>
            </w: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71,999</w:t>
            </w:r>
          </w:p>
        </w:tc>
      </w:tr>
      <w:tr>
        <w:trPr>
          <w:trHeight w:val="162"/>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20,565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20,565</w:t>
            </w: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(407,850)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(9,669)</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(9,669)</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Issuance of treasury stock for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spacing w:after="0"/>
              <w:rPr>
                <w:sz w:val="20"/>
                <w:szCs w:val="20"/>
                <w:color w:val="auto"/>
              </w:rPr>
            </w:pPr>
            <w:r>
              <w:rPr>
                <w:rFonts w:ascii="Arial" w:cs="Arial" w:eastAsia="Arial" w:hAnsi="Arial"/>
                <w:sz w:val="14"/>
                <w:szCs w:val="14"/>
                <w:color w:val="auto"/>
              </w:rPr>
              <w:t>26,651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504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143"/>
        </w:trPr>
        <w:tc>
          <w:tcPr>
            <w:tcW w:w="2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restricted/deferred stock unit vesting</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1"/>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and related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2580" w:type="dxa"/>
            <w:vAlign w:val="bottom"/>
            <w:gridSpan w:val="2"/>
          </w:tcPr>
          <w:p>
            <w:pPr>
              <w:ind w:left="220"/>
              <w:spacing w:after="0"/>
              <w:rPr>
                <w:sz w:val="20"/>
                <w:szCs w:val="20"/>
                <w:color w:val="auto"/>
              </w:rPr>
            </w:pPr>
            <w:r>
              <w:rPr>
                <w:rFonts w:ascii="Arial" w:cs="Arial" w:eastAsia="Arial" w:hAnsi="Arial"/>
                <w:sz w:val="14"/>
                <w:szCs w:val="14"/>
                <w:color w:val="auto"/>
                <w:w w:val="99"/>
              </w:rPr>
              <w:t>stock options exercised, net of shares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redeemed and related tax</w:t>
            </w:r>
          </w:p>
        </w:tc>
        <w:tc>
          <w:tcPr>
            <w:tcW w:w="720" w:type="dxa"/>
            <w:vAlign w:val="bottom"/>
          </w:tcPr>
          <w:p>
            <w:pPr>
              <w:jc w:val="right"/>
              <w:spacing w:after="0"/>
              <w:rPr>
                <w:sz w:val="20"/>
                <w:szCs w:val="20"/>
                <w:color w:val="auto"/>
              </w:rPr>
            </w:pPr>
            <w:r>
              <w:rPr>
                <w:rFonts w:ascii="Arial" w:cs="Arial" w:eastAsia="Arial" w:hAnsi="Arial"/>
                <w:sz w:val="14"/>
                <w:szCs w:val="14"/>
                <w:color w:val="auto"/>
              </w:rPr>
              <w:t>8,069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43"/>
        </w:trPr>
        <w:tc>
          <w:tcPr>
            <w:tcW w:w="25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Cash dividends common stock at</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$0.66 per share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(36,017)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(36,017)</w:t>
            </w:r>
          </w:p>
        </w:tc>
      </w:tr>
      <w:tr>
        <w:trPr>
          <w:trHeight w:val="143"/>
        </w:trPr>
        <w:tc>
          <w:tcPr>
            <w:tcW w:w="258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gridSpan w:val="2"/>
          </w:tcPr>
          <w:p>
            <w:pPr>
              <w:ind w:left="220"/>
              <w:spacing w:after="0"/>
              <w:rPr>
                <w:sz w:val="20"/>
                <w:szCs w:val="20"/>
                <w:color w:val="auto"/>
              </w:rPr>
            </w:pPr>
            <w:r>
              <w:rPr>
                <w:rFonts w:ascii="Arial" w:cs="Arial" w:eastAsia="Arial" w:hAnsi="Arial"/>
                <w:sz w:val="14"/>
                <w:szCs w:val="14"/>
                <w:color w:val="auto"/>
              </w:rPr>
              <w:t>stock units at $0.66 per share</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529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(529)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r>
      <w:tr>
        <w:trPr>
          <w:trHeight w:val="155"/>
        </w:trPr>
        <w:tc>
          <w:tcPr>
            <w:tcW w:w="2560" w:type="dxa"/>
            <w:vAlign w:val="bottom"/>
          </w:tcPr>
          <w:p>
            <w:pPr>
              <w:ind w:left="20"/>
              <w:spacing w:after="0" w:line="155" w:lineRule="exact"/>
              <w:rPr>
                <w:sz w:val="20"/>
                <w:szCs w:val="20"/>
                <w:color w:val="auto"/>
              </w:rPr>
            </w:pPr>
            <w:r>
              <w:rPr>
                <w:rFonts w:ascii="Arial" w:cs="Arial" w:eastAsia="Arial" w:hAnsi="Arial"/>
                <w:sz w:val="14"/>
                <w:szCs w:val="14"/>
                <w:color w:val="auto"/>
              </w:rPr>
              <w:t>Balance, September 30, 2020</w:t>
            </w:r>
          </w:p>
        </w:tc>
        <w:tc>
          <w:tcPr>
            <w:tcW w:w="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54,522,231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1"/>
              </w:rPr>
              <w:t>$ 1,250,391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0"/>
              </w:rPr>
              <w:t>$ (34,985)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1,255,705</w:t>
            </w:r>
          </w:p>
        </w:tc>
      </w:tr>
      <w:tr>
        <w:trPr>
          <w:trHeight w:val="20"/>
        </w:trPr>
        <w:tc>
          <w:tcPr>
            <w:tcW w:w="2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60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93,523</w:t>
            </w:r>
          </w:p>
        </w:tc>
        <w:tc>
          <w:tcPr>
            <w:tcW w:w="180" w:type="dxa"/>
            <w:vAlign w:val="bottom"/>
          </w:tcPr>
          <w:p>
            <w:pPr>
              <w:spacing w:after="0"/>
              <w:rPr>
                <w:sz w:val="12"/>
                <w:szCs w:val="12"/>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71,999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Provision for credit losses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(10,365)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Amortization of mortgage servicing rights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4,202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Depreciation and amortization of premises and equipment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portfolio loans acquired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time deposits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FHLB advances and other borrowings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Impairment of OREO</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fixed assets held for sale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Impairment of mortgage servicing rights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Change in fair value of equity securities, net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debt securities, net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loans, net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OREO</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premises and equipment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life insurance proceeds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Provision for deferred income taxes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Stock-based compensation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decrease in cash surrender value of bank owned life insurance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Mortgage loans originated for sale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(214,096)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(770,186)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Proceeds from sales of mortgage loans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change in operating assets and liabilities: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(Increase) decrease in other assets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Increase (decrease) in other liabilities</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(23,775)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102,496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101,414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Purchases of equity securities</w:t>
            </w:r>
          </w:p>
        </w:tc>
        <w:tc>
          <w:tcPr>
            <w:tcW w:w="60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(11,017)</w:t>
            </w:r>
          </w:p>
        </w:tc>
        <w:tc>
          <w:tcPr>
            <w:tcW w:w="180" w:type="dxa"/>
            <w:vAlign w:val="bottom"/>
          </w:tcPr>
          <w:p>
            <w:pPr>
              <w:spacing w:after="0"/>
              <w:rPr>
                <w:sz w:val="12"/>
                <w:szCs w:val="12"/>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(13,123)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debt securities available for sale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(2,048,554)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(907,094)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sales of equity securities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7,254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debt securities available for sale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290,955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641,754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477,370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cash received in (paid for) acquisitions (see Note 2)</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228,279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(increase) decrease in loans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114,729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(439,679)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premiums on bank-owned life insurance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Purchases of premises and equipment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(4,041)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life insurance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disposition of premises and equipment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OREO</w:t>
            </w:r>
          </w:p>
        </w:tc>
        <w:tc>
          <w:tcPr>
            <w:tcW w:w="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44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(769,556)</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(881,961)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 (Unaudited)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Net increase (decrease) in deposits</w:t>
            </w:r>
          </w:p>
        </w:tc>
        <w:tc>
          <w:tcPr>
            <w:tcW w:w="80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816,551</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740,967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48,977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72,500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142,634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FHLB advances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FHLB advances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dividends paid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(37,953)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(36,017)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treasury stock</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stock options exercised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Issuance of treasury stock for ESPP</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Common stock issuance costs</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7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64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2" w:lineRule="exact"/>
              <w:rPr>
                <w:sz w:val="20"/>
                <w:szCs w:val="20"/>
                <w:color w:val="auto"/>
              </w:rPr>
            </w:pPr>
            <w:r>
              <w:rPr>
                <w:rFonts w:ascii="Arial" w:cs="Arial" w:eastAsia="Arial" w:hAnsi="Arial"/>
                <w:sz w:val="13"/>
                <w:szCs w:val="13"/>
                <w:color w:val="auto"/>
              </w:rPr>
              <w:t>862,368</w:t>
            </w:r>
          </w:p>
        </w:tc>
        <w:tc>
          <w:tcPr>
            <w:tcW w:w="20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730,980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195,308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(49,567)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688,537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529,288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883,845</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payments for:</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Interest</w:t>
            </w:r>
          </w:p>
        </w:tc>
        <w:tc>
          <w:tcPr>
            <w:tcW w:w="80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16,257</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41,987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OREO acquired in settlement of loans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2,482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8"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First Busey Corporation, a Nevada corporation organized in 1980, is a $12.9 billion financial holding company headquartered in Champaign, Illinois. Our common stock is traded on The Nasdaq Global Select Market under the symbol “BUSE.”</w:t>
      </w:r>
    </w:p>
    <w:p>
      <w:pPr>
        <w:spacing w:after="0" w:line="168"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The Company operates and reports its business in three segments: Banking, Remittance Processing, and Wealth Management. The Banking operating segment provides a full range of banking services to individual and corporate customers through the Company’s wholly-owned bank subsidiary, Busey Bank, with banking centers in Illinois; the St. Louis, Missouri metropolitan area; southwest Florida; and Indianapolis, Indiana. The Remittance Processing operating segment provides technology-driven payment solutions for walk-in, lockbox, interactive voice recognition, and online bill payments, among others, through the Company’s subsidiary, FirsTech. The Wealth Management operating segment provides a full range of asset management, investment, brokerage, fiduciary, philanthropic advisory, tax preparation, and farm management services to individuals, businesses, and foundations.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9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These unaudited consolidated financial statements and related notes should be read in conjunction with the audited consolidated financial statements included in our 2020 Annual Report. These interim unaudited consolidated financial statements serve to update our 2020 Annual Report and may not include all information and notes necessary to constitute a complete set of financial statements.</w:t>
      </w:r>
    </w:p>
    <w:p>
      <w:pPr>
        <w:spacing w:after="0" w:line="174" w:lineRule="exact"/>
        <w:rPr>
          <w:sz w:val="20"/>
          <w:szCs w:val="20"/>
          <w:color w:val="auto"/>
        </w:rPr>
      </w:pPr>
    </w:p>
    <w:p>
      <w:pPr>
        <w:ind w:left="60" w:right="359"/>
        <w:spacing w:after="0" w:line="24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4"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First Busey has continued to operate as an essential community resource during these challenging and unprecedented times. Federal bank regulatory agencies, along with their state counterparts, have issued a steady stream of guidance responding to the COVID-19 pandemic and have taken a number of steps to help banks navigate the pandemic and mitigate its impact.</w:t>
      </w:r>
    </w:p>
    <w:p>
      <w:pPr>
        <w:spacing w:after="0" w:line="174" w:lineRule="exact"/>
        <w:rPr>
          <w:sz w:val="20"/>
          <w:szCs w:val="20"/>
          <w:color w:val="auto"/>
        </w:rPr>
      </w:pPr>
    </w:p>
    <w:p>
      <w:pPr>
        <w:ind w:left="60" w:right="879"/>
        <w:spacing w:after="0" w:line="261" w:lineRule="auto"/>
        <w:rPr>
          <w:sz w:val="20"/>
          <w:szCs w:val="20"/>
          <w:color w:val="auto"/>
        </w:rPr>
      </w:pPr>
      <w:r>
        <w:rPr>
          <w:rFonts w:ascii="Arial" w:cs="Arial" w:eastAsia="Arial" w:hAnsi="Arial"/>
          <w:sz w:val="18"/>
          <w:szCs w:val="18"/>
          <w:color w:val="auto"/>
        </w:rPr>
        <w:t>The Company remains vigilant as the negative impacts of COVID-19, such as further margin compression and a deterioration in asset quality, could impact future quarters.</w:t>
      </w:r>
    </w:p>
    <w:p>
      <w:pPr>
        <w:spacing w:after="0" w:line="157" w:lineRule="exact"/>
        <w:rPr>
          <w:sz w:val="20"/>
          <w:szCs w:val="20"/>
          <w:color w:val="auto"/>
        </w:rPr>
      </w:pPr>
    </w:p>
    <w:p>
      <w:pPr>
        <w:ind w:left="60" w:right="379"/>
        <w:spacing w:after="0" w:line="254" w:lineRule="auto"/>
        <w:rPr>
          <w:sz w:val="20"/>
          <w:szCs w:val="20"/>
          <w:color w:val="auto"/>
        </w:rPr>
      </w:pPr>
      <w:r>
        <w:rPr>
          <w:rFonts w:ascii="Arial" w:cs="Arial" w:eastAsia="Arial" w:hAnsi="Arial"/>
          <w:sz w:val="17"/>
          <w:szCs w:val="17"/>
          <w:color w:val="auto"/>
        </w:rPr>
        <w:t>As part of the CARES Act, Congress appropriated approximately $349 billion for the creation of the PPP and then authorized a second phase for an additional $310 billion in PPP loans. The program provided payroll assistance for the nation’s nearly 30 million small businesses—and select nonprofits—in the form of 100% government-guaranteed low-interest loans from the SBA. On December 27, 2020, the Economic Aid Act extended the authority to make PPP loans through March 31, 2021, and revised certain PPP requirements. On March 30, 2021, the President signed the PPP Extension Act of 2021, which extended the PPP application deadline to May 31, 2021, or until funding was exhausted, which occurred on May 28, 2021. First Busey served as a bridge for these programs, actively helping existing and new business clients sign up for this important financial resource.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summarizes First Busey’s PPP loans as of September 30,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CARES</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Economic Aid</w:t>
            </w: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PPP Loan</w:t>
            </w:r>
          </w:p>
        </w:tc>
      </w:tr>
      <w:tr>
        <w:trPr>
          <w:trHeight w:val="185"/>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Act</w:t>
            </w:r>
          </w:p>
        </w:tc>
        <w:tc>
          <w:tcPr>
            <w:tcW w:w="20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Act</w:t>
            </w:r>
          </w:p>
        </w:tc>
        <w:tc>
          <w:tcPr>
            <w:tcW w:w="12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Totals</w:t>
            </w:r>
          </w:p>
        </w:tc>
      </w:tr>
      <w:tr>
        <w:trPr>
          <w:trHeight w:val="196"/>
        </w:trPr>
        <w:tc>
          <w:tcPr>
            <w:tcW w:w="5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Customers with PPP loans processed/acquired</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7,348</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PPP loans originated/acquired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765,212</w:t>
            </w:r>
          </w:p>
        </w:tc>
        <w:tc>
          <w:tcPr>
            <w:tcW w:w="160" w:type="dxa"/>
            <w:vAlign w:val="bottom"/>
          </w:tcPr>
          <w:p>
            <w:pPr>
              <w:spacing w:after="0"/>
              <w:rPr>
                <w:sz w:val="17"/>
                <w:szCs w:val="17"/>
                <w:color w:val="auto"/>
              </w:rPr>
            </w:pPr>
          </w:p>
        </w:tc>
        <w:tc>
          <w:tcPr>
            <w:tcW w:w="200" w:type="dxa"/>
            <w:vAlign w:val="bottom"/>
          </w:tcPr>
          <w:p>
            <w:pPr>
              <w:jc w:val="right"/>
              <w:ind w:right="15"/>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324,593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4"/>
              </w:rPr>
              <w:t>1,089,805</w:t>
            </w:r>
          </w:p>
        </w:tc>
      </w:tr>
      <w:tr>
        <w:trPr>
          <w:trHeight w:val="203"/>
        </w:trPr>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Customers with PPP loans outstanding</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PPP loans outstanding</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17,364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165,746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183,110</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PPP loans outstanding, amortized cost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17,325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160,906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178,231</w:t>
            </w:r>
          </w:p>
        </w:tc>
      </w:tr>
      <w:tr>
        <w:trPr>
          <w:trHeight w:val="175"/>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PPP loan balance forgiveness: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780" w:type="dxa"/>
            <w:vAlign w:val="bottom"/>
          </w:tcPr>
          <w:p>
            <w:pPr>
              <w:ind w:left="220"/>
              <w:spacing w:after="0" w:line="202" w:lineRule="exact"/>
              <w:rPr>
                <w:sz w:val="20"/>
                <w:szCs w:val="20"/>
                <w:color w:val="auto"/>
              </w:rPr>
            </w:pPr>
            <w:r>
              <w:rPr>
                <w:rFonts w:ascii="Arial" w:cs="Arial" w:eastAsia="Arial" w:hAnsi="Arial"/>
                <w:sz w:val="18"/>
                <w:szCs w:val="18"/>
                <w:color w:val="auto"/>
              </w:rPr>
              <w:t>Received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744,320</w:t>
            </w:r>
          </w:p>
        </w:tc>
        <w:tc>
          <w:tcPr>
            <w:tcW w:w="160" w:type="dxa"/>
            <w:vAlign w:val="bottom"/>
          </w:tcPr>
          <w:p>
            <w:pPr>
              <w:spacing w:after="0"/>
              <w:rPr>
                <w:sz w:val="17"/>
                <w:szCs w:val="17"/>
                <w:color w:val="auto"/>
              </w:rPr>
            </w:pPr>
          </w:p>
        </w:tc>
        <w:tc>
          <w:tcPr>
            <w:tcW w:w="200" w:type="dxa"/>
            <w:vAlign w:val="bottom"/>
          </w:tcPr>
          <w:p>
            <w:pPr>
              <w:jc w:val="right"/>
              <w:ind w:right="15"/>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151,135</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895,455</w:t>
            </w:r>
          </w:p>
        </w:tc>
      </w:tr>
      <w:tr>
        <w:trPr>
          <w:trHeight w:val="203"/>
        </w:trPr>
        <w:tc>
          <w:tcPr>
            <w:tcW w:w="5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Balances submitted to the SBA for forgiveness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21,013</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unaudited consolidated financial statements included in this Quarterly Report were issued. There were no significant subsequent events for the quarter ended September 30, 2021, through the filing date of these unaudited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198"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Effective May 31, 2021, the Company completed its acquisition of CAC, the holding company for GSB. The partnership has enhanced the Company’s existing deposit, commercial banking, and wealth management presence in the Chicago-Naperville-Elgin, IL-IN-WI Metropolitan Statistical Area. GSB’s results of operations were included in the Company’s results of operations beginning June 1, 2021. First Busey operated GSB as a separate banking subsidiary until August 14, 2021, when it was merged with and into Busey Bank. At that time, all GSB banking centers became branches of Busey Bank.</w:t>
      </w:r>
    </w:p>
    <w:p>
      <w:pPr>
        <w:spacing w:after="0" w:line="176" w:lineRule="exact"/>
        <w:rPr>
          <w:sz w:val="20"/>
          <w:szCs w:val="20"/>
          <w:color w:val="auto"/>
        </w:rPr>
      </w:pPr>
    </w:p>
    <w:p>
      <w:pPr>
        <w:ind w:left="60" w:right="179"/>
        <w:spacing w:after="0" w:line="274" w:lineRule="auto"/>
        <w:rPr>
          <w:sz w:val="20"/>
          <w:szCs w:val="20"/>
          <w:color w:val="auto"/>
        </w:rPr>
      </w:pPr>
      <w:r>
        <w:rPr>
          <w:rFonts w:ascii="Arial" w:cs="Arial" w:eastAsia="Arial" w:hAnsi="Arial"/>
          <w:sz w:val="16"/>
          <w:szCs w:val="16"/>
          <w:color w:val="auto"/>
        </w:rPr>
        <w:t>Under terms of the definitive agreement, each share of CAC common stock issued and outstanding as of the effective date was converted into the right to receive 444.4783 shares of First Busey common stock and $14,173.96 in cash, which reflects the adjustments made to the cash consideration in accordance with the terms of the definitive agreement. The fair value of the common shares issued as part of the consideration paid for CAC was determined on the basis of the closing price of the Company’s common shares on the last trading day immediately preceding the acquisition date of May 31, 2021. As additional consideration provided to CAC’s shareholders in the merger, CAC paid a special dividend to its shareholders in the amount of $60.0 million, or $12,087.58 per share of CAC common stock, on May 28, 2021.</w:t>
      </w:r>
    </w:p>
    <w:p>
      <w:pPr>
        <w:spacing w:after="0" w:line="150"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Measurement period adjustments of $0.2 million were recorded in the third quarter of 2021 as more information became available regarding unrecorded liabilities.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60" w:right="479"/>
        <w:spacing w:after="0" w:line="257" w:lineRule="auto"/>
        <w:rPr>
          <w:sz w:val="20"/>
          <w:szCs w:val="20"/>
          <w:color w:val="auto"/>
        </w:rPr>
      </w:pPr>
      <w:r>
        <w:rPr>
          <w:rFonts w:ascii="Arial" w:cs="Arial" w:eastAsia="Arial" w:hAnsi="Arial"/>
          <w:sz w:val="17"/>
          <w:szCs w:val="17"/>
          <w:color w:val="auto"/>
        </w:rPr>
        <w:t>As the total consideration paid for CAC exceeded the provisional fair value of net assets acquired, estimated goodwill of $6.2 million was recorded as a result of the acquisition. The amount of goodwill recognized as a result of this transaction is expected to be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62"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 xml:space="preserve">The following table presents the estimated fair value of CAC’s assets acquired and liabilities assumed as of May 31,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 acquired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298,637</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702,367</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Portfolio loans, net of ACL</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430,470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Premises and equipment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17,034</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w:t>
            </w:r>
          </w:p>
        </w:tc>
      </w:tr>
      <w:tr>
        <w:trPr>
          <w:trHeight w:val="203"/>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8,176</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1,474,653</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1,315,671</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16,651</w:t>
            </w:r>
          </w:p>
        </w:tc>
      </w:tr>
      <w:tr>
        <w:trPr>
          <w:trHeight w:val="203"/>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19,098</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1,351,420</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123,233</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Consideration paid: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70,358</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59,105</w:t>
            </w:r>
          </w:p>
        </w:tc>
      </w:tr>
      <w:tr>
        <w:trPr>
          <w:trHeight w:val="236"/>
        </w:trPr>
        <w:tc>
          <w:tcPr>
            <w:tcW w:w="78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129,463</w:t>
            </w:r>
          </w:p>
        </w:tc>
      </w:tr>
      <w:tr>
        <w:trPr>
          <w:trHeight w:val="183"/>
        </w:trPr>
        <w:tc>
          <w:tcPr>
            <w:tcW w:w="7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6,230</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fair value of PCD financial assets was $60.5 million on the date of acquisition. Gross contractual amounts receivable relating to the PCD financial assets was $65.2 million. The Company estimated, on the date of acquisition, that $4.2 million of the contractual cash flows specific to the PCD financial assets will not be collected.</w:t>
      </w:r>
    </w:p>
    <w:p>
      <w:pPr>
        <w:spacing w:after="0" w:line="150" w:lineRule="exact"/>
        <w:rPr>
          <w:sz w:val="20"/>
          <w:szCs w:val="20"/>
          <w:color w:val="auto"/>
        </w:rPr>
      </w:pPr>
    </w:p>
    <w:p>
      <w:pPr>
        <w:ind w:left="60" w:right="59"/>
        <w:spacing w:after="0" w:line="248" w:lineRule="auto"/>
        <w:rPr>
          <w:sz w:val="20"/>
          <w:szCs w:val="20"/>
          <w:color w:val="auto"/>
        </w:rPr>
      </w:pPr>
      <w:r>
        <w:rPr>
          <w:rFonts w:ascii="Arial" w:cs="Arial" w:eastAsia="Arial" w:hAnsi="Arial"/>
          <w:sz w:val="18"/>
          <w:szCs w:val="18"/>
          <w:color w:val="auto"/>
        </w:rPr>
        <w:t>During three and nine months ended September 30, 2021, First Busey incurred $8.4 million and $11.4 million, respectively, in pre-tax acquisition expenses related to the acquisition of CAC, comprised primarily of professional fees, compensation expense, and data processing expense.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02"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w w:val="91"/>
              </w:rPr>
              <w:t>As of September 30, 2021</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3"/>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rPr>
              <w:t>Fair</w:t>
            </w:r>
          </w:p>
        </w:tc>
      </w:tr>
      <w:tr>
        <w:trPr>
          <w:trHeight w:val="185"/>
        </w:trPr>
        <w:tc>
          <w:tcPr>
            <w:tcW w:w="3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ACL</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185,636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40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185,453</w:t>
            </w:r>
          </w:p>
        </w:tc>
      </w:tr>
      <w:tr>
        <w:trPr>
          <w:trHeight w:val="188"/>
        </w:trPr>
        <w:tc>
          <w:tcPr>
            <w:tcW w:w="3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6"/>
              </w:rPr>
              <w:t>Obligations of U.S. government corporations and</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38,997</w:t>
            </w: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288,023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296,012</w:t>
            </w:r>
          </w:p>
        </w:tc>
      </w:tr>
      <w:tr>
        <w:trPr>
          <w:trHeight w:val="203"/>
        </w:trPr>
        <w:tc>
          <w:tcPr>
            <w:tcW w:w="3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607,097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603,297</w:t>
            </w: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2,108,388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13,973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(19,753)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2,102,608</w:t>
            </w:r>
          </w:p>
        </w:tc>
      </w:tr>
      <w:tr>
        <w:trPr>
          <w:trHeight w:val="203"/>
        </w:trPr>
        <w:tc>
          <w:tcPr>
            <w:tcW w:w="3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468,618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468,807</w:t>
            </w:r>
          </w:p>
        </w:tc>
      </w:tr>
      <w:tr>
        <w:trPr>
          <w:trHeight w:val="203"/>
        </w:trPr>
        <w:tc>
          <w:tcPr>
            <w:tcW w:w="3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301,878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(1,182)</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302,070</w:t>
            </w:r>
          </w:p>
        </w:tc>
      </w:tr>
      <w:tr>
        <w:trPr>
          <w:trHeight w:val="196"/>
        </w:trPr>
        <w:tc>
          <w:tcPr>
            <w:tcW w:w="3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debt securities available for sale</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3,997,424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30,976</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(31,156)</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3,997,244</w:t>
            </w:r>
          </w:p>
        </w:tc>
      </w:tr>
      <w:tr>
        <w:trPr>
          <w:trHeight w:val="20"/>
        </w:trPr>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72"/>
        </w:trPr>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w w:val="92"/>
              </w:rPr>
              <w:t>As of December 31, 2020</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33"/>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rPr>
              <w:t>Fair</w:t>
            </w:r>
          </w:p>
        </w:tc>
      </w:tr>
      <w:tr>
        <w:trPr>
          <w:trHeight w:val="185"/>
        </w:trPr>
        <w:tc>
          <w:tcPr>
            <w:tcW w:w="3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ACL</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27,481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r>
      <w:tr>
        <w:trPr>
          <w:trHeight w:val="188"/>
        </w:trPr>
        <w:tc>
          <w:tcPr>
            <w:tcW w:w="3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6"/>
              </w:rPr>
              <w:t>Obligations of U.S. government corporations and</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292,940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11,779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3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408,716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10,212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1,344,047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24,571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3"/>
        </w:trPr>
        <w:tc>
          <w:tcPr>
            <w:tcW w:w="3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70,953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Total debt securities available for sale</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9"/>
              </w:rPr>
              <w:t>2,211,543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4"/>
              </w:rPr>
              <w:t>50,317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2,261,187</w:t>
            </w:r>
          </w:p>
        </w:tc>
      </w:tr>
      <w:tr>
        <w:trPr>
          <w:trHeight w:val="20"/>
        </w:trPr>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6"/>
              </w:rPr>
              <w:t>As of September 30,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Due in one year or less</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103,158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one year through five years</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603,868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Due after five years through ten years</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385,479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393,540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ten years</w:t>
            </w:r>
          </w:p>
        </w:tc>
        <w:tc>
          <w:tcPr>
            <w:tcW w:w="3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2,904,919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2,891,843</w:t>
            </w:r>
          </w:p>
        </w:tc>
        <w:tc>
          <w:tcPr>
            <w:tcW w:w="0" w:type="dxa"/>
            <w:vAlign w:val="bottom"/>
          </w:tcPr>
          <w:p>
            <w:pPr>
              <w:spacing w:after="0"/>
              <w:rPr>
                <w:sz w:val="1"/>
                <w:szCs w:val="1"/>
                <w:color w:val="auto"/>
              </w:rPr>
            </w:pPr>
          </w:p>
        </w:tc>
      </w:tr>
      <w:tr>
        <w:trPr>
          <w:trHeight w:val="196"/>
        </w:trPr>
        <w:tc>
          <w:tcPr>
            <w:tcW w:w="3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debt securities available for sale</w:t>
            </w:r>
          </w:p>
        </w:tc>
        <w:tc>
          <w:tcPr>
            <w:tcW w:w="3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3,997,424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3,997,244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80" w:type="dxa"/>
            <w:vAlign w:val="bottom"/>
            <w:vMerge w:val="restart"/>
          </w:tcPr>
          <w:p>
            <w:pPr>
              <w:jc w:val="right"/>
              <w:ind w:right="22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16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Realized gains and losses on sales of debt securities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Gross security gains</w:t>
            </w: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ind w:right="416"/>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1,718</w:t>
            </w:r>
          </w:p>
        </w:tc>
      </w:tr>
      <w:tr>
        <w:trPr>
          <w:trHeight w:val="203"/>
        </w:trPr>
        <w:tc>
          <w:tcPr>
            <w:tcW w:w="51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security (losses)</w:t>
            </w:r>
          </w:p>
        </w:tc>
        <w:tc>
          <w:tcPr>
            <w:tcW w:w="5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Net gains (losses) on sales of debt securities</w:t>
            </w: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6"/>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1,710</w:t>
            </w:r>
          </w:p>
        </w:tc>
      </w:tr>
      <w:tr>
        <w:trPr>
          <w:trHeight w:val="20"/>
        </w:trPr>
        <w:tc>
          <w:tcPr>
            <w:tcW w:w="5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Debt securities with carrying amounts of $729.2 million on September 30, 2021, and $628.0 million December 31, 2020, were pledged as collateral for public deposits, securities sold under agreements to repurchase, and for other purposes as required.</w:t>
      </w:r>
    </w:p>
    <w:p>
      <w:pPr>
        <w:spacing w:after="0" w:line="168"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90"/>
              </w:rPr>
              <w:t>As of September 30,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7"/>
          </w:tcPr>
          <w:p>
            <w:pPr>
              <w:ind w:left="160"/>
              <w:spacing w:after="0" w:line="155" w:lineRule="exact"/>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7"/>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right"/>
              <w:ind w:right="42"/>
              <w:spacing w:after="0" w:line="155"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3"/>
                <w:szCs w:val="13"/>
                <w:color w:val="auto"/>
              </w:rPr>
            </w:pPr>
          </w:p>
        </w:tc>
      </w:tr>
      <w:tr>
        <w:trPr>
          <w:trHeight w:val="133"/>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ind w:right="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Unrealized</w:t>
            </w:r>
          </w:p>
        </w:tc>
      </w:tr>
      <w:tr>
        <w:trPr>
          <w:trHeight w:val="185"/>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322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180,317</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180,317</w:t>
            </w:r>
          </w:p>
        </w:tc>
        <w:tc>
          <w:tcPr>
            <w:tcW w:w="40" w:type="dxa"/>
            <w:vAlign w:val="bottom"/>
          </w:tcPr>
          <w:p>
            <w:pPr>
              <w:spacing w:after="0"/>
              <w:rPr>
                <w:sz w:val="17"/>
                <w:szCs w:val="17"/>
                <w:color w:val="auto"/>
              </w:rPr>
            </w:pPr>
          </w:p>
        </w:tc>
        <w:tc>
          <w:tcPr>
            <w:tcW w:w="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r>
      <w:tr>
        <w:trPr>
          <w:trHeight w:val="188"/>
        </w:trPr>
        <w:tc>
          <w:tcPr>
            <w:tcW w:w="3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7"/>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02"/>
        </w:trPr>
        <w:tc>
          <w:tcPr>
            <w:tcW w:w="3220" w:type="dxa"/>
            <w:vAlign w:val="bottom"/>
          </w:tcPr>
          <w:p>
            <w:pPr>
              <w:ind w:left="220"/>
              <w:spacing w:after="0" w:line="202" w:lineRule="exact"/>
              <w:rPr>
                <w:sz w:val="20"/>
                <w:szCs w:val="20"/>
                <w:color w:val="auto"/>
              </w:rPr>
            </w:pPr>
            <w:r>
              <w:rPr>
                <w:rFonts w:ascii="Arial" w:cs="Arial" w:eastAsia="Arial" w:hAnsi="Arial"/>
                <w:sz w:val="18"/>
                <w:szCs w:val="18"/>
                <w:color w:val="auto"/>
                <w:w w:val="92"/>
              </w:rPr>
              <w:t>Commercial mortgage-backed securities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434,220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(9,036)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437,283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(9,078)</w:t>
            </w:r>
          </w:p>
        </w:tc>
      </w:tr>
      <w:tr>
        <w:trPr>
          <w:trHeight w:val="203"/>
        </w:trPr>
        <w:tc>
          <w:tcPr>
            <w:tcW w:w="3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Residential mortgage-backed securities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9"/>
              </w:rPr>
              <w:t>1,392,160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(19,707)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1,397,728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(19,753)</w:t>
            </w:r>
          </w:p>
        </w:tc>
      </w:tr>
      <w:tr>
        <w:trPr>
          <w:trHeight w:val="203"/>
        </w:trPr>
        <w:tc>
          <w:tcPr>
            <w:tcW w:w="3220" w:type="dxa"/>
            <w:vAlign w:val="bottom"/>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51,183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3"/>
        </w:trPr>
        <w:tc>
          <w:tcPr>
            <w:tcW w:w="3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210,951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210,951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w:t>
            </w: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color w:val="auto"/>
              </w:rPr>
              <w:t>Total temporarily impaired securities</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89"/>
              </w:rPr>
              <w:t>2,324,265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0"/>
              </w:rPr>
              <w:t>$ (31,068)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8"/>
              </w:rPr>
              <w:t>$ 2,332,896</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2"/>
              </w:rPr>
              <w:t>$ (31,156)</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2"/>
              </w:rPr>
              <w:t>As of December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5"/>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7"/>
          </w:tcPr>
          <w:p>
            <w:pPr>
              <w:jc w:val="right"/>
              <w:ind w:right="320"/>
              <w:spacing w:after="0" w:line="155" w:lineRule="exact"/>
              <w:rPr>
                <w:sz w:val="20"/>
                <w:szCs w:val="20"/>
                <w:color w:val="auto"/>
              </w:rPr>
            </w:pPr>
            <w:r>
              <w:rPr>
                <w:rFonts w:ascii="Arial" w:cs="Arial" w:eastAsia="Arial" w:hAnsi="Arial"/>
                <w:sz w:val="14"/>
                <w:szCs w:val="14"/>
                <w:b w:val="1"/>
                <w:bCs w:val="1"/>
                <w:color w:val="auto"/>
                <w:w w:val="97"/>
              </w:rPr>
              <w:t>Less than 12 months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7"/>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right"/>
              <w:ind w:right="2"/>
              <w:spacing w:after="0" w:line="155"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3"/>
                <w:szCs w:val="13"/>
                <w:color w:val="auto"/>
              </w:rPr>
            </w:pPr>
          </w:p>
        </w:tc>
      </w:tr>
      <w:tr>
        <w:trPr>
          <w:trHeight w:val="133"/>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ind w:right="80"/>
              <w:spacing w:after="0" w:line="133" w:lineRule="exact"/>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Unrealized</w:t>
            </w:r>
          </w:p>
        </w:tc>
      </w:tr>
      <w:tr>
        <w:trPr>
          <w:trHeight w:val="185"/>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2"/>
              </w:rPr>
              <w:t>Losses</w:t>
            </w: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188"/>
        </w:trPr>
        <w:tc>
          <w:tcPr>
            <w:tcW w:w="3220" w:type="dxa"/>
            <w:vAlign w:val="bottom"/>
          </w:tcPr>
          <w:p>
            <w:pPr>
              <w:ind w:left="220"/>
              <w:spacing w:after="0" w:line="189" w:lineRule="exact"/>
              <w:rPr>
                <w:sz w:val="20"/>
                <w:szCs w:val="20"/>
                <w:color w:val="auto"/>
              </w:rPr>
            </w:pPr>
            <w:r>
              <w:rPr>
                <w:rFonts w:ascii="Arial" w:cs="Arial" w:eastAsia="Arial" w:hAnsi="Arial"/>
                <w:sz w:val="18"/>
                <w:szCs w:val="18"/>
                <w:color w:val="auto"/>
              </w:rPr>
              <w:t>Obligations of U.S. government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7"/>
        </w:trPr>
        <w:tc>
          <w:tcPr>
            <w:tcW w:w="3220" w:type="dxa"/>
            <w:vAlign w:val="bottom"/>
          </w:tcPr>
          <w:p>
            <w:pPr>
              <w:ind w:left="220"/>
              <w:spacing w:after="0"/>
              <w:rPr>
                <w:sz w:val="20"/>
                <w:szCs w:val="20"/>
                <w:color w:val="auto"/>
              </w:rPr>
            </w:pPr>
            <w:r>
              <w:rPr>
                <w:rFonts w:ascii="Arial" w:cs="Arial" w:eastAsia="Arial" w:hAnsi="Arial"/>
                <w:sz w:val="18"/>
                <w:szCs w:val="18"/>
                <w:color w:val="auto"/>
              </w:rPr>
              <w:t>corporations and agencies</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4,957</w:t>
            </w:r>
          </w:p>
        </w:tc>
        <w:tc>
          <w:tcPr>
            <w:tcW w:w="40" w:type="dxa"/>
            <w:vAlign w:val="bottom"/>
          </w:tcPr>
          <w:p>
            <w:pPr>
              <w:spacing w:after="0"/>
              <w:rPr>
                <w:sz w:val="18"/>
                <w:szCs w:val="18"/>
                <w:color w:val="auto"/>
              </w:rPr>
            </w:pPr>
          </w:p>
        </w:tc>
        <w:tc>
          <w:tcPr>
            <w:tcW w:w="28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88"/>
        </w:trPr>
        <w:tc>
          <w:tcPr>
            <w:tcW w:w="3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7"/>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3220" w:type="dxa"/>
            <w:vAlign w:val="bottom"/>
          </w:tcPr>
          <w:p>
            <w:pPr>
              <w:ind w:left="220"/>
              <w:spacing w:after="0" w:line="202" w:lineRule="exact"/>
              <w:rPr>
                <w:sz w:val="20"/>
                <w:szCs w:val="20"/>
                <w:color w:val="auto"/>
              </w:rPr>
            </w:pPr>
            <w:r>
              <w:rPr>
                <w:rFonts w:ascii="Arial" w:cs="Arial" w:eastAsia="Arial" w:hAnsi="Arial"/>
                <w:sz w:val="18"/>
                <w:szCs w:val="18"/>
                <w:color w:val="auto"/>
                <w:w w:val="92"/>
              </w:rPr>
              <w:t>Commercial mortgage-backed securities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129,655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129,655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r>
      <w:tr>
        <w:trPr>
          <w:trHeight w:val="203"/>
        </w:trPr>
        <w:tc>
          <w:tcPr>
            <w:tcW w:w="3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Residential mortgage-backed securities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89,997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90,136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r>
      <w:tr>
        <w:trPr>
          <w:trHeight w:val="203"/>
        </w:trPr>
        <w:tc>
          <w:tcPr>
            <w:tcW w:w="32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3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temporarily impaired securities</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221,913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5,096</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$ 227,009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(673)</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71"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The Company’s debt security portfolio consisted of 1,274 securities as of September 30, 2021, compared to 1,114 securities as of December 31, 2020. The number of debt securities in the investment portfolio in an unrealized loss position was 294, representing an unrealized loss of 1.3% of the aggregate fair value, as of September 30, 2021, compared to 23 securities representing an unrealized loss of 0.3% of the aggregate fair value as of December 31, 2020. Unrealized losses related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jc w:val="both"/>
        <w:ind w:left="60" w:right="99"/>
        <w:spacing w:after="0" w:line="248" w:lineRule="auto"/>
        <w:rPr>
          <w:sz w:val="20"/>
          <w:szCs w:val="20"/>
          <w:color w:val="auto"/>
        </w:rPr>
      </w:pPr>
      <w:r>
        <w:rPr>
          <w:rFonts w:ascii="Arial" w:cs="Arial" w:eastAsia="Arial" w:hAnsi="Arial"/>
          <w:sz w:val="18"/>
          <w:szCs w:val="18"/>
          <w:color w:val="auto"/>
        </w:rPr>
        <w:t>impairment related to noncredit factors is recognized in accumulated other comprehensive income (loss), net of applicable taxes. As of September 30, 2021, the Company did not hold general obligation bonds of any single issuer, the aggregate of which exceeded 10% of the Company’s stockholders’ equity.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Distributions of portfolio loans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1,931,863</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3,068,622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430,857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1,512,884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Retail other</w:t>
            </w:r>
          </w:p>
        </w:tc>
        <w:tc>
          <w:tcPr>
            <w:tcW w:w="2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206,409</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7,150,635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6,814,177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ACL</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(92,802)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2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7,057,833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Net deferred loan origination costs included in the balances above were $4.9 million as of September 30, 2021, compared to $2.4 million as of December 31, 2020. Net accretable purchase accounting adjustments included in the balances above reduced loans by $10.1 million as of September 30, 2021, and $10.9 million as of December 31, 2020. The September 30, 2021, commercial balance includes loans originated under PPP with an amortized cost of $178.2 million, compared to $446.4 million in loans originated under PPP included in the December 31, 2020, balance.</w:t>
      </w:r>
    </w:p>
    <w:p>
      <w:pPr>
        <w:spacing w:after="0" w:line="14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There were no retail real estate loans purchased during the three months ended September 30, 2021 or 2020. During the nine months ended September 30, 2021, the Company purchased retail real estate loans totaling $32.2 million, compared to $43.9 million of retail real estate loan purchases in the nine months ended September 30, 2020.</w:t>
      </w:r>
    </w:p>
    <w:p>
      <w:pPr>
        <w:spacing w:after="0" w:line="15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57" w:lineRule="exact"/>
        <w:rPr>
          <w:sz w:val="20"/>
          <w:szCs w:val="20"/>
          <w:color w:val="auto"/>
        </w:rPr>
      </w:pPr>
    </w:p>
    <w:p>
      <w:pPr>
        <w:ind w:left="720" w:right="339" w:hanging="319"/>
        <w:spacing w:after="0" w:line="24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68"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Watch – </w:t>
      </w:r>
      <w:r>
        <w:rPr>
          <w:rFonts w:ascii="Arial" w:cs="Arial" w:eastAsia="Arial" w:hAnsi="Arial"/>
          <w:sz w:val="18"/>
          <w:szCs w:val="18"/>
          <w:color w:val="auto"/>
        </w:rPr>
        <w:t>This category includes loans that warrant a higher-than-average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74" w:lineRule="exact"/>
        <w:rPr>
          <w:rFonts w:ascii="Arial" w:cs="Arial" w:eastAsia="Arial" w:hAnsi="Arial"/>
          <w:sz w:val="18"/>
          <w:szCs w:val="18"/>
          <w:color w:val="auto"/>
        </w:rPr>
      </w:pPr>
    </w:p>
    <w:p>
      <w:pPr>
        <w:jc w:val="both"/>
        <w:ind w:left="720" w:right="99" w:hanging="319"/>
        <w:spacing w:after="0" w:line="24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720" w:right="139" w:hanging="319"/>
        <w:spacing w:after="0" w:line="262"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58" w:lineRule="exact"/>
        <w:rPr>
          <w:rFonts w:ascii="Arial" w:cs="Arial" w:eastAsia="Arial" w:hAnsi="Arial"/>
          <w:sz w:val="17"/>
          <w:szCs w:val="17"/>
          <w:color w:val="auto"/>
        </w:rPr>
      </w:pPr>
    </w:p>
    <w:p>
      <w:pPr>
        <w:ind w:left="720" w:right="139" w:hanging="319"/>
        <w:spacing w:after="0" w:line="27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50"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 GSB’s policies were similar in nature to Busey Bank’s policies and the Company is migrating the legacy GSB portfolio and grading toward the Busey Bank policies. We acquired two non-accrual loans from GSB totaling $4.4 million, which are still outstanding as of September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is a summary of risk grades segregated by category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2021</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33"/>
        </w:trPr>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Mention</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1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$ 1,718,398</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$ 115,108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62,094</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0"/>
              </w:rPr>
              <w:t>26,033</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10,230</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2,623,243</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338,270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18,964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6,620</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413,986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1,486,172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8,482</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206,372</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196"/>
        </w:trPr>
        <w:tc>
          <w:tcPr>
            <w:tcW w:w="3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$ 6,448,171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$ 479,566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145,634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51,895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25,369</w:t>
            </w: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33"/>
        </w:trPr>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Mention</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1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$ 1,768,755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$ 136,948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72,447</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0"/>
              </w:rPr>
              <w:t>27,903</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8,523</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2,393,372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383,277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75,486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34,897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434,681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1,382,616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8,799</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37,324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3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$ 6,016,748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$ 554,970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150,481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69,048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22,930</w:t>
            </w: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As of September 30, 2021</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1"/>
          </w:tcPr>
          <w:p>
            <w:pPr>
              <w:spacing w:after="0" w:line="155"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78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7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7"/>
              </w:rPr>
              <w:t>loans</w:t>
            </w:r>
          </w:p>
        </w:tc>
        <w:tc>
          <w:tcPr>
            <w:tcW w:w="9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468,833</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265,204</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7"/>
              </w:rPr>
              <w:t>$ 112,809</w:t>
            </w:r>
          </w:p>
        </w:tc>
        <w:tc>
          <w:tcPr>
            <w:tcW w:w="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90,292</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73,553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$ 132,127</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575,580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$ 1,718,398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57,392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6,864</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12,484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31,728</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494,584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275,649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139,989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101,782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91,027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674,318</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1,931,863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Commercial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655,907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690,244</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463,830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289,396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257,618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245,795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20,453</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2,623,243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40,404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130,282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27,115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7,056</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18,661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10,436</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81,525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729,627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747,753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603,588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374,403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299,213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291,250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22,787</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160,719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141,699</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93,701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899</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11,801</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413,986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1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150,214</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428,556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230,120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107,262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92,875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95,667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313,708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217,984</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1,486,172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retail real</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435,305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233,281</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221,629</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45,614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25,177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30,366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19,737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9,935</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72,885</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206,372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25,188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72,885</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4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Total portfolio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1,872,128</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1,432,087</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$ 977,044</w:t>
            </w:r>
          </w:p>
        </w:tc>
        <w:tc>
          <w:tcPr>
            <w:tcW w:w="2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595,136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500,258</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$ 770,563</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1,003,419</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$ 7,150,635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3"/>
          </w:tcPr>
          <w:p>
            <w:pPr>
              <w:jc w:val="center"/>
              <w:ind w:right="471"/>
              <w:spacing w:after="0"/>
              <w:rPr>
                <w:sz w:val="20"/>
                <w:szCs w:val="20"/>
                <w:color w:val="auto"/>
              </w:rPr>
            </w:pPr>
            <w:r>
              <w:rPr>
                <w:rFonts w:ascii="Arial" w:cs="Arial" w:eastAsia="Arial" w:hAnsi="Arial"/>
                <w:sz w:val="18"/>
                <w:szCs w:val="18"/>
                <w:color w:val="auto"/>
                <w:w w:val="89"/>
              </w:rPr>
              <w:t>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1"/>
          </w:tcPr>
          <w:p>
            <w:pPr>
              <w:spacing w:after="0" w:line="155"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40" w:type="dxa"/>
            <w:vAlign w:val="bottom"/>
          </w:tcPr>
          <w:p>
            <w:pPr>
              <w:spacing w:after="0"/>
              <w:rPr>
                <w:sz w:val="13"/>
                <w:szCs w:val="13"/>
                <w:color w:val="auto"/>
              </w:rPr>
            </w:pPr>
          </w:p>
        </w:tc>
        <w:tc>
          <w:tcPr>
            <w:tcW w:w="7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78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7"/>
              </w:rPr>
              <w:t>loans</w:t>
            </w:r>
          </w:p>
        </w:tc>
        <w:tc>
          <w:tcPr>
            <w:tcW w:w="9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812,536</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158,307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7"/>
              </w:rPr>
              <w:t>$ 107,565</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93,190</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61,847</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79,970</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$ 455,340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$ 1,768,755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55,959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13,733</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33,645</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843,404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190,061</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118,185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105,947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556,922</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2,014,576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89"/>
              </w:rPr>
              <w:t>Commercial real estate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717,559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503,977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360,573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384,843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180,555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227,068</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18,797</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2,393,372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110,526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27,023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16,490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8,858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10,505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21,808</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840,882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628,303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437,776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222,941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278,923</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179,232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171,663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1,444</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16,088</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434,681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175,330</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319,302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162,711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135,065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136,427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140,600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257,147</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231,364</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1,382,616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retail real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324,112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164,938</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137,949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144,101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263,826</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9,430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10,290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Total portfolio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2,216,953</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1,168,069</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$ 798,327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699,747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441,456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650,638</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$ 838,987</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$ 6,814,177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6"/>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5"/>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10,230</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6,620</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8,482</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196"/>
        </w:trPr>
        <w:tc>
          <w:tcPr>
            <w:tcW w:w="5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25,369</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5"/>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6"/>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8,523</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8,799</w:t>
            </w:r>
          </w:p>
        </w:tc>
      </w:tr>
      <w:tr>
        <w:trPr>
          <w:trHeight w:val="203"/>
        </w:trPr>
        <w:tc>
          <w:tcPr>
            <w:tcW w:w="51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Gross interest income recorded on 90+ days past due loans, and that would have been recorded on non-accrual loans if they had been accruing interest in accordance with their original terms, was $0.3 million and $1.2 million for the three and nine months ended September 30, 2021, respectively. Gross interest income recorded on 90+ days past due loans and that would have been recorded on non-accrual loans if they had been accruing interest in accordance with their original terms was $0.5 million and $1.4 million for the three and nine months ended September 30, 2020, respectively. The amount of interest collected on those loans and recognized on a cash basis that was included in interest income was $0.4 million for the three and nine months ended September 30, 2021, and was insignificant for the three and nine months ended September 30,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TDRs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TDRs</w:t>
            </w:r>
          </w:p>
        </w:tc>
        <w:tc>
          <w:tcPr>
            <w:tcW w:w="3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In compliance with modified terms</w:t>
            </w:r>
          </w:p>
        </w:tc>
        <w:tc>
          <w:tcPr>
            <w:tcW w:w="32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2,083</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30 – 89 days past due</w:t>
            </w:r>
          </w:p>
        </w:tc>
        <w:tc>
          <w:tcPr>
            <w:tcW w:w="3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Non-performing TDRs</w:t>
            </w:r>
          </w:p>
        </w:tc>
        <w:tc>
          <w:tcPr>
            <w:tcW w:w="30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1,285</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TDRs</w:t>
            </w:r>
          </w:p>
        </w:tc>
        <w:tc>
          <w:tcPr>
            <w:tcW w:w="3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3,368</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20" w:type="dxa"/>
            <w:vAlign w:val="bottom"/>
            <w:vMerge w:val="restart"/>
          </w:tcPr>
          <w:p>
            <w:pPr>
              <w:jc w:val="right"/>
              <w:ind w:right="193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tables summarize TDRs that occurred during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31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9"/>
              </w:rPr>
              <w:t>Three Months Ended September 30, 2021</w:t>
            </w:r>
          </w:p>
        </w:tc>
        <w:tc>
          <w:tcPr>
            <w:tcW w:w="274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900" w:type="dxa"/>
            <w:vAlign w:val="bottom"/>
            <w:tcBorders>
              <w:top w:val="single" w:sz="8" w:color="auto"/>
              <w:bottom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Borders>
              <w:top w:val="single" w:sz="8" w:color="auto"/>
              <w:bottom w:val="single" w:sz="8" w:color="auto"/>
            </w:tcBorders>
          </w:tcPr>
          <w:p>
            <w:pPr>
              <w:spacing w:after="0"/>
              <w:rPr>
                <w:sz w:val="13"/>
                <w:szCs w:val="13"/>
                <w:color w:val="auto"/>
              </w:rPr>
            </w:pPr>
          </w:p>
        </w:tc>
        <w:tc>
          <w:tcPr>
            <w:tcW w:w="1840" w:type="dxa"/>
            <w:vAlign w:val="bottom"/>
            <w:tcBorders>
              <w:top w:val="single" w:sz="8" w:color="auto"/>
              <w:bottom w:val="single" w:sz="8" w:color="auto"/>
            </w:tcBorders>
            <w:gridSpan w:val="4"/>
          </w:tcPr>
          <w:p>
            <w:pPr>
              <w:jc w:val="right"/>
              <w:ind w:right="296"/>
              <w:spacing w:after="0" w:line="155" w:lineRule="exact"/>
              <w:rPr>
                <w:sz w:val="20"/>
                <w:szCs w:val="20"/>
                <w:color w:val="auto"/>
              </w:rPr>
            </w:pPr>
            <w:r>
              <w:rPr>
                <w:rFonts w:ascii="Arial" w:cs="Arial" w:eastAsia="Arial" w:hAnsi="Arial"/>
                <w:sz w:val="14"/>
                <w:szCs w:val="14"/>
                <w:b w:val="1"/>
                <w:bCs w:val="1"/>
                <w:color w:val="auto"/>
              </w:rPr>
              <w:t>Recorded Investment</w:t>
            </w:r>
          </w:p>
        </w:tc>
        <w:tc>
          <w:tcPr>
            <w:tcW w:w="140" w:type="dxa"/>
            <w:vAlign w:val="bottom"/>
          </w:tcPr>
          <w:p>
            <w:pPr>
              <w:spacing w:after="0"/>
              <w:rPr>
                <w:sz w:val="13"/>
                <w:szCs w:val="13"/>
                <w:color w:val="auto"/>
              </w:rPr>
            </w:pPr>
          </w:p>
        </w:tc>
        <w:tc>
          <w:tcPr>
            <w:tcW w:w="880" w:type="dxa"/>
            <w:vAlign w:val="bottom"/>
            <w:tcBorders>
              <w:top w:val="single" w:sz="8" w:color="auto"/>
              <w:bottom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Recorded Investment</w:t>
            </w:r>
          </w:p>
        </w:tc>
        <w:tc>
          <w:tcPr>
            <w:tcW w:w="2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1"/>
                <w:szCs w:val="11"/>
                <w:color w:val="auto"/>
              </w:rPr>
            </w:pPr>
          </w:p>
        </w:tc>
        <w:tc>
          <w:tcPr>
            <w:tcW w:w="82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w w:val="99"/>
              </w:rPr>
              <w:t>Payment</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Rate</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1100" w:type="dxa"/>
            <w:vAlign w:val="bottom"/>
            <w:gridSpan w:val="3"/>
          </w:tcPr>
          <w:p>
            <w:pPr>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1100" w:type="dxa"/>
            <w:vAlign w:val="bottom"/>
            <w:gridSpan w:val="3"/>
          </w:tcPr>
          <w:p>
            <w:pPr>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Contracts</w:t>
            </w:r>
          </w:p>
        </w:tc>
        <w:tc>
          <w:tcPr>
            <w:tcW w:w="1100" w:type="dxa"/>
            <w:vAlign w:val="bottom"/>
            <w:gridSpan w:val="3"/>
          </w:tcPr>
          <w:p>
            <w:pPr>
              <w:ind w:left="20"/>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1000" w:type="dxa"/>
            <w:vAlign w:val="bottom"/>
            <w:gridSpan w:val="2"/>
          </w:tcPr>
          <w:p>
            <w:pPr>
              <w:jc w:val="center"/>
              <w:spacing w:after="0" w:line="190" w:lineRule="exact"/>
              <w:rPr>
                <w:sz w:val="20"/>
                <w:szCs w:val="20"/>
                <w:color w:val="auto"/>
              </w:rPr>
            </w:pPr>
            <w:r>
              <w:rPr>
                <w:rFonts w:ascii="Arial" w:cs="Arial" w:eastAsia="Arial" w:hAnsi="Arial"/>
                <w:sz w:val="14"/>
                <w:szCs w:val="14"/>
                <w:b w:val="1"/>
                <w:bCs w:val="1"/>
                <w:color w:val="auto"/>
                <w:w w:val="90"/>
              </w:rPr>
              <w:t xml:space="preserve">Modification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Newly designated TDRs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4"/>
        </w:trPr>
        <w:tc>
          <w:tcPr>
            <w:tcW w:w="2820" w:type="dxa"/>
            <w:vAlign w:val="bottom"/>
          </w:tcPr>
          <w:p>
            <w:pPr>
              <w:spacing w:after="0"/>
              <w:rPr>
                <w:sz w:val="24"/>
                <w:szCs w:val="24"/>
                <w:color w:val="auto"/>
              </w:rPr>
            </w:pPr>
          </w:p>
        </w:tc>
        <w:tc>
          <w:tcPr>
            <w:tcW w:w="31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9"/>
              </w:rPr>
              <w:t>Three Months Ended September 30, 2020</w:t>
            </w:r>
          </w:p>
        </w:tc>
        <w:tc>
          <w:tcPr>
            <w:tcW w:w="274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900" w:type="dxa"/>
            <w:vAlign w:val="bottom"/>
            <w:tcBorders>
              <w:top w:val="single" w:sz="8" w:color="auto"/>
              <w:bottom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Borders>
              <w:top w:val="single" w:sz="8" w:color="auto"/>
              <w:bottom w:val="single" w:sz="8" w:color="auto"/>
            </w:tcBorders>
          </w:tcPr>
          <w:p>
            <w:pPr>
              <w:spacing w:after="0"/>
              <w:rPr>
                <w:sz w:val="13"/>
                <w:szCs w:val="13"/>
                <w:color w:val="auto"/>
              </w:rPr>
            </w:pPr>
          </w:p>
        </w:tc>
        <w:tc>
          <w:tcPr>
            <w:tcW w:w="1840" w:type="dxa"/>
            <w:vAlign w:val="bottom"/>
            <w:tcBorders>
              <w:top w:val="single" w:sz="8" w:color="auto"/>
              <w:bottom w:val="single" w:sz="8" w:color="auto"/>
            </w:tcBorders>
            <w:gridSpan w:val="4"/>
          </w:tcPr>
          <w:p>
            <w:pPr>
              <w:jc w:val="right"/>
              <w:ind w:right="296"/>
              <w:spacing w:after="0" w:line="155" w:lineRule="exact"/>
              <w:rPr>
                <w:sz w:val="20"/>
                <w:szCs w:val="20"/>
                <w:color w:val="auto"/>
              </w:rPr>
            </w:pPr>
            <w:r>
              <w:rPr>
                <w:rFonts w:ascii="Arial" w:cs="Arial" w:eastAsia="Arial" w:hAnsi="Arial"/>
                <w:sz w:val="14"/>
                <w:szCs w:val="14"/>
                <w:b w:val="1"/>
                <w:bCs w:val="1"/>
                <w:color w:val="auto"/>
              </w:rPr>
              <w:t>Recorded Investment</w:t>
            </w:r>
          </w:p>
        </w:tc>
        <w:tc>
          <w:tcPr>
            <w:tcW w:w="140" w:type="dxa"/>
            <w:vAlign w:val="bottom"/>
          </w:tcPr>
          <w:p>
            <w:pPr>
              <w:spacing w:after="0"/>
              <w:rPr>
                <w:sz w:val="13"/>
                <w:szCs w:val="13"/>
                <w:color w:val="auto"/>
              </w:rPr>
            </w:pPr>
          </w:p>
        </w:tc>
        <w:tc>
          <w:tcPr>
            <w:tcW w:w="880" w:type="dxa"/>
            <w:vAlign w:val="bottom"/>
            <w:tcBorders>
              <w:top w:val="single" w:sz="8" w:color="auto"/>
              <w:bottom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Recorded Investment</w:t>
            </w:r>
          </w:p>
        </w:tc>
        <w:tc>
          <w:tcPr>
            <w:tcW w:w="2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1"/>
                <w:szCs w:val="11"/>
                <w:color w:val="auto"/>
              </w:rPr>
            </w:pPr>
          </w:p>
        </w:tc>
        <w:tc>
          <w:tcPr>
            <w:tcW w:w="82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w w:val="99"/>
              </w:rPr>
              <w:t>Payment</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Rate</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1100" w:type="dxa"/>
            <w:vAlign w:val="bottom"/>
            <w:gridSpan w:val="3"/>
          </w:tcPr>
          <w:p>
            <w:pPr>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1100" w:type="dxa"/>
            <w:vAlign w:val="bottom"/>
            <w:gridSpan w:val="3"/>
          </w:tcPr>
          <w:p>
            <w:pPr>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Contracts</w:t>
            </w:r>
          </w:p>
        </w:tc>
        <w:tc>
          <w:tcPr>
            <w:tcW w:w="1100" w:type="dxa"/>
            <w:vAlign w:val="bottom"/>
            <w:gridSpan w:val="3"/>
          </w:tcPr>
          <w:p>
            <w:pPr>
              <w:ind w:left="20"/>
              <w:spacing w:after="0" w:line="190"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1000" w:type="dxa"/>
            <w:vAlign w:val="bottom"/>
            <w:gridSpan w:val="2"/>
          </w:tcPr>
          <w:p>
            <w:pPr>
              <w:jc w:val="center"/>
              <w:spacing w:after="0" w:line="190" w:lineRule="exact"/>
              <w:rPr>
                <w:sz w:val="20"/>
                <w:szCs w:val="20"/>
                <w:color w:val="auto"/>
              </w:rPr>
            </w:pPr>
            <w:r>
              <w:rPr>
                <w:rFonts w:ascii="Arial" w:cs="Arial" w:eastAsia="Arial" w:hAnsi="Arial"/>
                <w:sz w:val="14"/>
                <w:szCs w:val="14"/>
                <w:b w:val="1"/>
                <w:bCs w:val="1"/>
                <w:color w:val="auto"/>
                <w:w w:val="90"/>
              </w:rPr>
              <w:t xml:space="preserve">Modification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Newly designated TDRs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820" w:type="dxa"/>
            <w:vAlign w:val="bottom"/>
          </w:tcPr>
          <w:p>
            <w:pPr>
              <w:ind w:left="220"/>
              <w:spacing w:after="0"/>
              <w:rPr>
                <w:sz w:val="20"/>
                <w:szCs w:val="20"/>
                <w:color w:val="auto"/>
              </w:rPr>
            </w:pPr>
            <w:r>
              <w:rPr>
                <w:rFonts w:ascii="Arial" w:cs="Arial" w:eastAsia="Arial" w:hAnsi="Arial"/>
                <w:sz w:val="18"/>
                <w:szCs w:val="18"/>
                <w:color w:val="auto"/>
              </w:rPr>
              <w:t>Retail real estate</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4" w:lineRule="exact"/>
        <w:rPr>
          <w:sz w:val="20"/>
          <w:szCs w:val="20"/>
          <w:color w:val="auto"/>
        </w:rPr>
      </w:pPr>
    </w:p>
    <w:p>
      <w:pPr>
        <w:ind w:left="480" w:right="79" w:hanging="322"/>
        <w:spacing w:after="0" w:line="273" w:lineRule="auto"/>
        <w:tabs>
          <w:tab w:leader="none" w:pos="480" w:val="left"/>
        </w:tabs>
        <w:numPr>
          <w:ilvl w:val="0"/>
          <w:numId w:val="6"/>
        </w:numPr>
        <w:rPr>
          <w:rFonts w:ascii="Arial" w:cs="Arial" w:eastAsia="Arial" w:hAnsi="Arial"/>
          <w:sz w:val="13"/>
          <w:szCs w:val="13"/>
          <w:color w:val="auto"/>
        </w:rPr>
      </w:pPr>
      <w:r>
        <w:rPr>
          <w:rFonts w:ascii="Arial" w:cs="Arial" w:eastAsia="Arial" w:hAnsi="Arial"/>
          <w:sz w:val="14"/>
          <w:szCs w:val="14"/>
          <w:color w:val="auto"/>
        </w:rPr>
        <w:t>TDRs may include multiple concessions; those that include an interest rate concession and payment concession are shown in the rate modification columns.</w:t>
      </w:r>
    </w:p>
    <w:p>
      <w:pPr>
        <w:spacing w:after="0" w:line="165" w:lineRule="exact"/>
        <w:rPr>
          <w:sz w:val="20"/>
          <w:szCs w:val="20"/>
          <w:color w:val="auto"/>
        </w:rPr>
      </w:pPr>
    </w:p>
    <w:p>
      <w:pPr>
        <w:ind w:left="60" w:right="359"/>
        <w:spacing w:after="0" w:line="284" w:lineRule="auto"/>
        <w:rPr>
          <w:sz w:val="20"/>
          <w:szCs w:val="20"/>
          <w:color w:val="auto"/>
        </w:rPr>
      </w:pPr>
      <w:r>
        <w:rPr>
          <w:rFonts w:ascii="Arial" w:cs="Arial" w:eastAsia="Arial" w:hAnsi="Arial"/>
          <w:sz w:val="16"/>
          <w:szCs w:val="16"/>
          <w:color w:val="auto"/>
        </w:rPr>
        <w:t>There were no TDRs that were entered into during the last 12 months that subsequently had payment defaults (a default occurs when a loan is 90 days or more past due or transferred to non-accrual) during the three and nine months ended September 30, 2021 or 2020. During the nine months ended September 30, 2021, one retail real estate loan for $0.1 million that had been a performing TDR for longer than 12 months, with a rate modification, became non-performing.</w:t>
      </w:r>
    </w:p>
    <w:p>
      <w:pPr>
        <w:spacing w:after="0" w:line="142" w:lineRule="exact"/>
        <w:rPr>
          <w:sz w:val="20"/>
          <w:szCs w:val="20"/>
          <w:color w:val="auto"/>
        </w:rPr>
      </w:pPr>
    </w:p>
    <w:p>
      <w:pPr>
        <w:ind w:left="60" w:right="179"/>
        <w:spacing w:after="0" w:line="324" w:lineRule="auto"/>
        <w:rPr>
          <w:sz w:val="20"/>
          <w:szCs w:val="20"/>
          <w:color w:val="auto"/>
        </w:rPr>
      </w:pPr>
      <w:r>
        <w:rPr>
          <w:rFonts w:ascii="Arial" w:cs="Arial" w:eastAsia="Arial" w:hAnsi="Arial"/>
          <w:sz w:val="16"/>
          <w:szCs w:val="16"/>
          <w:color w:val="auto"/>
        </w:rPr>
        <w:t>Gross interest income that would have been recorded in the three and nine months ended September 30, 2021 and 2020, if TDRs had performed in accordance with their original terms compared with their modified terms, was insignificant.</w:t>
      </w:r>
    </w:p>
    <w:p>
      <w:pPr>
        <w:spacing w:after="0" w:line="111" w:lineRule="exact"/>
        <w:rPr>
          <w:sz w:val="20"/>
          <w:szCs w:val="20"/>
          <w:color w:val="auto"/>
        </w:rPr>
      </w:pPr>
    </w:p>
    <w:p>
      <w:pPr>
        <w:ind w:left="60" w:right="399"/>
        <w:spacing w:after="0" w:line="291" w:lineRule="auto"/>
        <w:rPr>
          <w:sz w:val="20"/>
          <w:szCs w:val="20"/>
          <w:color w:val="auto"/>
        </w:rPr>
      </w:pPr>
      <w:r>
        <w:rPr>
          <w:rFonts w:ascii="Arial" w:cs="Arial" w:eastAsia="Arial" w:hAnsi="Arial"/>
          <w:sz w:val="17"/>
          <w:szCs w:val="17"/>
          <w:color w:val="auto"/>
        </w:rPr>
        <w:t>Modified loans with payment deferrals that fall under the CARES Act or revised Interagency Statement that suspended requirements under GAAP related to TDR classification are not included in the Company’s TDR totals.</w:t>
      </w:r>
    </w:p>
    <w:p>
      <w:pPr>
        <w:spacing w:after="0" w:line="133" w:lineRule="exact"/>
        <w:rPr>
          <w:sz w:val="20"/>
          <w:szCs w:val="20"/>
          <w:color w:val="auto"/>
        </w:rPr>
      </w:pPr>
    </w:p>
    <w:p>
      <w:pPr>
        <w:ind w:left="60" w:right="599"/>
        <w:spacing w:after="0" w:line="294" w:lineRule="auto"/>
        <w:rPr>
          <w:sz w:val="20"/>
          <w:szCs w:val="20"/>
          <w:color w:val="auto"/>
        </w:rPr>
      </w:pPr>
      <w:r>
        <w:rPr>
          <w:rFonts w:ascii="Arial" w:cs="Arial" w:eastAsia="Arial" w:hAnsi="Arial"/>
          <w:sz w:val="16"/>
          <w:szCs w:val="16"/>
          <w:color w:val="auto"/>
        </w:rPr>
        <w:t>As of September 30, 2021, the Company had $0.2 million of residential real estate in the process of foreclosure. The Company follows Federal Housing Finance Agency guidelines on single-family foreclosures and real estate owned evictions on portfolio loans, as well as all COVID-19 related state foreclosure and eviction orders.</w:t>
      </w:r>
    </w:p>
    <w:p>
      <w:pPr>
        <w:spacing w:after="0" w:line="134"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following tables provide details of loans evaluated individually, segregated by category. The Company evaluates loans with disparate risk characteristics on an individual basis. The unpaid contractual principal balance represents the customer outstanding balance excluding any partial charge-offs. Amortized cost represents customer balances net of any partial charge-offs recognized on the loan. Average amortized cost is calculated using the most recent four quarters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1"/>
                <w:szCs w:val="11"/>
                <w:color w:val="auto"/>
              </w:rPr>
            </w:pPr>
          </w:p>
        </w:tc>
        <w:tc>
          <w:tcPr>
            <w:tcW w:w="82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5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with No</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Related</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Amortized</w:t>
            </w:r>
          </w:p>
        </w:tc>
      </w:tr>
      <w:tr>
        <w:trPr>
          <w:trHeight w:val="185"/>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Allowance</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with Allowance</w:t>
            </w:r>
          </w:p>
        </w:tc>
        <w:tc>
          <w:tcPr>
            <w:tcW w:w="14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on an individual basis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14,233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2,003</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8,203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10,206</w:t>
            </w:r>
          </w:p>
        </w:tc>
        <w:tc>
          <w:tcPr>
            <w:tcW w:w="1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4,450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8,945</w:t>
            </w: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6,906</w:t>
            </w: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4,630</w:t>
            </w: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12,138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20,366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20,819</w:t>
            </w:r>
          </w:p>
        </w:tc>
        <w:tc>
          <w:tcPr>
            <w:tcW w:w="2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Unpaid</w:t>
            </w:r>
          </w:p>
        </w:tc>
        <w:tc>
          <w:tcPr>
            <w:tcW w:w="8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2"/>
        </w:trPr>
        <w:tc>
          <w:tcPr>
            <w:tcW w:w="354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with No</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Related</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Amortized</w:t>
            </w:r>
          </w:p>
        </w:tc>
      </w:tr>
      <w:tr>
        <w:trPr>
          <w:trHeight w:val="185"/>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with Allowance</w:t>
            </w:r>
          </w:p>
        </w:tc>
        <w:tc>
          <w:tcPr>
            <w:tcW w:w="14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on an individual basis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16,771</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4,001</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4,371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8,372</w:t>
            </w:r>
          </w:p>
        </w:tc>
        <w:tc>
          <w:tcPr>
            <w:tcW w:w="1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7,920</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9,349</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7,439</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3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15,850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20,246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25,299</w:t>
            </w: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As of September 30, 2021, there were $15.5 million of collateral dependent loans secured by real estate or business assets.</w:t>
      </w:r>
    </w:p>
    <w:p>
      <w:pPr>
        <w:spacing w:after="0" w:line="148"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September 30, 2021, the Company expects the markets in which it operates to experience continued economic uncertainty around the levels of delinquencies over the next 12 months.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167"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 xml:space="preserve">The following tables detail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4"/>
                <w:szCs w:val="14"/>
                <w:b w:val="1"/>
                <w:bCs w:val="1"/>
                <w:color w:val="auto"/>
                <w:w w:val="93"/>
              </w:rPr>
              <w:t>As of and for the Three Months Ended September 30, 2021</w:t>
            </w:r>
          </w:p>
        </w:tc>
        <w:tc>
          <w:tcPr>
            <w:tcW w:w="72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Retail Real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24,356</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39,974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7,599</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$ 20,505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$ 95,410</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(1,503)</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(1,155)</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(1,869)</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Charged-off</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w:t>
            </w:r>
          </w:p>
        </w:tc>
      </w:tr>
      <w:tr>
        <w:trPr>
          <w:trHeight w:val="203"/>
        </w:trPr>
        <w:tc>
          <w:tcPr>
            <w:tcW w:w="36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469</w:t>
            </w:r>
          </w:p>
        </w:tc>
      </w:tr>
      <w:tr>
        <w:trPr>
          <w:trHeight w:val="196"/>
        </w:trPr>
        <w:tc>
          <w:tcPr>
            <w:tcW w:w="3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24,406</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39,831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6,121</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$ 19,352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$ 92,802</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w w:val="95"/>
              </w:rPr>
              <w:t>As of and for the Nine Months Ended September 30,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4"/>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Real 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140" w:type="dxa"/>
            <w:vAlign w:val="bottom"/>
          </w:tcPr>
          <w:p>
            <w:pPr>
              <w:spacing w:after="0"/>
              <w:rPr>
                <w:sz w:val="17"/>
                <w:szCs w:val="17"/>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23,866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46,230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$ 21,992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101,048</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 xml:space="preserve">Day 1 PCD </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(6,109)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(2,082)</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(3,028)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(10,365)</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Charged-off</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(812)</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(209)</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(315)</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(349)</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(3,711)</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1,652</w:t>
            </w:r>
          </w:p>
        </w:tc>
      </w:tr>
      <w:tr>
        <w:trPr>
          <w:trHeight w:val="196"/>
        </w:trPr>
        <w:tc>
          <w:tcPr>
            <w:tcW w:w="3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24,406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39,831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6,121</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$ 19,352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3,092</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92,802</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Day 1 PCD is attributable to the CAC acquisition.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4"/>
                <w:szCs w:val="14"/>
                <w:b w:val="1"/>
                <w:bCs w:val="1"/>
                <w:color w:val="auto"/>
                <w:w w:val="93"/>
              </w:rPr>
              <w:t>As of and for the Three Months Ended September 30, 2020</w:t>
            </w:r>
          </w:p>
        </w:tc>
        <w:tc>
          <w:tcPr>
            <w:tcW w:w="72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24,146</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42,680</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7,792</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$ 20,405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1,023</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$ 96,046</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3,703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(381)</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(383)</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5,549</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Charged-off</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(171)</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(3,397)</w:t>
            </w:r>
          </w:p>
        </w:tc>
      </w:tr>
      <w:tr>
        <w:trPr>
          <w:trHeight w:val="203"/>
        </w:trPr>
        <w:tc>
          <w:tcPr>
            <w:tcW w:w="36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643</w:t>
            </w:r>
          </w:p>
        </w:tc>
      </w:tr>
      <w:tr>
        <w:trPr>
          <w:trHeight w:val="196"/>
        </w:trPr>
        <w:tc>
          <w:tcPr>
            <w:tcW w:w="3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24,363</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45,917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7,419</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$ 20,184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$ 98,841</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99"/>
        </w:trPr>
        <w:tc>
          <w:tcPr>
            <w:tcW w:w="3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4"/>
                <w:szCs w:val="14"/>
                <w:b w:val="1"/>
                <w:bCs w:val="1"/>
                <w:color w:val="auto"/>
                <w:w w:val="94"/>
              </w:rPr>
              <w:t>As of and for the Nine Months Ended September 30, 2020</w:t>
            </w:r>
          </w:p>
        </w:tc>
        <w:tc>
          <w:tcPr>
            <w:tcW w:w="720" w:type="dxa"/>
            <w:vAlign w:val="bottom"/>
            <w:tcBorders>
              <w:bottom w:val="single" w:sz="8" w:color="auto"/>
            </w:tcBorders>
          </w:tcPr>
          <w:p>
            <w:pPr>
              <w:spacing w:after="0"/>
              <w:rPr>
                <w:sz w:val="24"/>
                <w:szCs w:val="24"/>
                <w:color w:val="auto"/>
              </w:rPr>
            </w:pPr>
          </w:p>
        </w:tc>
      </w:t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68"/>
        </w:trPr>
        <w:tc>
          <w:tcPr>
            <w:tcW w:w="36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Beginning balance, prior to adoption of</w:t>
            </w: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326-30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18,291</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$ 10,495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$ 53,748</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Adoption of ASC 326-30</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9,306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2,954</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16,833</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10,739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17,090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6,635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35,656</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Charged-off</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(1,833)</w:t>
            </w:r>
          </w:p>
        </w:tc>
        <w:tc>
          <w:tcPr>
            <w:tcW w:w="2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(1,139)</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(9,247)</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1,851</w:t>
            </w: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24,363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45,917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7,419</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$ 20,184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958</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$ 98,841</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presents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0"/>
              </w:rPr>
              <w:t>As of September 30, 2021</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Commercial</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Retail Real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Real Estate</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Construction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8"/>
              </w:rPr>
              <w:t>Retail 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ACL</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ind w:left="22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24,406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Loans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ind w:left="22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1,921,657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3,062,400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430,581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1,509,222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206,409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7,130,269</w:t>
            </w: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Loans ending balance</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1,931,863</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3,068,622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5"/>
              </w:rPr>
              <w:t>430,857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1,512,884</w:t>
            </w:r>
          </w:p>
        </w:tc>
        <w:tc>
          <w:tcPr>
            <w:tcW w:w="1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2"/>
              </w:rPr>
              <w:t>206,409</w:t>
            </w:r>
          </w:p>
        </w:tc>
        <w:tc>
          <w:tcPr>
            <w:tcW w:w="1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7,150,635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142"/>
              <w:spacing w:after="0"/>
              <w:rPr>
                <w:sz w:val="20"/>
                <w:szCs w:val="20"/>
                <w:color w:val="auto"/>
              </w:rPr>
            </w:pPr>
            <w:r>
              <w:rPr>
                <w:rFonts w:ascii="Arial" w:cs="Arial" w:eastAsia="Arial" w:hAnsi="Arial"/>
                <w:sz w:val="14"/>
                <w:szCs w:val="14"/>
                <w:b w:val="1"/>
                <w:bCs w:val="1"/>
                <w:color w:val="auto"/>
                <w:w w:val="92"/>
              </w:rPr>
              <w:t>As of December 31, 2020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w w:val="92"/>
              </w:rPr>
              <w:t>Retail Real</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Real Estate</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Construction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Estate</w:t>
            </w:r>
          </w:p>
        </w:tc>
        <w:tc>
          <w:tcPr>
            <w:tcW w:w="16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8"/>
              </w:rPr>
              <w:t>Retail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ACL</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Loans individually evaluated for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tcPr>
          <w:p>
            <w:pPr>
              <w:ind w:left="200"/>
              <w:spacing w:after="0" w:line="189" w:lineRule="exact"/>
              <w:rPr>
                <w:sz w:val="20"/>
                <w:szCs w:val="20"/>
                <w:color w:val="auto"/>
              </w:rPr>
            </w:pPr>
            <w:r>
              <w:rPr>
                <w:rFonts w:ascii="Arial" w:cs="Arial" w:eastAsia="Arial" w:hAnsi="Arial"/>
                <w:sz w:val="18"/>
                <w:szCs w:val="18"/>
                <w:color w:val="auto"/>
              </w:rPr>
              <w:t>Loans collectively evaluated for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21,967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21,992</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Loans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tcPr>
          <w:p>
            <w:pPr>
              <w:ind w:left="200"/>
              <w:spacing w:after="0" w:line="189" w:lineRule="exact"/>
              <w:rPr>
                <w:sz w:val="20"/>
                <w:szCs w:val="20"/>
                <w:color w:val="auto"/>
              </w:rPr>
            </w:pPr>
            <w:r>
              <w:rPr>
                <w:rFonts w:ascii="Arial" w:cs="Arial" w:eastAsia="Arial" w:hAnsi="Arial"/>
                <w:sz w:val="18"/>
                <w:szCs w:val="18"/>
                <w:color w:val="auto"/>
              </w:rPr>
              <w:t>Loans individually evaluated for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5,515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Loans collectively evaluated for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2,006,204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2,886,468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461,494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1,402,337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37,428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6,793,931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gridSpan w:val="2"/>
          </w:tcPr>
          <w:p>
            <w:pPr>
              <w:spacing w:after="0" w:line="196" w:lineRule="exact"/>
              <w:rPr>
                <w:sz w:val="20"/>
                <w:szCs w:val="20"/>
                <w:color w:val="auto"/>
              </w:rPr>
            </w:pPr>
            <w:r>
              <w:rPr>
                <w:rFonts w:ascii="Arial" w:cs="Arial" w:eastAsia="Arial" w:hAnsi="Arial"/>
                <w:sz w:val="18"/>
                <w:szCs w:val="18"/>
                <w:color w:val="auto"/>
              </w:rPr>
              <w:t>Loans ending balance</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9"/>
              </w:rPr>
              <w:t>2,014,576</w:t>
            </w:r>
          </w:p>
        </w:tc>
        <w:tc>
          <w:tcPr>
            <w:tcW w:w="1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2"/>
              </w:rPr>
              <w:t>2,892,535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5"/>
              </w:rPr>
              <w:t>461,786</w:t>
            </w:r>
          </w:p>
        </w:tc>
        <w:tc>
          <w:tcPr>
            <w:tcW w:w="140" w:type="dxa"/>
            <w:vAlign w:val="bottom"/>
          </w:tcPr>
          <w:p>
            <w:pPr>
              <w:spacing w:after="0"/>
              <w:rPr>
                <w:sz w:val="17"/>
                <w:szCs w:val="17"/>
                <w:color w:val="auto"/>
              </w:rPr>
            </w:pPr>
          </w:p>
        </w:tc>
        <w:tc>
          <w:tcPr>
            <w:tcW w:w="9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0"/>
              </w:rPr>
              <w:t>$ 1,407,852</w:t>
            </w:r>
          </w:p>
        </w:tc>
        <w:tc>
          <w:tcPr>
            <w:tcW w:w="16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w w:val="87"/>
              </w:rPr>
              <w:t>37,428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Note 5: Deposits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Arial" w:cs="Arial" w:eastAsia="Arial" w:hAnsi="Arial"/>
                <w:sz w:val="18"/>
                <w:szCs w:val="18"/>
                <w:color w:val="auto"/>
                <w:w w:val="94"/>
              </w:rPr>
              <w:t xml:space="preserve">The composition of deposits is as follows </w:t>
            </w:r>
            <w:r>
              <w:rPr>
                <w:rFonts w:ascii="Arial" w:cs="Arial" w:eastAsia="Arial" w:hAnsi="Arial"/>
                <w:sz w:val="18"/>
                <w:szCs w:val="18"/>
                <w:i w:val="1"/>
                <w:iCs w:val="1"/>
                <w:color w:val="auto"/>
                <w:w w:val="94"/>
              </w:rPr>
              <w:t>(dollars in thousands)</w:t>
            </w:r>
            <w:r>
              <w:rPr>
                <w:rFonts w:ascii="Arial" w:cs="Arial" w:eastAsia="Arial" w:hAnsi="Arial"/>
                <w:sz w:val="18"/>
                <w:szCs w:val="18"/>
                <w:color w:val="auto"/>
                <w:w w:val="94"/>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Deposits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89"/>
              </w:rPr>
              <w:t>Demand deposits, noninterest-bearing</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2"/>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87"/>
              </w:rPr>
              <w:t>3,453,906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2,552,039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88"/>
              </w:rPr>
              <w:t>Interest-bearing transaction deposits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2,938,109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2,263,093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6"/>
          </w:tcPr>
          <w:p>
            <w:pPr>
              <w:ind w:left="220"/>
              <w:spacing w:after="0" w:line="202" w:lineRule="exact"/>
              <w:rPr>
                <w:sz w:val="20"/>
                <w:szCs w:val="20"/>
                <w:color w:val="auto"/>
              </w:rPr>
            </w:pPr>
            <w:r>
              <w:rPr>
                <w:rFonts w:ascii="Arial" w:cs="Arial" w:eastAsia="Arial" w:hAnsi="Arial"/>
                <w:sz w:val="18"/>
                <w:szCs w:val="18"/>
                <w:color w:val="auto"/>
              </w:rPr>
              <w:t>Saving deposits and money market deposits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87"/>
              </w:rPr>
              <w:t>3,398,917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2,743,369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1,026,935</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1,119,348</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line="196" w:lineRule="exact"/>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91"/>
              </w:rPr>
              <w:t>$ 10,817,867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8,677,849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11"/>
            <w:vMerge w:val="restart"/>
          </w:tcPr>
          <w:p>
            <w:pPr>
              <w:spacing w:after="0"/>
              <w:rPr>
                <w:sz w:val="20"/>
                <w:szCs w:val="20"/>
                <w:color w:val="auto"/>
              </w:rPr>
            </w:pPr>
            <w:r>
              <w:rPr>
                <w:rFonts w:ascii="Arial" w:cs="Arial" w:eastAsia="Arial" w:hAnsi="Arial"/>
                <w:sz w:val="18"/>
                <w:szCs w:val="18"/>
                <w:color w:val="auto"/>
                <w:w w:val="94"/>
              </w:rPr>
              <w:t xml:space="preserve">Additional information about our deposits is as follows </w:t>
            </w:r>
            <w:r>
              <w:rPr>
                <w:rFonts w:ascii="Arial" w:cs="Arial" w:eastAsia="Arial" w:hAnsi="Arial"/>
                <w:sz w:val="18"/>
                <w:szCs w:val="18"/>
                <w:i w:val="1"/>
                <w:iCs w:val="1"/>
                <w:color w:val="auto"/>
                <w:w w:val="94"/>
              </w:rPr>
              <w:t>(dollars in thousands)</w:t>
            </w:r>
            <w:r>
              <w:rPr>
                <w:rFonts w:ascii="Arial" w:cs="Arial" w:eastAsia="Arial" w:hAnsi="Arial"/>
                <w:sz w:val="18"/>
                <w:szCs w:val="18"/>
                <w:color w:val="auto"/>
                <w:w w:val="94"/>
              </w:rPr>
              <w: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78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33"/>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w w:val="88"/>
              </w:rPr>
              <w:t>Brokered savings deposits and money market deposits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2,002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Brokered time deposits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9"/>
              </w:rPr>
              <w:t>264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11"/>
            <w:shd w:val="clear" w:color="auto" w:fill="CCEEFF"/>
          </w:tcPr>
          <w:p>
            <w:pPr>
              <w:spacing w:after="0" w:line="202" w:lineRule="exact"/>
              <w:rPr>
                <w:sz w:val="20"/>
                <w:szCs w:val="20"/>
                <w:color w:val="auto"/>
              </w:rPr>
            </w:pPr>
            <w:r>
              <w:rPr>
                <w:rFonts w:ascii="Arial" w:cs="Arial" w:eastAsia="Arial" w:hAnsi="Arial"/>
                <w:sz w:val="18"/>
                <w:szCs w:val="18"/>
                <w:color w:val="auto"/>
                <w:w w:val="92"/>
              </w:rPr>
              <w:t>Aggregate amount of time deposits with a minimum denomination of $100,000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504,367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gridSpan w:val="11"/>
          </w:tcPr>
          <w:p>
            <w:pPr>
              <w:spacing w:after="0" w:line="189" w:lineRule="exact"/>
              <w:rPr>
                <w:sz w:val="20"/>
                <w:szCs w:val="20"/>
                <w:color w:val="auto"/>
              </w:rPr>
            </w:pPr>
            <w:r>
              <w:rPr>
                <w:rFonts w:ascii="Arial" w:cs="Arial" w:eastAsia="Arial" w:hAnsi="Arial"/>
                <w:sz w:val="18"/>
                <w:szCs w:val="18"/>
                <w:color w:val="auto"/>
                <w:w w:val="91"/>
              </w:rPr>
              <w:t>Aggregate amount of time deposits with a minimum denomination that meets or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6"/>
          </w:tcPr>
          <w:p>
            <w:pPr>
              <w:spacing w:after="0"/>
              <w:rPr>
                <w:sz w:val="20"/>
                <w:szCs w:val="20"/>
                <w:color w:val="auto"/>
              </w:rPr>
            </w:pPr>
            <w:r>
              <w:rPr>
                <w:rFonts w:ascii="Arial" w:cs="Arial" w:eastAsia="Arial" w:hAnsi="Arial"/>
                <w:sz w:val="18"/>
                <w:szCs w:val="18"/>
                <w:color w:val="auto"/>
              </w:rPr>
              <w:t>exceeds the FDIC insurance limit of $250,000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156,419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of September 30, 2021,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15240</wp:posOffset>
            </wp:positionV>
            <wp:extent cx="660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5" w:lineRule="exact"/>
        <w:rPr>
          <w:sz w:val="20"/>
          <w:szCs w:val="20"/>
          <w:color w:val="auto"/>
        </w:rPr>
      </w:pPr>
    </w:p>
    <w:p>
      <w:pPr>
        <w:ind w:left="7980"/>
        <w:spacing w:after="0"/>
        <w:rPr>
          <w:sz w:val="20"/>
          <w:szCs w:val="20"/>
          <w:color w:val="auto"/>
        </w:rPr>
      </w:pPr>
      <w:r>
        <w:rPr>
          <w:rFonts w:ascii="Arial" w:cs="Arial" w:eastAsia="Arial" w:hAnsi="Arial"/>
          <w:sz w:val="12"/>
          <w:szCs w:val="12"/>
          <w:b w:val="1"/>
          <w:bCs w:val="1"/>
          <w:color w:val="auto"/>
        </w:rPr>
        <w:t>September 30,</w:t>
      </w:r>
    </w:p>
    <w:p>
      <w:pPr>
        <w:spacing w:after="0" w:line="29"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Time deposits by schedule of maturities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October 1, 2021 –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564896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October 1, 2022 – September 30, 2023</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October 1, 2023 –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564896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October 1, 2024 – September 30, 2025</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October 1, 2025 –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564896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Thereafter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time deposits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0" w:hanging="393"/>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719,932</w:t>
      </w:r>
    </w:p>
    <w:p>
      <w:pPr>
        <w:spacing w:after="0" w:line="34"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188,639</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85,339</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20,008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12,280</w:t>
      </w:r>
    </w:p>
    <w:p>
      <w:pPr>
        <w:spacing w:after="0" w:line="1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60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1,026,935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60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7180" w:space="720"/>
            <w:col w:w="1119"/>
          </w:cols>
          <w:pgMar w:left="1440" w:top="513" w:right="1440" w:bottom="1440" w:gutter="0" w:footer="0" w:header="0"/>
          <w:type w:val="continuous"/>
        </w:sectPr>
      </w:pPr>
    </w:p>
    <w:p>
      <w:pPr>
        <w:spacing w:after="0" w:line="2"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240" w:type="dxa"/>
            <w:vAlign w:val="bottom"/>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40" w:type="dxa"/>
            <w:vAlign w:val="bottom"/>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1"/>
                <w:szCs w:val="11"/>
                <w:color w:val="auto"/>
              </w:rPr>
            </w:pPr>
          </w:p>
        </w:tc>
      </w:tr>
      <w:tr>
        <w:trPr>
          <w:trHeight w:val="185"/>
        </w:trPr>
        <w:tc>
          <w:tcPr>
            <w:tcW w:w="6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Securities sold under agreements to repurchase</w:t>
            </w:r>
          </w:p>
        </w:tc>
        <w:tc>
          <w:tcPr>
            <w:tcW w:w="24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241,242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175,614</w:t>
            </w:r>
          </w:p>
        </w:tc>
        <w:tc>
          <w:tcPr>
            <w:tcW w:w="180" w:type="dxa"/>
            <w:vAlign w:val="bottom"/>
            <w:shd w:val="clear" w:color="auto" w:fill="CCEEFF"/>
          </w:tcPr>
          <w:p>
            <w:pPr>
              <w:spacing w:after="0"/>
              <w:rPr>
                <w:sz w:val="17"/>
                <w:szCs w:val="17"/>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0.13 %</w:t>
            </w:r>
          </w:p>
        </w:tc>
      </w:tr>
    </w:tbl>
    <w:p>
      <w:pPr>
        <w:spacing w:after="0" w:line="160"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have an annual interest rate of 1.75% plus the one-month LIBOR rate. Proceeds of the term loan were used to fund a part of the cash portion of the merger consideration related to the acquisition of CAC and for general corporate purposes. The revolving credit facility incurs a non-usage fee based on any undrawn amounts. As of September 30, 2021, there was no balance outstanding on the revolving credit facility and a total of $57.0 million outstanding on the term loan.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Short-term borrowings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Short-term borrowings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8"/>
        </w:trPr>
        <w:tc>
          <w:tcPr>
            <w:tcW w:w="6580" w:type="dxa"/>
            <w:vAlign w:val="bottom"/>
          </w:tcPr>
          <w:p>
            <w:pPr>
              <w:ind w:left="220"/>
              <w:spacing w:after="0" w:line="189" w:lineRule="exact"/>
              <w:rPr>
                <w:sz w:val="20"/>
                <w:szCs w:val="20"/>
                <w:color w:val="auto"/>
              </w:rPr>
            </w:pPr>
            <w:r>
              <w:rPr>
                <w:rFonts w:ascii="Arial" w:cs="Arial" w:eastAsia="Arial" w:hAnsi="Arial"/>
                <w:sz w:val="18"/>
                <w:szCs w:val="18"/>
                <w:color w:val="auto"/>
              </w:rPr>
              <w:t>FHLB advances maturing in less than one year from date of origination, and the</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6580" w:type="dxa"/>
            <w:vAlign w:val="bottom"/>
          </w:tcPr>
          <w:p>
            <w:pPr>
              <w:ind w:left="220"/>
              <w:spacing w:after="0"/>
              <w:rPr>
                <w:sz w:val="20"/>
                <w:szCs w:val="20"/>
                <w:color w:val="auto"/>
              </w:rPr>
            </w:pPr>
            <w:r>
              <w:rPr>
                <w:rFonts w:ascii="Arial" w:cs="Arial" w:eastAsia="Arial" w:hAnsi="Arial"/>
                <w:sz w:val="18"/>
                <w:szCs w:val="18"/>
                <w:color w:val="auto"/>
              </w:rPr>
              <w:t>current portion of long-term FHLB advances due within 12 months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 Loan, current portion due within 12 months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17,673</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4,658</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as of September 30, 2021 or December 31, 2020.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8"/>
        </w:trPr>
        <w:tc>
          <w:tcPr>
            <w:tcW w:w="6440" w:type="dxa"/>
            <w:vAlign w:val="bottom"/>
          </w:tcPr>
          <w:p>
            <w:pPr>
              <w:ind w:left="220"/>
              <w:spacing w:after="0" w:line="189" w:lineRule="exact"/>
              <w:rPr>
                <w:sz w:val="20"/>
                <w:szCs w:val="20"/>
                <w:color w:val="auto"/>
              </w:rPr>
            </w:pPr>
            <w:r>
              <w:rPr>
                <w:rFonts w:ascii="Arial" w:cs="Arial" w:eastAsia="Arial" w:hAnsi="Arial"/>
                <w:sz w:val="18"/>
                <w:szCs w:val="18"/>
                <w:color w:val="auto"/>
                <w:w w:val="94"/>
              </w:rPr>
              <w:t>Notes payable, FHLB, original maturity of 5 years, collateralized by FHLB deposits,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residential and commercial real estate loans and FHLB stock</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4,233</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4,757</w:t>
            </w:r>
          </w:p>
        </w:tc>
      </w:tr>
      <w:tr>
        <w:trPr>
          <w:trHeight w:val="203"/>
        </w:trPr>
        <w:tc>
          <w:tcPr>
            <w:tcW w:w="6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45,000</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49,233</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4,757</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As of September 30, 2021, and December 31, 2020, funds borrowed from the FHLB, listed above, consisted of one variable-rate note maturing May 2023, with an interest rate of 3.04%.</w:t>
      </w:r>
    </w:p>
    <w:p>
      <w:pPr>
        <w:spacing w:after="0" w:line="15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7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80"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debt issuance costs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Senior notes issued in 2017</w:t>
            </w: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Subordinated notes issued in 2017</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r>
      <w:tr>
        <w:trPr>
          <w:trHeight w:val="203"/>
        </w:trPr>
        <w:tc>
          <w:tcPr>
            <w:tcW w:w="65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Subordinated notes issued in 2020</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1,788</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w:t>
            </w:r>
          </w:p>
        </w:tc>
      </w:tr>
      <w:tr>
        <w:trPr>
          <w:trHeight w:val="19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unamortized debt issuance costs</w:t>
            </w: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2,453</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2,965</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its subsidiary bank are subject to various regulatory capital requirements administered by federal banking agencies. Failure to meet minimum capital requirements can initiate certain mandatory – and possibly additional discretionary – 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color w:val="auto"/>
        </w:rPr>
        <w:t>Banking regulations identify five capital categories for insured depository institutions: well capitalized, adequately capitalized, undercapitalized, significantly undercapitalized, and critically undercapitalized. As of September 30, 2021, and December 31, 2020, all capital ratios of the Company and its subsidiary bank exceeded well capitalized levels under the applicable regulatory capital adequacy guidelines. Management believes that no events or changes have occurred subsequent to September 30, 2021, that would change this designation.</w:t>
      </w:r>
    </w:p>
    <w:p>
      <w:pPr>
        <w:spacing w:after="0" w:line="160"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the adjusted transition amounts will be phased-in for regulatory capital purposes at a rate of 25 percent per year, with the phased-in amounts included in regulatory capital at the beginning of each year.</w:t>
      </w:r>
    </w:p>
    <w:p>
      <w:pPr>
        <w:spacing w:after="0" w:line="170"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 xml:space="preserve">The following tables summarize regulatory capital requirements applicable to the holding company its subsidiary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236"/>
              <w:spacing w:after="0" w:line="133" w:lineRule="exact"/>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rPr>
              <w:t>Minimum</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Capital Requirement</w:t>
            </w:r>
          </w:p>
        </w:tc>
        <w:tc>
          <w:tcPr>
            <w:tcW w:w="140" w:type="dxa"/>
            <w:vAlign w:val="bottom"/>
          </w:tcPr>
          <w:p>
            <w:pPr>
              <w:spacing w:after="0"/>
              <w:rPr>
                <w:sz w:val="16"/>
                <w:szCs w:val="16"/>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Capitalized</w:t>
            </w:r>
          </w:p>
        </w:tc>
      </w:tr>
      <w:tr>
        <w:trPr>
          <w:trHeight w:val="156"/>
        </w:trPr>
        <w:tc>
          <w:tcPr>
            <w:tcW w:w="3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80" w:type="dxa"/>
            <w:vAlign w:val="bottom"/>
            <w:gridSpan w:val="2"/>
          </w:tcPr>
          <w:p>
            <w:pPr>
              <w:spacing w:after="0"/>
              <w:rPr>
                <w:sz w:val="13"/>
                <w:szCs w:val="13"/>
                <w:color w:val="auto"/>
              </w:rPr>
            </w:pPr>
          </w:p>
        </w:tc>
      </w:tr>
      <w:tr>
        <w:trPr>
          <w:trHeight w:val="196"/>
        </w:trPr>
        <w:tc>
          <w:tcPr>
            <w:tcW w:w="3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Capital (to Risk Weighted Assets)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1,313,989</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15.91 %</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660,850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826,062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1,306,293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15.87 %</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658,612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823,265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1,060,756</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12.84 %</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495,637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660,850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1,238,060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15.04 %</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493,959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658,612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44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4"/>
              </w:rPr>
              <w:t>Common Equity Tier 1 Capital (to Risk Weighted Assets)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986,756</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11.95 %</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371,728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536,940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2"/>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1,238,060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15.04 %</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370,469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535,123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Average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1,060,756</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8.60 %</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493,201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tcPr>
          <w:p>
            <w:pPr>
              <w:spacing w:after="0"/>
              <w:rPr>
                <w:sz w:val="17"/>
                <w:szCs w:val="17"/>
                <w:color w:val="auto"/>
              </w:rPr>
            </w:pPr>
          </w:p>
        </w:tc>
        <w:tc>
          <w:tcPr>
            <w:tcW w:w="9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1,238,060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10.06 %</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492,170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615,212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c>
          <w:tcPr>
            <w:tcW w:w="20" w:type="dxa"/>
            <w:vAlign w:val="bottom"/>
          </w:tcPr>
          <w:p>
            <w:pPr>
              <w:spacing w:after="0"/>
              <w:rPr>
                <w:sz w:val="17"/>
                <w:szCs w:val="17"/>
                <w:color w:val="auto"/>
              </w:rPr>
            </w:pPr>
          </w:p>
        </w:tc>
      </w:tr>
      <w:tr>
        <w:trPr>
          <w:trHeight w:val="85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center"/>
              <w:ind w:left="236"/>
              <w:spacing w:after="0" w:line="133" w:lineRule="exact"/>
              <w:rPr>
                <w:sz w:val="20"/>
                <w:szCs w:val="20"/>
                <w:color w:val="auto"/>
              </w:rPr>
            </w:pPr>
            <w:r>
              <w:rPr>
                <w:rFonts w:ascii="Arial" w:cs="Arial" w:eastAsia="Arial" w:hAnsi="Arial"/>
                <w:sz w:val="14"/>
                <w:szCs w:val="14"/>
                <w:b w:val="1"/>
                <w:bCs w:val="1"/>
                <w:color w:val="auto"/>
                <w:w w:val="97"/>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8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Capital Requirement</w:t>
            </w:r>
          </w:p>
        </w:tc>
        <w:tc>
          <w:tcPr>
            <w:tcW w:w="14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Capitalized</w:t>
            </w:r>
          </w:p>
        </w:tc>
      </w:tr>
      <w:tr>
        <w:trPr>
          <w:trHeight w:val="155"/>
        </w:trPr>
        <w:tc>
          <w:tcPr>
            <w:tcW w:w="3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Ratio</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3"/>
                <w:szCs w:val="13"/>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Capital (to Risk Weighted Assets)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1,245,997</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17.04 %</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585,015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731,269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1,131,875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15.50 %</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584,082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730,103</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983,033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13.44 %</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438,761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585,015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14.44 %</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438,062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584,082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44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5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rPr>
              <w:t>Common Equity Tier 1 Capital (to Risk Weighted Assets)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909,033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12.43 %</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329,071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475,325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14.44 %</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328,546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474,567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Average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983,033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9.79 %</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401,717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tcPr>
          <w:p>
            <w:pPr>
              <w:spacing w:after="0"/>
              <w:rPr>
                <w:sz w:val="17"/>
                <w:szCs w:val="17"/>
                <w:color w:val="auto"/>
              </w:rPr>
            </w:pPr>
          </w:p>
        </w:tc>
        <w:tc>
          <w:tcPr>
            <w:tcW w:w="9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10.52 %</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400,581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500,727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r>
    </w:tbl>
    <w:p>
      <w:pPr>
        <w:spacing w:after="0" w:line="188"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total capital to risk-weighted assets of at least 10.50%, (ii) Tier 1 Capital to risk-weighted assets of at least 8.50%, and (iii) Common Equity Tier 1 to risk-weighted assets of at least 7.00%.</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Employee Benefit Plans</w:t>
      </w:r>
    </w:p>
    <w:p>
      <w:pPr>
        <w:spacing w:after="0" w:line="202"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The First Busey Corporation 2021 Employee Stock Purchase Plan was approved at the Company’s 2021 Annual Meeting of Stockholders and details can be found within First Busey’s Definitive Proxy Statement filed with the SEC on April 8, 2021. The first offering under this plan began on July 1, 2021. There were 585,342 shares available for issuance under the 2021 Employee Stock Purchase Plan as of September 30,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additional information related to the Company’s employee benefit plans, see the Company’s 2020 Annual Report.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Stock-Based Compensation</w:t>
      </w:r>
    </w:p>
    <w:p>
      <w:pPr>
        <w:spacing w:after="0" w:line="20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Under the terms of the 2020 Equity Plan, the Company has granted RSU, DSU, and PSU awards. The Company grants RSUs to members of management periodically throughout the year. Each RSU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76" w:lineRule="exact"/>
        <w:rPr>
          <w:sz w:val="20"/>
          <w:szCs w:val="20"/>
          <w:color w:val="auto"/>
        </w:rPr>
      </w:pPr>
    </w:p>
    <w:p>
      <w:pPr>
        <w:ind w:left="60" w:right="219"/>
        <w:spacing w:after="0" w:line="284" w:lineRule="auto"/>
        <w:rPr>
          <w:sz w:val="20"/>
          <w:szCs w:val="20"/>
          <w:color w:val="auto"/>
        </w:rPr>
      </w:pPr>
      <w:r>
        <w:rPr>
          <w:rFonts w:ascii="Arial" w:cs="Arial" w:eastAsia="Arial" w:hAnsi="Arial"/>
          <w:sz w:val="16"/>
          <w:szCs w:val="16"/>
          <w:color w:val="auto"/>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879"/>
        <w:spacing w:after="0" w:line="261" w:lineRule="auto"/>
        <w:rPr>
          <w:sz w:val="20"/>
          <w:szCs w:val="20"/>
          <w:color w:val="auto"/>
        </w:rPr>
      </w:pPr>
      <w:r>
        <w:rPr>
          <w:rFonts w:ascii="Arial" w:cs="Arial" w:eastAsia="Arial" w:hAnsi="Arial"/>
          <w:sz w:val="18"/>
          <w:szCs w:val="18"/>
          <w:color w:val="auto"/>
        </w:rPr>
        <w:t>change in control of the Company. After vesting and prior to delivery, these units will continue to earn dividend equivalents.</w:t>
      </w:r>
    </w:p>
    <w:p>
      <w:pPr>
        <w:spacing w:after="0" w:line="157"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vesting/delivery, shares are expected (though not required) to be issued from treasury.</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2021 follows: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period</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39,085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Expired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period</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31,606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end of period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31,606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color w:val="auto"/>
        </w:rPr>
        <w:t>The Company did not record any stock option compensation expense for the three or nine months ended September 30, 2021, or 2020. As of September 30, 2021, the Company did not have any unrecognized stock option expense.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Performance-Based Restricted Stock Unit, and Deferred Stock Unit Awards</w:t>
      </w:r>
    </w:p>
    <w:p>
      <w:pPr>
        <w:spacing w:after="0" w:line="198"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A summary of changes in the Company’s RSU, PSU, and DSU awards for the nine months ended September 30, 2021, is as follows: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rPr>
              <w:t>RSU Awards</w:t>
            </w:r>
          </w:p>
        </w:tc>
        <w:tc>
          <w:tcPr>
            <w:tcW w:w="1760" w:type="dxa"/>
            <w:vAlign w:val="bottom"/>
            <w:gridSpan w:val="5"/>
          </w:tcPr>
          <w:p>
            <w:pPr>
              <w:ind w:left="400"/>
              <w:spacing w:after="0"/>
              <w:rPr>
                <w:sz w:val="20"/>
                <w:szCs w:val="20"/>
                <w:color w:val="auto"/>
              </w:rPr>
            </w:pPr>
            <w:r>
              <w:rPr>
                <w:rFonts w:ascii="Arial" w:cs="Arial" w:eastAsia="Arial" w:hAnsi="Arial"/>
                <w:sz w:val="14"/>
                <w:szCs w:val="14"/>
                <w:b w:val="1"/>
                <w:bCs w:val="1"/>
                <w:color w:val="auto"/>
              </w:rPr>
              <w:t>PSU Awards</w:t>
            </w:r>
          </w:p>
        </w:tc>
        <w:tc>
          <w:tcPr>
            <w:tcW w:w="15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DSU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xml:space="preserve">Shares </w:t>
            </w:r>
            <w:r>
              <w:rPr>
                <w:rFonts w:ascii="Arial" w:cs="Arial" w:eastAsia="Arial" w:hAnsi="Arial"/>
                <w:sz w:val="21"/>
                <w:szCs w:val="21"/>
                <w:color w:val="auto"/>
                <w:w w:val="91"/>
                <w:vertAlign w:val="superscript"/>
              </w:rPr>
              <w:t>(1)</w:t>
            </w: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beginning of period</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1,017,038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34,263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260,231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24.26</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99,159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23.91</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35,664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 equivalents earned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(128,824)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22.88</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(39,813)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(29,883)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24.88</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680" w:type="dxa"/>
            <w:vAlign w:val="bottom"/>
            <w:gridSpan w:val="2"/>
          </w:tcPr>
          <w:p>
            <w:pPr>
              <w:spacing w:after="0" w:line="196" w:lineRule="exact"/>
              <w:rPr>
                <w:sz w:val="20"/>
                <w:szCs w:val="20"/>
                <w:color w:val="auto"/>
              </w:rPr>
            </w:pPr>
            <w:r>
              <w:rPr>
                <w:rFonts w:ascii="Arial" w:cs="Arial" w:eastAsia="Arial" w:hAnsi="Arial"/>
                <w:sz w:val="18"/>
                <w:szCs w:val="18"/>
                <w:color w:val="auto"/>
              </w:rPr>
              <w:t>Nonvested at end of period</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1,151,950</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24.02</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113,915</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22.86</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33,830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Vested and outstanding at end of period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96,427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9" w:lineRule="exact"/>
        <w:rPr>
          <w:sz w:val="20"/>
          <w:szCs w:val="20"/>
          <w:color w:val="auto"/>
        </w:rPr>
      </w:pP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Shares for PSU awards represent target shares at grant date.</w:t>
      </w:r>
    </w:p>
    <w:p>
      <w:pPr>
        <w:spacing w:after="0" w:line="208" w:lineRule="exact"/>
        <w:rPr>
          <w:sz w:val="20"/>
          <w:szCs w:val="20"/>
          <w:color w:val="auto"/>
        </w:rPr>
      </w:pPr>
    </w:p>
    <w:p>
      <w:pPr>
        <w:ind w:left="60" w:right="319"/>
        <w:spacing w:after="0" w:line="294" w:lineRule="auto"/>
        <w:rPr>
          <w:sz w:val="20"/>
          <w:szCs w:val="20"/>
          <w:color w:val="auto"/>
        </w:rPr>
      </w:pPr>
      <w:r>
        <w:rPr>
          <w:rFonts w:ascii="Arial" w:cs="Arial" w:eastAsia="Arial" w:hAnsi="Arial"/>
          <w:sz w:val="16"/>
          <w:szCs w:val="16"/>
          <w:color w:val="auto"/>
        </w:rPr>
        <w:t>On March 24, 2021, under the terms of the 2020 Equity Plan, the Company granted 212,426 RSUs to members of management, including the Vice-Chairman of the Board. The grant date fair value of the award totaled $5.2 million and will be recognized as compensation expense over the requisite service period ranging from one year to five years.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terms of these awards included an accelerated vesting provision upon eligible retirement from the Company, after a one-year minimum requisite service period. Subsequent to the requisite service period, the awards will become 100% vested. Further, the Company granted 33,288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60"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During the first quarter of 2021, the Company also granted a target of 70,815 market-based PSUs with a maximum award of 113,304 units. The actual number of units issued at the vesting date could range from 0% to 160% of the initial grant, depending on attaining the market-based total shareholder return performance goal. The grant date fair value of the award was $1.7 million and will be recognized in compensation expense over the performance period ending December 31, 2023.</w:t>
      </w:r>
    </w:p>
    <w:p>
      <w:pPr>
        <w:spacing w:after="0" w:line="142"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color w:val="auto"/>
        </w:rPr>
        <w:t>Further, during the first quarter of 2021, the Company granted a target of 28,344 PSUs with a maximum award of 39,682 units. The actual number of units issued at the vesting date could range from 0% to 140% of the initial grant, depending on attaining a performance goal based upon the compounded annual revenue growth rate of the Remittance Processing segment. The grant date fair value of the award is $0.7 million and will be recognized in compensation expense over the performance period ending August 31, 2023, subject to achievement of the performance goal.</w:t>
      </w:r>
    </w:p>
    <w:p>
      <w:pPr>
        <w:spacing w:after="0" w:line="146"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On May 19, 2021, under the terms of the 2020 Equity Plan, the Company granted 2,376 DSUs to directors. The grant date fair value of the award totaled $0.1 million and will be recognized as compensation expense over the requisite service period of one year. Subsequent to the requisite service period, the awards will become 100% vested.</w:t>
      </w:r>
    </w:p>
    <w:p>
      <w:pPr>
        <w:spacing w:after="0" w:line="150"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On September 22, 2021, under the terms of the 2020 Equity Plan, the Company granted 47,805 RSUs to members of management. The grant date fair value of the award totaled $1.1 million and will be recognized as compensation expense over the requisite service period ranging from three year to five years. Subsequent to the requisite service period, the awards will become 100% vested.</w:t>
      </w:r>
    </w:p>
    <w:p>
      <w:pPr>
        <w:spacing w:after="0" w:line="174"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 xml:space="preserve">Stock-based compensation expense related to nonvested RSU, PSU, and DSU awards is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5"/>
        </w:trPr>
        <w:tc>
          <w:tcPr>
            <w:tcW w:w="42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Stock-based compensation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1,316</w:t>
            </w:r>
          </w:p>
        </w:tc>
        <w:tc>
          <w:tcPr>
            <w:tcW w:w="1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16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4,362</w:t>
            </w:r>
          </w:p>
        </w:tc>
        <w:tc>
          <w:tcPr>
            <w:tcW w:w="2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3,952</w:t>
            </w: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42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DSU awards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196"/>
        </w:trPr>
        <w:tc>
          <w:tcPr>
            <w:tcW w:w="4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1,837</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2,205</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4,413</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 xml:space="preserve">Unamortized stock-based compensation expense related to nonvested RSU, PSU, and DSU awards is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64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1"/>
                <w:szCs w:val="1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11,650</w:t>
            </w:r>
          </w:p>
        </w:tc>
        <w:tc>
          <w:tcPr>
            <w:tcW w:w="220" w:type="dxa"/>
            <w:vAlign w:val="bottom"/>
          </w:tcPr>
          <w:p>
            <w:pPr>
              <w:spacing w:after="0"/>
              <w:rPr>
                <w:sz w:val="17"/>
                <w:szCs w:val="17"/>
                <w:color w:val="auto"/>
              </w:rPr>
            </w:pP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10,411</w:t>
            </w:r>
          </w:p>
        </w:tc>
        <w:tc>
          <w:tcPr>
            <w:tcW w:w="24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DSU awards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240" w:type="dxa"/>
            <w:vAlign w:val="bottom"/>
            <w:tcBorders>
              <w:bottom w:val="single" w:sz="8" w:color="CCEEFF"/>
            </w:tcBorders>
          </w:tcPr>
          <w:p>
            <w:pPr>
              <w:spacing w:after="0"/>
              <w:rPr>
                <w:sz w:val="17"/>
                <w:szCs w:val="17"/>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unamortized stock-based compensation</w:t>
            </w: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13,634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period over which expense is to be recognized</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88"/>
              </w:rPr>
              <w:t>3.0 yrs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92"/>
              </w:rPr>
              <w:t>3.0 yrs</w:t>
            </w:r>
          </w:p>
        </w:tc>
      </w:tr>
    </w:tbl>
    <w:p>
      <w:pPr>
        <w:spacing w:after="0" w:line="188" w:lineRule="exact"/>
        <w:rPr>
          <w:sz w:val="20"/>
          <w:szCs w:val="20"/>
          <w:color w:val="auto"/>
        </w:rPr>
      </w:pPr>
    </w:p>
    <w:p>
      <w:pPr>
        <w:ind w:left="60" w:right="999"/>
        <w:spacing w:after="0" w:line="261" w:lineRule="auto"/>
        <w:rPr>
          <w:sz w:val="20"/>
          <w:szCs w:val="20"/>
          <w:color w:val="auto"/>
        </w:rPr>
      </w:pPr>
      <w:r>
        <w:rPr>
          <w:rFonts w:ascii="Arial" w:cs="Arial" w:eastAsia="Arial" w:hAnsi="Arial"/>
          <w:sz w:val="18"/>
          <w:szCs w:val="18"/>
          <w:color w:val="auto"/>
        </w:rPr>
        <w:t>There were 1,038,975 shares remaining available for issuance pursuant to the 2020 Equity Incentive Plan as of September 30,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Outstanding Commitments and Contingent Liabilities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98"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r>
      <w:tr>
        <w:trPr>
          <w:trHeight w:val="133"/>
        </w:trPr>
        <w:tc>
          <w:tcPr>
            <w:tcW w:w="5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5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instruments whose contract amounts represent credit risk</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Commitments to extend credit</w:t>
            </w:r>
          </w:p>
        </w:tc>
        <w:tc>
          <w:tcPr>
            <w:tcW w:w="8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1,836,815</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1,754,370</w:t>
            </w: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Standby letters of credit</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38,329</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38,937</w:t>
            </w:r>
          </w:p>
        </w:tc>
      </w:tr>
      <w:tr>
        <w:trPr>
          <w:trHeight w:val="196"/>
        </w:trPr>
        <w:tc>
          <w:tcPr>
            <w:tcW w:w="5880" w:type="dxa"/>
            <w:vAlign w:val="bottom"/>
          </w:tcPr>
          <w:p>
            <w:pPr>
              <w:spacing w:after="0" w:line="196" w:lineRule="exact"/>
              <w:rPr>
                <w:sz w:val="20"/>
                <w:szCs w:val="20"/>
                <w:color w:val="auto"/>
              </w:rPr>
            </w:pPr>
            <w:r>
              <w:rPr>
                <w:rFonts w:ascii="Arial" w:cs="Arial" w:eastAsia="Arial" w:hAnsi="Arial"/>
                <w:sz w:val="18"/>
                <w:szCs w:val="18"/>
                <w:color w:val="auto"/>
              </w:rPr>
              <w:t>Total commitments</w:t>
            </w:r>
          </w:p>
        </w:tc>
        <w:tc>
          <w:tcPr>
            <w:tcW w:w="7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7"/>
              </w:rPr>
              <w:t>1,875,144</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1,793,307</w:t>
            </w:r>
          </w:p>
        </w:tc>
      </w:tr>
      <w:tr>
        <w:trPr>
          <w:trHeight w:val="20"/>
        </w:trPr>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02" w:lineRule="exact"/>
        <w:rPr>
          <w:sz w:val="20"/>
          <w:szCs w:val="20"/>
          <w:color w:val="auto"/>
        </w:rPr>
      </w:pPr>
    </w:p>
    <w:p>
      <w:pPr>
        <w:jc w:val="both"/>
        <w:ind w:left="60" w:right="25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6"/>
          <w:szCs w:val="16"/>
          <w:i w:val="1"/>
          <w:iCs w:val="1"/>
          <w:color w:val="auto"/>
        </w:rPr>
        <w:t>Note 12:</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further discussion of the fair value measurement of such derivatives.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Designated as Cash Flow Hedges</w:t>
      </w:r>
    </w:p>
    <w:p>
      <w:pPr>
        <w:spacing w:after="0" w:line="19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other comprehensive income (loss) and reclassified into earnings in the same period or periods during which the hedged transaction affects earnings. The change in fair value of components excluded from the assessment of effectiveness are recognized in current earnings.</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Interest rate swaps with notional amounts totaling $50.0 million as of September 30, 2021, and $70.0 million as of December 31, 2020, were designated as cash flow hedges to hedge the risk of variability in cash flows (future interest payments) attributable to changes in the contractually specified 3-month LIBOR benchmark interest rate on the Company’s junior subordinated debt owed to unconsolidated trusts and were determined to be highly effective during the period. A $20.0 million swap matured on September 17, 2021, and the Company has one remaining swap. The gross aggregate fair value of the swaps of $1.7 million as of September 30, 2021, and $3.1 million as of December 31, 2020, is recorded in other liabilities in the unaudited Consolidated Balance Sheets, with changes in fair value recorded net of tax in other comprehensive income (loss). The Company expects its hedge to remain highly effective during the remaining term of the swap.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center"/>
        <w:ind w:right="32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the interest-rate swaps designated as cash flow hedges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6380" w:type="dxa"/>
            <w:vAlign w:val="bottom"/>
          </w:tcPr>
          <w:p>
            <w:pPr>
              <w:spacing w:after="0"/>
              <w:rPr>
                <w:sz w:val="11"/>
                <w:szCs w:val="11"/>
                <w:color w:val="auto"/>
              </w:rPr>
            </w:pPr>
          </w:p>
        </w:tc>
        <w:tc>
          <w:tcPr>
            <w:tcW w:w="1260" w:type="dxa"/>
            <w:vAlign w:val="bottom"/>
            <w:gridSpan w:val="3"/>
          </w:tcPr>
          <w:p>
            <w:pPr>
              <w:jc w:val="right"/>
              <w:ind w:right="34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1"/>
                <w:szCs w:val="11"/>
                <w:color w:val="auto"/>
              </w:rPr>
            </w:pPr>
          </w:p>
        </w:tc>
        <w:tc>
          <w:tcPr>
            <w:tcW w:w="98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1"/>
                <w:szCs w:val="11"/>
                <w:color w:val="auto"/>
              </w:rPr>
            </w:pPr>
          </w:p>
        </w:tc>
      </w:tr>
      <w:tr>
        <w:trPr>
          <w:trHeight w:val="185"/>
        </w:trPr>
        <w:tc>
          <w:tcPr>
            <w:tcW w:w="6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Notional amount</w:t>
            </w: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7"/>
                <w:szCs w:val="17"/>
                <w:color w:val="auto"/>
              </w:rPr>
            </w:pPr>
          </w:p>
        </w:tc>
      </w:tr>
      <w:tr>
        <w:trPr>
          <w:trHeight w:val="202"/>
        </w:trPr>
        <w:tc>
          <w:tcPr>
            <w:tcW w:w="6380" w:type="dxa"/>
            <w:vAlign w:val="bottom"/>
          </w:tcPr>
          <w:p>
            <w:pPr>
              <w:spacing w:after="0" w:line="202" w:lineRule="exact"/>
              <w:rPr>
                <w:sz w:val="20"/>
                <w:szCs w:val="20"/>
                <w:color w:val="auto"/>
              </w:rPr>
            </w:pPr>
            <w:r>
              <w:rPr>
                <w:rFonts w:ascii="Arial" w:cs="Arial" w:eastAsia="Arial" w:hAnsi="Arial"/>
                <w:sz w:val="18"/>
                <w:szCs w:val="18"/>
                <w:color w:val="auto"/>
              </w:rPr>
              <w:t>Weighted average fixed pay rates</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1.79 %</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1.80 %</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variable 3-month LIBOR receive rates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0.12 %</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0.22 %</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Weighted average maturity, in years</w:t>
            </w:r>
          </w:p>
        </w:tc>
        <w:tc>
          <w:tcPr>
            <w:tcW w:w="2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2.96 yrs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2.85 yrs</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 (losses), net of tax</w:t>
            </w: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(2,184)</w:t>
            </w:r>
          </w:p>
        </w:tc>
        <w:tc>
          <w:tcPr>
            <w:tcW w:w="24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60" w:right="400"/>
        <w:spacing w:after="0" w:line="279" w:lineRule="auto"/>
        <w:rPr>
          <w:sz w:val="20"/>
          <w:szCs w:val="20"/>
          <w:color w:val="auto"/>
        </w:rPr>
      </w:pPr>
      <w:r>
        <w:rPr>
          <w:rFonts w:ascii="Arial" w:cs="Arial" w:eastAsia="Arial" w:hAnsi="Arial"/>
          <w:sz w:val="16"/>
          <w:szCs w:val="16"/>
          <w:color w:val="auto"/>
        </w:rPr>
        <w:t>Interest expense recorded on these swap transactions was $0.3 million and $0.9 million during the three and nine months ended September 30, 2021, respectively, and was $0.3 million and $0.5 million during the three and nine months ended September 30, 2020, respectively. The Company expects $0.2 million of the unrealized loss to be reclassified from OCI to interest expense during the next three months. This reclassified amount could differ from amounts actually recognized due to changes in interest rates, hedge de-designations, and the addition of other hedges subsequent to September 30, 2021.</w:t>
      </w:r>
    </w:p>
    <w:p>
      <w:pPr>
        <w:spacing w:after="0" w:line="146" w:lineRule="exact"/>
        <w:rPr>
          <w:sz w:val="20"/>
          <w:szCs w:val="20"/>
          <w:color w:val="auto"/>
        </w:rPr>
      </w:pPr>
    </w:p>
    <w:p>
      <w:pPr>
        <w:ind w:left="60" w:right="780"/>
        <w:spacing w:after="0" w:line="248" w:lineRule="auto"/>
        <w:rPr>
          <w:sz w:val="20"/>
          <w:szCs w:val="20"/>
          <w:color w:val="auto"/>
        </w:rPr>
      </w:pPr>
      <w:r>
        <w:rPr>
          <w:rFonts w:ascii="Arial" w:cs="Arial" w:eastAsia="Arial" w:hAnsi="Arial"/>
          <w:sz w:val="18"/>
          <w:szCs w:val="18"/>
          <w:color w:val="auto"/>
        </w:rPr>
        <w:t xml:space="preserve">The following table reflects the net gains (losses) recorded in accumulated other comprehensive income (loss) and the unaudited Consolidated Statements of Income relating to cash flow derivative instruments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Arial" w:cs="Arial" w:eastAsia="Arial" w:hAnsi="Arial"/>
                <w:sz w:val="14"/>
                <w:szCs w:val="14"/>
                <w:b w:val="1"/>
                <w:bCs w:val="1"/>
                <w:color w:val="auto"/>
                <w:w w:val="98"/>
              </w:rPr>
              <w:t>Three Months Ended September 30,</w:t>
            </w: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5"/>
        </w:trPr>
        <w:tc>
          <w:tcPr>
            <w:tcW w:w="47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Interest rate contracts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Gain (loss) recognized in OCI, net of tax</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(2,233)</w:t>
            </w: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0"/>
              </w:rPr>
              <w:t>(Gain) loss reclassified from OCI to interest expense, net of tax</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color w:val="auto"/>
                <w:w w:val="97"/>
              </w:rPr>
              <w:t>Net change in unrealized gains (losses) on cash flow hedges</w:t>
            </w: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947</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980"/>
        <w:spacing w:after="0" w:line="261" w:lineRule="auto"/>
        <w:rPr>
          <w:sz w:val="20"/>
          <w:szCs w:val="20"/>
          <w:color w:val="auto"/>
        </w:rPr>
      </w:pPr>
      <w:r>
        <w:rPr>
          <w:rFonts w:ascii="Arial" w:cs="Arial" w:eastAsia="Arial" w:hAnsi="Arial"/>
          <w:sz w:val="18"/>
          <w:szCs w:val="18"/>
          <w:color w:val="auto"/>
        </w:rPr>
        <w:t>The Company pledged $1.8 million in cash to secure its obligation under these contracts as of September 30, 2021, compared to $3.2 million pledged as of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198" w:lineRule="exact"/>
        <w:rPr>
          <w:sz w:val="20"/>
          <w:szCs w:val="20"/>
          <w:color w:val="auto"/>
        </w:rPr>
      </w:pPr>
    </w:p>
    <w:p>
      <w:pPr>
        <w:ind w:left="60" w:right="540"/>
        <w:spacing w:after="0" w:line="262" w:lineRule="auto"/>
        <w:rPr>
          <w:sz w:val="20"/>
          <w:szCs w:val="20"/>
          <w:color w:val="auto"/>
        </w:rPr>
      </w:pPr>
      <w:r>
        <w:rPr>
          <w:rFonts w:ascii="Arial" w:cs="Arial" w:eastAsia="Arial" w:hAnsi="Arial"/>
          <w:sz w:val="17"/>
          <w:szCs w:val="17"/>
          <w:color w:val="auto"/>
        </w:rPr>
        <w:t xml:space="preserve">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with changes in the fair values of the corresponding derivative financial assets or liabilities recorded as either a charge or credit to current earnings during the period in which the changes occurred.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Sales Commitments</w:t>
      </w:r>
    </w:p>
    <w:p>
      <w:pPr>
        <w:spacing w:after="0" w:line="198" w:lineRule="exact"/>
        <w:rPr>
          <w:sz w:val="20"/>
          <w:szCs w:val="20"/>
          <w:color w:val="auto"/>
        </w:rPr>
      </w:pPr>
    </w:p>
    <w:p>
      <w:pPr>
        <w:ind w:left="60" w:right="360"/>
        <w:spacing w:after="0" w:line="253" w:lineRule="auto"/>
        <w:rPr>
          <w:sz w:val="20"/>
          <w:szCs w:val="20"/>
          <w:color w:val="auto"/>
        </w:rPr>
      </w:pPr>
      <w:r>
        <w:rPr>
          <w:rFonts w:ascii="Arial" w:cs="Arial" w:eastAsia="Arial" w:hAnsi="Arial"/>
          <w:sz w:val="17"/>
          <w:szCs w:val="17"/>
          <w:color w:val="auto"/>
        </w:rPr>
        <w:t xml:space="preserve">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320"/>
          </w:cols>
          <w:pgMar w:left="1440" w:top="513" w:right="11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559"/>
        <w:spacing w:after="0" w:line="261" w:lineRule="auto"/>
        <w:rPr>
          <w:sz w:val="20"/>
          <w:szCs w:val="20"/>
          <w:color w:val="auto"/>
        </w:rPr>
      </w:pPr>
      <w:r>
        <w:rPr>
          <w:rFonts w:ascii="Arial" w:cs="Arial" w:eastAsia="Arial" w:hAnsi="Arial"/>
          <w:sz w:val="18"/>
          <w:szCs w:val="18"/>
          <w:color w:val="auto"/>
        </w:rPr>
        <w:t xml:space="preserve">Amounts and fair values of mortgage banking derivatives included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As of September 30, 2021</w:t>
            </w: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Derivatives with positive fair value</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31,480</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538</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45,004</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96" w:lineRule="exact"/>
              <w:rPr>
                <w:sz w:val="20"/>
                <w:szCs w:val="20"/>
                <w:color w:val="auto"/>
              </w:rPr>
            </w:pPr>
            <w:r>
              <w:rPr>
                <w:rFonts w:ascii="Arial" w:cs="Arial" w:eastAsia="Arial" w:hAnsi="Arial"/>
                <w:sz w:val="18"/>
                <w:szCs w:val="18"/>
                <w:color w:val="auto"/>
              </w:rPr>
              <w:t>Mortgage banking derivatives recorded in other assets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31,597</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45,982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2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49,418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84,964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Mortgage banking derivatives recorded in other liabilities</w:t>
            </w: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49,535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gains (losses)</w:t>
            </w: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4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0"/>
              </w:rPr>
              <w:t>Mortgage revenue</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1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1,405</w:t>
            </w:r>
          </w:p>
        </w:tc>
        <w:tc>
          <w:tcPr>
            <w:tcW w:w="16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1,502</w:t>
            </w:r>
          </w:p>
        </w:tc>
        <w:tc>
          <w:tcPr>
            <w:tcW w:w="2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44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0"/>
              </w:rPr>
              <w:t>Mortgage revenue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(1,438)</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(3,874)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(3,616)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line="196" w:lineRule="exact"/>
              <w:rPr>
                <w:sz w:val="20"/>
                <w:szCs w:val="20"/>
                <w:color w:val="auto"/>
              </w:rPr>
            </w:pPr>
            <w:r>
              <w:rPr>
                <w:rFonts w:ascii="Arial" w:cs="Arial" w:eastAsia="Arial" w:hAnsi="Arial"/>
                <w:sz w:val="18"/>
                <w:szCs w:val="18"/>
                <w:color w:val="auto"/>
              </w:rPr>
              <w:t>Net gains (losses)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(901)</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(2,469)</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(2,114)</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Not Designated as Hedges</w:t>
      </w:r>
    </w:p>
    <w:p>
      <w:pPr>
        <w:spacing w:after="0" w:line="198"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$424.6 million and $395.0 million as of September 30, 2021, and December 31, 2020,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and fair values of derivative assets and liabilities related to customer interest rate swaps recorded in the unaudited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2"/>
        </w:trPr>
        <w:tc>
          <w:tcPr>
            <w:tcW w:w="4180" w:type="dxa"/>
            <w:vAlign w:val="bottom"/>
            <w:tcBorders>
              <w:top w:val="single" w:sz="8" w:color="CCEEFF"/>
            </w:tcBorders>
            <w:shd w:val="clear" w:color="auto" w:fill="CCEEFF"/>
          </w:tcPr>
          <w:p>
            <w:pPr>
              <w:jc w:val="center"/>
              <w:ind w:right="210"/>
              <w:spacing w:after="0" w:line="182" w:lineRule="exact"/>
              <w:rPr>
                <w:sz w:val="20"/>
                <w:szCs w:val="20"/>
                <w:color w:val="auto"/>
              </w:rPr>
            </w:pPr>
            <w:r>
              <w:rPr>
                <w:rFonts w:ascii="Arial" w:cs="Arial" w:eastAsia="Arial" w:hAnsi="Arial"/>
                <w:sz w:val="18"/>
                <w:szCs w:val="18"/>
                <w:b w:val="1"/>
                <w:bCs w:val="1"/>
                <w:color w:val="auto"/>
                <w:w w:val="87"/>
              </w:rPr>
              <w:t>Derivatives not designated as hedging instruments</w:t>
            </w:r>
          </w:p>
        </w:tc>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332,856</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91,711</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91,711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332,856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w w:val="92"/>
              </w:rPr>
              <w:t>Total derivatives not designated as hedging instruments</w:t>
            </w:r>
          </w:p>
        </w:tc>
        <w:tc>
          <w:tcPr>
            <w:tcW w:w="9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424,567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21,330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424,567</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vMerge w:val="restart"/>
          </w:tcPr>
          <w:p>
            <w:pPr>
              <w:jc w:val="right"/>
              <w:ind w:right="4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r>
      <w:tr>
        <w:trPr>
          <w:trHeight w:val="133"/>
        </w:trPr>
        <w:tc>
          <w:tcPr>
            <w:tcW w:w="5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Value</w:t>
            </w:r>
          </w:p>
        </w:tc>
      </w:tr>
      <w:tr>
        <w:trPr>
          <w:trHeight w:val="196"/>
        </w:trPr>
        <w:tc>
          <w:tcPr>
            <w:tcW w:w="5140" w:type="dxa"/>
            <w:vAlign w:val="bottom"/>
            <w:tcBorders>
              <w:top w:val="single" w:sz="8" w:color="CCEEFF"/>
            </w:tcBorders>
            <w:shd w:val="clear" w:color="auto" w:fill="CCEEFF"/>
          </w:tcPr>
          <w:p>
            <w:pPr>
              <w:jc w:val="center"/>
              <w:ind w:right="1170"/>
              <w:spacing w:after="0" w:line="196" w:lineRule="exact"/>
              <w:rPr>
                <w:sz w:val="20"/>
                <w:szCs w:val="20"/>
                <w:color w:val="auto"/>
              </w:rPr>
            </w:pPr>
            <w:r>
              <w:rPr>
                <w:rFonts w:ascii="Arial" w:cs="Arial" w:eastAsia="Arial" w:hAnsi="Arial"/>
                <w:sz w:val="18"/>
                <w:szCs w:val="18"/>
                <w:b w:val="1"/>
                <w:bCs w:val="1"/>
                <w:color w:val="auto"/>
                <w:w w:val="87"/>
              </w:rPr>
              <w:t>Derivatives not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jc w:val="center"/>
              <w:ind w:right="119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394,954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32,685</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jc w:val="center"/>
              <w:ind w:right="119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394,954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32,685</w:t>
            </w: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Total derivatives not designated as hedging instruments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32,685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32,685</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fair value of these derivative assets and liabilities are recorded in noninterest expense in the unaudited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2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rate swaps</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Pay floating, receive fixed</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Noninterest expense</w:t>
            </w:r>
          </w:p>
        </w:tc>
        <w:tc>
          <w:tcPr>
            <w:tcW w:w="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(2,024)</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3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(11,355)</w:t>
            </w:r>
          </w:p>
        </w:tc>
        <w:tc>
          <w:tcPr>
            <w:tcW w:w="80" w:type="dxa"/>
            <w:vAlign w:val="bottom"/>
          </w:tcPr>
          <w:p>
            <w:pPr>
              <w:spacing w:after="0"/>
              <w:rPr>
                <w:sz w:val="17"/>
                <w:szCs w:val="17"/>
                <w:color w:val="auto"/>
              </w:rPr>
            </w:pPr>
          </w:p>
        </w:tc>
        <w:tc>
          <w:tcPr>
            <w:tcW w:w="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Pay fixed, receive floating</w:t>
            </w:r>
          </w:p>
        </w:tc>
        <w:tc>
          <w:tcPr>
            <w:tcW w:w="16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Noninterest expense</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11,355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168"/>
        </w:trPr>
        <w:tc>
          <w:tcPr>
            <w:tcW w:w="2600" w:type="dxa"/>
            <w:vAlign w:val="bottom"/>
          </w:tcPr>
          <w:p>
            <w:pPr>
              <w:spacing w:after="0" w:line="168" w:lineRule="exact"/>
              <w:rPr>
                <w:sz w:val="20"/>
                <w:szCs w:val="20"/>
                <w:color w:val="auto"/>
              </w:rPr>
            </w:pPr>
            <w:r>
              <w:rPr>
                <w:rFonts w:ascii="Arial" w:cs="Arial" w:eastAsia="Arial" w:hAnsi="Arial"/>
                <w:sz w:val="18"/>
                <w:szCs w:val="18"/>
                <w:color w:val="auto"/>
                <w:w w:val="94"/>
              </w:rPr>
              <w:t>Net change in fair value of interest</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tcPr>
          <w:p>
            <w:pPr>
              <w:spacing w:after="0" w:line="203" w:lineRule="exact"/>
              <w:rPr>
                <w:sz w:val="20"/>
                <w:szCs w:val="20"/>
                <w:color w:val="auto"/>
              </w:rPr>
            </w:pPr>
            <w:r>
              <w:rPr>
                <w:rFonts w:ascii="Arial" w:cs="Arial" w:eastAsia="Arial" w:hAnsi="Arial"/>
                <w:sz w:val="18"/>
                <w:szCs w:val="18"/>
                <w:color w:val="auto"/>
              </w:rPr>
              <w:t>rate swaps</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599"/>
        <w:spacing w:after="0" w:line="261" w:lineRule="auto"/>
        <w:rPr>
          <w:sz w:val="20"/>
          <w:szCs w:val="20"/>
          <w:color w:val="auto"/>
        </w:rPr>
      </w:pPr>
      <w:r>
        <w:rPr>
          <w:rFonts w:ascii="Arial" w:cs="Arial" w:eastAsia="Arial" w:hAnsi="Arial"/>
          <w:sz w:val="18"/>
          <w:szCs w:val="18"/>
          <w:color w:val="auto"/>
        </w:rPr>
        <w:t>The Company pledged $26.3 million in cash to secure its obligation under these contracts as of September 30, 2021, compared to $36.0 million pledged as of December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Fair Value Measurements</w:t>
      </w:r>
    </w:p>
    <w:p>
      <w:pPr>
        <w:spacing w:after="0" w:line="202"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60" w:lineRule="exact"/>
        <w:rPr>
          <w:sz w:val="20"/>
          <w:szCs w:val="20"/>
          <w:color w:val="auto"/>
        </w:rPr>
      </w:pPr>
    </w:p>
    <w:p>
      <w:pPr>
        <w:ind w:left="720" w:right="79" w:hanging="319"/>
        <w:spacing w:after="0" w:line="261"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157" w:lineRule="exact"/>
        <w:rPr>
          <w:rFonts w:ascii="Arial" w:cs="Arial" w:eastAsia="Arial" w:hAnsi="Arial"/>
          <w:sz w:val="18"/>
          <w:szCs w:val="18"/>
          <w:color w:val="auto"/>
        </w:rPr>
      </w:pPr>
    </w:p>
    <w:p>
      <w:pPr>
        <w:ind w:left="720" w:right="259"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75" w:lineRule="exact"/>
        <w:rPr>
          <w:rFonts w:ascii="Arial" w:cs="Arial" w:eastAsia="Arial" w:hAnsi="Arial"/>
          <w:sz w:val="18"/>
          <w:szCs w:val="18"/>
          <w:color w:val="auto"/>
        </w:rPr>
      </w:pPr>
    </w:p>
    <w:p>
      <w:pPr>
        <w:ind w:left="720" w:right="359" w:hanging="319"/>
        <w:spacing w:after="0" w:line="24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 assumptions about the assumptions that market participants would use in pricing the assets or liabilities.</w:t>
      </w:r>
    </w:p>
    <w:p>
      <w:pPr>
        <w:spacing w:after="0" w:line="168"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68"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color w:val="auto"/>
        </w:rPr>
        <w:t>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Securities Available for Sale</w:t>
      </w:r>
    </w:p>
    <w:p>
      <w:pPr>
        <w:spacing w:after="0" w:line="198"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62" w:lineRule="exact"/>
        <w:rPr>
          <w:sz w:val="20"/>
          <w:szCs w:val="20"/>
          <w:color w:val="auto"/>
        </w:rPr>
      </w:pPr>
    </w:p>
    <w:p>
      <w:pPr>
        <w:jc w:val="both"/>
        <w:ind w:left="60" w:right="27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2"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9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Equity securities are reported at fair value utilizing Level 1 or Level 2 measurements.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9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Loans held for sale are reported at fair value utilizing Level 2 measurements. The fair value of the mortgage loans held for sale are measured using observable quoted market or contract prices or market price equivalents and are classified as Level 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Derivative Liabilities</w:t>
      </w:r>
    </w:p>
    <w:p>
      <w:pPr>
        <w:spacing w:after="0" w:line="198"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Derivative assets and derivative liabilities are reported at fair value utilizing Level 2 measurements. Fair values of derivative assets and liabilities are determined based on prices that are obtained from a third-party which uses observable market inputs. Derivative assets and liabilities are classified as Level 2.</w:t>
      </w:r>
    </w:p>
    <w:p>
      <w:pPr>
        <w:spacing w:after="0" w:line="168"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 xml:space="preserve">The following tables summarize financial assets and financial liabilities measured at fair value on a recurring basis as of September 30, 2021, and December 31,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As of September 30,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3"/>
        </w:trPr>
        <w:tc>
          <w:tcPr>
            <w:tcW w:w="4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185,453</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185,453</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38,997</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296,012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296,012</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603,297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603,297</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2,102,608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2,102,608</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468,807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468,807</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302,070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302,070</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13,012</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Loans held for sale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20,225</w:t>
            </w:r>
          </w:p>
        </w:tc>
      </w:tr>
      <w:tr>
        <w:trPr>
          <w:trHeight w:val="202"/>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21,869</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24,501</w:t>
            </w:r>
          </w:p>
        </w:tc>
      </w:tr>
      <w:tr>
        <w:trPr>
          <w:trHeight w:val="350"/>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As of December 31, 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33"/>
        </w:trPr>
        <w:tc>
          <w:tcPr>
            <w:tcW w:w="4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r>
    </w:tbl>
    <w:p>
      <w:pPr>
        <w:spacing w:after="0" w:line="188"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OREO</w:t>
      </w:r>
    </w:p>
    <w:p>
      <w:pPr>
        <w:spacing w:after="0" w:line="198" w:lineRule="exact"/>
        <w:rPr>
          <w:sz w:val="20"/>
          <w:szCs w:val="20"/>
          <w:color w:val="auto"/>
        </w:rPr>
      </w:pPr>
    </w:p>
    <w:p>
      <w:pPr>
        <w:jc w:val="both"/>
        <w:ind w:left="60" w:right="339"/>
        <w:spacing w:after="0" w:line="294" w:lineRule="auto"/>
        <w:rPr>
          <w:sz w:val="20"/>
          <w:szCs w:val="20"/>
          <w:color w:val="auto"/>
        </w:rPr>
      </w:pPr>
      <w:r>
        <w:rPr>
          <w:rFonts w:ascii="Arial" w:cs="Arial" w:eastAsia="Arial" w:hAnsi="Arial"/>
          <w:sz w:val="16"/>
          <w:szCs w:val="16"/>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 Property Held for Sale</w:t>
      </w:r>
    </w:p>
    <w:p>
      <w:pPr>
        <w:spacing w:after="0" w:line="198" w:lineRule="exact"/>
        <w:rPr>
          <w:sz w:val="20"/>
          <w:szCs w:val="20"/>
          <w:color w:val="auto"/>
        </w:rPr>
      </w:pPr>
    </w:p>
    <w:p>
      <w:pPr>
        <w:ind w:left="60" w:right="99"/>
        <w:spacing w:after="0" w:line="294" w:lineRule="auto"/>
        <w:rPr>
          <w:sz w:val="20"/>
          <w:szCs w:val="20"/>
          <w:color w:val="auto"/>
        </w:rPr>
      </w:pPr>
      <w:r>
        <w:rPr>
          <w:rFonts w:ascii="Arial" w:cs="Arial" w:eastAsia="Arial" w:hAnsi="Arial"/>
          <w:sz w:val="16"/>
          <w:szCs w:val="16"/>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Due to the significance of unobservable inputs, fair values of all bank property held for sale have been classified as Level 3.</w:t>
      </w:r>
    </w:p>
    <w:p>
      <w:pPr>
        <w:spacing w:after="0" w:line="157" w:lineRule="exact"/>
        <w:rPr>
          <w:sz w:val="20"/>
          <w:szCs w:val="20"/>
          <w:color w:val="auto"/>
        </w:rPr>
      </w:pPr>
    </w:p>
    <w:p>
      <w:pPr>
        <w:ind w:left="60" w:right="519"/>
        <w:spacing w:after="0" w:line="248"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Total</w:t>
            </w:r>
          </w:p>
        </w:tc>
      </w:tr>
      <w:tr>
        <w:trPr>
          <w:trHeight w:val="18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3,753</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6,150</w:t>
            </w:r>
          </w:p>
        </w:tc>
      </w:tr>
      <w:tr>
        <w:trPr>
          <w:trHeight w:val="418"/>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0"/>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8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9"/>
              </w:rPr>
              <w:t>Total</w:t>
            </w:r>
          </w:p>
        </w:tc>
      </w:tr>
      <w:tr>
        <w:trPr>
          <w:trHeight w:val="18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r>
    </w:tbl>
    <w:p>
      <w:pPr>
        <w:spacing w:after="0" w:line="188" w:lineRule="exact"/>
        <w:rPr>
          <w:sz w:val="20"/>
          <w:szCs w:val="20"/>
          <w:color w:val="auto"/>
        </w:rPr>
      </w:pPr>
    </w:p>
    <w:p>
      <w:pPr>
        <w:ind w:left="60" w:right="439"/>
        <w:spacing w:after="0" w:line="291"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7"/>
          </w:tcPr>
          <w:p>
            <w:pPr>
              <w:jc w:val="right"/>
              <w:ind w:right="1216"/>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33"/>
        </w:trPr>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Valuation</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right"/>
              <w:ind w:right="836"/>
              <w:spacing w:after="0" w:line="133" w:lineRule="exact"/>
              <w:rPr>
                <w:sz w:val="20"/>
                <w:szCs w:val="20"/>
                <w:color w:val="auto"/>
              </w:rPr>
            </w:pPr>
            <w:r>
              <w:rPr>
                <w:rFonts w:ascii="Arial" w:cs="Arial" w:eastAsia="Arial" w:hAnsi="Arial"/>
                <w:sz w:val="14"/>
                <w:szCs w:val="14"/>
                <w:b w:val="1"/>
                <w:bCs w:val="1"/>
                <w:color w:val="auto"/>
              </w:rPr>
              <w:t>Range</w:t>
            </w:r>
          </w:p>
        </w:tc>
      </w:tr>
      <w:tr>
        <w:trPr>
          <w:trHeight w:val="158"/>
        </w:trPr>
        <w:tc>
          <w:tcPr>
            <w:tcW w:w="21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3"/>
                <w:szCs w:val="13"/>
                <w:color w:val="auto"/>
              </w:rPr>
            </w:pPr>
          </w:p>
        </w:tc>
        <w:tc>
          <w:tcPr>
            <w:tcW w:w="8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Estimate</w:t>
            </w:r>
          </w:p>
        </w:tc>
        <w:tc>
          <w:tcPr>
            <w:tcW w:w="1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Techniques</w:t>
            </w: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3"/>
                <w:szCs w:val="13"/>
                <w:color w:val="auto"/>
              </w:rPr>
            </w:pPr>
          </w:p>
        </w:tc>
        <w:tc>
          <w:tcPr>
            <w:tcW w:w="2220" w:type="dxa"/>
            <w:vAlign w:val="bottom"/>
            <w:gridSpan w:val="3"/>
          </w:tcPr>
          <w:p>
            <w:pPr>
              <w:jc w:val="right"/>
              <w:ind w:right="416"/>
              <w:spacing w:after="0" w:line="158" w:lineRule="exact"/>
              <w:rPr>
                <w:sz w:val="20"/>
                <w:szCs w:val="20"/>
                <w:color w:val="auto"/>
              </w:rPr>
            </w:pPr>
            <w:r>
              <w:rPr>
                <w:rFonts w:ascii="Arial" w:cs="Arial" w:eastAsia="Arial" w:hAnsi="Arial"/>
                <w:sz w:val="14"/>
                <w:szCs w:val="14"/>
                <w:b w:val="1"/>
                <w:bCs w:val="1"/>
                <w:color w:val="auto"/>
              </w:rPr>
              <w:t>(Weighted Average)</w:t>
            </w: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218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w w:val="95"/>
                <w:shd w:val="clear" w:color="auto" w:fill="CCEEFF"/>
              </w:rPr>
              <w:t>Loans evaluated individually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shd w:val="clear" w:color="auto" w:fill="CCEEFF"/>
              </w:rPr>
              <w:t>3,753</w:t>
            </w: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4"/>
                <w:shd w:val="clear" w:color="auto" w:fill="CCEEFF"/>
              </w:rPr>
              <w:t>Appraisal of collateral</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1"/>
                <w:shd w:val="clear" w:color="auto" w:fill="CCEEFF"/>
              </w:rPr>
              <w:t>Appraisal adjustments</w:t>
            </w:r>
          </w:p>
        </w:tc>
        <w:tc>
          <w:tcPr>
            <w:tcW w:w="10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8"/>
                <w:szCs w:val="18"/>
                <w:color w:val="auto"/>
                <w:w w:val="97"/>
                <w:shd w:val="clear" w:color="auto" w:fill="CCEEFF"/>
              </w:rPr>
              <w:t>-18.0% to -100.0% (-54.4)%</w:t>
            </w:r>
          </w:p>
        </w:tc>
      </w:tr>
      <w:tr>
        <w:trPr>
          <w:trHeight w:val="203"/>
        </w:trPr>
        <w:tc>
          <w:tcPr>
            <w:tcW w:w="2180" w:type="dxa"/>
            <w:vAlign w:val="bottom"/>
            <w:gridSpan w:val="3"/>
          </w:tcPr>
          <w:p>
            <w:pPr>
              <w:spacing w:after="0" w:line="202" w:lineRule="exact"/>
              <w:rPr>
                <w:sz w:val="20"/>
                <w:szCs w:val="20"/>
                <w:color w:val="auto"/>
              </w:rPr>
            </w:pPr>
            <w:r>
              <w:rPr>
                <w:rFonts w:ascii="Arial" w:cs="Arial" w:eastAsia="Arial" w:hAnsi="Arial"/>
                <w:sz w:val="18"/>
                <w:szCs w:val="18"/>
                <w:color w:val="auto"/>
              </w:rPr>
              <w:t>OREO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8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4"/>
              </w:rPr>
              <w:t>Appraisal of collateral</w:t>
            </w: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1"/>
              </w:rPr>
              <w:t>Appraisal adjustments</w:t>
            </w:r>
          </w:p>
        </w:tc>
        <w:tc>
          <w:tcPr>
            <w:tcW w:w="2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-33.0% to -100.0% (-67.9)%</w:t>
            </w:r>
          </w:p>
        </w:tc>
      </w:tr>
      <w:tr>
        <w:trPr>
          <w:trHeight w:val="188"/>
        </w:trPr>
        <w:tc>
          <w:tcPr>
            <w:tcW w:w="21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Bank property held for sale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Appraisal of collateral</w:t>
            </w: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Appraisal adjustments</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to</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 (-41.2)%</w:t>
            </w:r>
          </w:p>
        </w:tc>
      </w:tr>
      <w:tr>
        <w:trPr>
          <w:trHeight w:val="203"/>
        </w:trPr>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0"/>
              </w:rPr>
              <w:t>or real estate listing</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7"/>
        </w:trPr>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price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97"/>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December 31, 2020:</w:t>
            </w:r>
          </w:p>
        </w:tc>
        <w:tc>
          <w:tcPr>
            <w:tcW w:w="9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Loans evaluated individually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2,771</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shd w:val="clear" w:color="auto" w:fill="CCEEFF"/>
              </w:rPr>
              <w:t>Appraisal of collateral</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shd w:val="clear" w:color="auto" w:fill="CCEEFF"/>
              </w:rPr>
              <w:t>Appraisal adjustments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to -100.0% (-37.0)%</w:t>
            </w:r>
          </w:p>
        </w:tc>
      </w:tr>
      <w:tr>
        <w:trPr>
          <w:trHeight w:val="203"/>
        </w:trPr>
        <w:tc>
          <w:tcPr>
            <w:tcW w:w="2180" w:type="dxa"/>
            <w:vAlign w:val="bottom"/>
            <w:gridSpan w:val="3"/>
          </w:tcPr>
          <w:p>
            <w:pPr>
              <w:spacing w:after="0" w:line="202" w:lineRule="exact"/>
              <w:rPr>
                <w:sz w:val="20"/>
                <w:szCs w:val="20"/>
                <w:color w:val="auto"/>
              </w:rPr>
            </w:pPr>
            <w:r>
              <w:rPr>
                <w:rFonts w:ascii="Arial" w:cs="Arial" w:eastAsia="Arial" w:hAnsi="Arial"/>
                <w:sz w:val="18"/>
                <w:szCs w:val="18"/>
                <w:color w:val="auto"/>
              </w:rPr>
              <w:t>OREO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8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4"/>
              </w:rPr>
              <w:t>Appraisal of collateral</w:t>
            </w: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1"/>
              </w:rPr>
              <w:t>Appraisal adjustments</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to -100.0% (-54.5)%</w:t>
            </w:r>
          </w:p>
        </w:tc>
      </w:tr>
      <w:tr>
        <w:trPr>
          <w:trHeight w:val="188"/>
        </w:trPr>
        <w:tc>
          <w:tcPr>
            <w:tcW w:w="21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Bank property held for sale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10,676</w:t>
            </w:r>
          </w:p>
        </w:tc>
        <w:tc>
          <w:tcPr>
            <w:tcW w:w="1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Appraisal of collateral</w:t>
            </w: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Appraisal adjustments</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to</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 (-42.8)%</w:t>
            </w:r>
          </w:p>
        </w:tc>
      </w:tr>
      <w:tr>
        <w:trPr>
          <w:trHeight w:val="203"/>
        </w:trPr>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0"/>
              </w:rPr>
              <w:t>or real estate listing</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7"/>
        </w:trPr>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price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 xml:space="preserve">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September 30, 2021</w:t>
            </w:r>
          </w:p>
        </w:tc>
        <w:tc>
          <w:tcPr>
            <w:tcW w:w="120" w:type="dxa"/>
            <w:vAlign w:val="bottom"/>
          </w:tcPr>
          <w:p>
            <w:pPr>
              <w:spacing w:after="0"/>
              <w:rPr>
                <w:sz w:val="16"/>
                <w:szCs w:val="16"/>
                <w:color w:val="auto"/>
              </w:rPr>
            </w:pPr>
          </w:p>
        </w:tc>
        <w:tc>
          <w:tcPr>
            <w:tcW w:w="18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6"/>
              </w:rPr>
              <w:t>As of December 31, 2020</w:t>
            </w:r>
          </w:p>
        </w:tc>
      </w:tr>
      <w:tr>
        <w:trPr>
          <w:trHeight w:val="133"/>
        </w:trPr>
        <w:tc>
          <w:tcPr>
            <w:tcW w:w="4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2"/>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Level 1 inputs: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883,845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883,845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688,537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688,537</w:t>
            </w: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33,240</w:t>
            </w: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Portfolio loans,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7,057,833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7,108,483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6,713,129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6,755,425</w:t>
            </w: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servicing rights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1,026,935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1,029,879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1,119,348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1,132,107</w:t>
            </w:r>
          </w:p>
        </w:tc>
      </w:tr>
      <w:tr>
        <w:trPr>
          <w:trHeight w:val="202"/>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241,242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241,242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4,661</w:t>
            </w: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49,233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49,323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5,014</w:t>
            </w:r>
          </w:p>
        </w:tc>
      </w:tr>
      <w:tr>
        <w:trPr>
          <w:trHeight w:val="188"/>
        </w:trPr>
        <w:tc>
          <w:tcPr>
            <w:tcW w:w="48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Junior subordinated debt owed to unconsolidated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trusts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w:t>
            </w: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39,910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40,700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39,809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40,104</w:t>
            </w: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Subordinated notes, net of unamortized issuance costs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182,226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187,697</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Earnings Per Common Share</w:t>
      </w:r>
    </w:p>
    <w:p>
      <w:pPr>
        <w:spacing w:after="0" w:line="202" w:lineRule="exact"/>
        <w:rPr>
          <w:sz w:val="20"/>
          <w:szCs w:val="20"/>
          <w:color w:val="auto"/>
        </w:rPr>
      </w:pPr>
    </w:p>
    <w:p>
      <w:pPr>
        <w:ind w:left="60" w:right="299"/>
        <w:spacing w:after="0" w:line="262"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and RSUs were vested.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5"/>
        </w:trPr>
        <w:tc>
          <w:tcPr>
            <w:tcW w:w="4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25,941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30,829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93,523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56,227,816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54,585,998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55,256,348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54,579,088</w:t>
            </w:r>
          </w:p>
        </w:tc>
        <w:tc>
          <w:tcPr>
            <w:tcW w:w="0" w:type="dxa"/>
            <w:vAlign w:val="bottom"/>
          </w:tcPr>
          <w:p>
            <w:pPr>
              <w:spacing w:after="0"/>
              <w:rPr>
                <w:sz w:val="1"/>
                <w:szCs w:val="1"/>
                <w:color w:val="auto"/>
              </w:rPr>
            </w:pPr>
          </w:p>
        </w:tc>
      </w:tr>
      <w:tr>
        <w:trPr>
          <w:trHeight w:val="188"/>
        </w:trPr>
        <w:tc>
          <w:tcPr>
            <w:tcW w:w="4180" w:type="dxa"/>
            <w:vAlign w:val="bottom"/>
          </w:tcPr>
          <w:p>
            <w:pPr>
              <w:ind w:left="220"/>
              <w:spacing w:after="0" w:line="189" w:lineRule="exact"/>
              <w:rPr>
                <w:sz w:val="20"/>
                <w:szCs w:val="20"/>
                <w:color w:val="auto"/>
              </w:rPr>
            </w:pPr>
            <w:r>
              <w:rPr>
                <w:rFonts w:ascii="Arial" w:cs="Arial" w:eastAsia="Arial" w:hAnsi="Arial"/>
                <w:sz w:val="18"/>
                <w:szCs w:val="18"/>
                <w:color w:val="auto"/>
                <w:w w:val="96"/>
              </w:rPr>
              <w:t>Dilutive effect of outstanding options, warrants, and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restricted stock units as determined by the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20"/>
              <w:spacing w:after="0"/>
              <w:rPr>
                <w:sz w:val="20"/>
                <w:szCs w:val="20"/>
                <w:color w:val="auto"/>
              </w:rPr>
            </w:pPr>
            <w:r>
              <w:rPr>
                <w:rFonts w:ascii="Arial" w:cs="Arial" w:eastAsia="Arial" w:hAnsi="Arial"/>
                <w:sz w:val="18"/>
                <w:szCs w:val="18"/>
                <w:color w:val="auto"/>
              </w:rPr>
              <w:t>application of the treasury stock method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597,148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217,266</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Dilutive effect of ESPP shares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180" w:type="dxa"/>
            <w:vAlign w:val="bottom"/>
          </w:tcPr>
          <w:p>
            <w:pPr>
              <w:ind w:left="20"/>
              <w:spacing w:after="0" w:line="168" w:lineRule="exact"/>
              <w:rPr>
                <w:sz w:val="20"/>
                <w:szCs w:val="20"/>
                <w:color w:val="auto"/>
              </w:rPr>
            </w:pPr>
            <w:r>
              <w:rPr>
                <w:rFonts w:ascii="Arial" w:cs="Arial" w:eastAsia="Arial" w:hAnsi="Arial"/>
                <w:sz w:val="18"/>
                <w:szCs w:val="18"/>
                <w:color w:val="auto"/>
              </w:rPr>
              <w:t>Weighted average common shares outstanding, as</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56,832,518</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54,737,920</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55,872,835</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54,796,354</w:t>
            </w: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adjusted for diluted earnings per share calculation</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0.46</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0.46</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0.56</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Shares that were excluded from the computation of diluted earnings per common share because their effect would have been anti-dilutive are summarized in the table below for the periods presented: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5"/>
        </w:trPr>
        <w:tc>
          <w:tcPr>
            <w:tcW w:w="42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Anti-dilutive common stock equivalents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Options</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39,085</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39,085</w:t>
            </w: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RSU and DSU awards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47,805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261,091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97,067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261,091</w:t>
            </w: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PSU awards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85,571</w:t>
            </w:r>
          </w:p>
        </w:tc>
        <w:tc>
          <w:tcPr>
            <w:tcW w:w="18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95,511</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anti-dilutive common stock equivalents</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133,376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300,176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192,578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300,176</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Accumulated Other Comprehensive Income (Loss)</w:t>
      </w:r>
    </w:p>
    <w:p>
      <w:pPr>
        <w:spacing w:after="0" w:line="202"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 xml:space="preserve">The following tables represent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Three Months Ended September 30,</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Net of Tax</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6"/>
              </w:rPr>
              <w:t>Unrealized gains (losses) on debt securities available for sale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17,013</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(4,850)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12,163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55,436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2"/>
              </w:rPr>
              <w:t>(15,802)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 debt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available for sale,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20"/>
              <w:spacing w:after="0" w:line="189" w:lineRule="exact"/>
              <w:rPr>
                <w:sz w:val="20"/>
                <w:szCs w:val="20"/>
                <w:color w:val="auto"/>
              </w:rPr>
            </w:pPr>
            <w:r>
              <w:rPr>
                <w:rFonts w:ascii="Arial" w:cs="Arial" w:eastAsia="Arial" w:hAnsi="Arial"/>
                <w:sz w:val="18"/>
                <w:szCs w:val="18"/>
                <w:color w:val="auto"/>
              </w:rPr>
              <w:t>Amounts reclassified from accumulated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53,033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(15,117)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0"/>
              </w:rPr>
              <w:t>Unrealized gains (losses) on cash flow hedges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 cash</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flow hedges,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20"/>
              <w:spacing w:after="0" w:line="189" w:lineRule="exact"/>
              <w:rPr>
                <w:sz w:val="20"/>
                <w:szCs w:val="20"/>
                <w:color w:val="auto"/>
              </w:rPr>
            </w:pPr>
            <w:r>
              <w:rPr>
                <w:rFonts w:ascii="Arial" w:cs="Arial" w:eastAsia="Arial" w:hAnsi="Arial"/>
                <w:sz w:val="18"/>
                <w:szCs w:val="18"/>
                <w:color w:val="auto"/>
              </w:rPr>
              <w:t>Amounts reclassified from accumulated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Total accumulated other comprehensive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1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2"/>
              </w:rPr>
              <w:t>(14,163)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(loss)</w:t>
            </w:r>
          </w:p>
        </w:tc>
        <w:tc>
          <w:tcPr>
            <w:tcW w:w="10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Before Tax</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Before Tax</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Tax Effect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6"/>
              </w:rPr>
              <w:t>Unrealized gains (losses) on debt securities available for sale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49,644</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5"/>
              </w:rPr>
              <w:t>(14,151)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35,493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21,192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 debt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available for sale,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(49,801)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(35,606)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line="189" w:lineRule="exact"/>
              <w:rPr>
                <w:sz w:val="20"/>
                <w:szCs w:val="20"/>
                <w:color w:val="auto"/>
              </w:rPr>
            </w:pPr>
            <w:r>
              <w:rPr>
                <w:rFonts w:ascii="Arial" w:cs="Arial" w:eastAsia="Arial" w:hAnsi="Arial"/>
                <w:sz w:val="18"/>
                <w:szCs w:val="18"/>
                <w:color w:val="auto"/>
              </w:rPr>
              <w:t>Amounts reclassified from accumulated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80" w:type="dxa"/>
            <w:vAlign w:val="bottom"/>
          </w:tcPr>
          <w:p>
            <w:pPr>
              <w:ind w:left="2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53,033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(15,117)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1"/>
              </w:rPr>
              <w:t>Unrealized gains (losses) on cash flow hedges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(3,055)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 cash</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flow hedges,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220"/>
              <w:spacing w:after="0" w:line="189" w:lineRule="exact"/>
              <w:rPr>
                <w:sz w:val="20"/>
                <w:szCs w:val="20"/>
                <w:color w:val="auto"/>
              </w:rPr>
            </w:pPr>
            <w:r>
              <w:rPr>
                <w:rFonts w:ascii="Arial" w:cs="Arial" w:eastAsia="Arial" w:hAnsi="Arial"/>
                <w:sz w:val="18"/>
                <w:szCs w:val="18"/>
                <w:color w:val="auto"/>
              </w:rPr>
              <w:t>Amounts reclassified from accumulated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80" w:type="dxa"/>
            <w:vAlign w:val="bottom"/>
          </w:tcPr>
          <w:p>
            <w:pPr>
              <w:ind w:left="2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Total accumulated other comprehensive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1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2"/>
              </w:rPr>
              <w:t>(14,163)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(loss)</w:t>
            </w: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Operating Segments and Related Information</w:t>
      </w:r>
    </w:p>
    <w:p>
      <w:pPr>
        <w:spacing w:after="0" w:line="202" w:lineRule="exact"/>
        <w:rPr>
          <w:sz w:val="20"/>
          <w:szCs w:val="20"/>
          <w:color w:val="auto"/>
        </w:rPr>
      </w:pPr>
    </w:p>
    <w:p>
      <w:pPr>
        <w:ind w:left="60" w:right="99"/>
        <w:spacing w:after="0" w:line="276" w:lineRule="auto"/>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Indianapolis, Indiana. The Remittance Processing operating segment provides solutions for online bill payments, lockbox, and walk-in payments. The Wealth Management operating segment provides a full range of asset management, investment, brokerage, fiduciary, philanthropic advisory, tax preparation, and farm management services to individuals, businesses, and foundations.</w:t>
      </w:r>
    </w:p>
    <w:p>
      <w:pPr>
        <w:spacing w:after="0" w:line="148"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w:t>
      </w:r>
    </w:p>
    <w:p>
      <w:pPr>
        <w:spacing w:after="0" w:line="157"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to the Company’s 2020 Annual Report. The Company accounts for intersegment revenue and transfers at current market value.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w w:val="94"/>
              </w:rPr>
              <w:t>Goodwill</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4"/>
          </w:tcPr>
          <w:p>
            <w:pPr>
              <w:jc w:val="right"/>
              <w:ind w:right="4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segment</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380" w:type="dxa"/>
            <w:vAlign w:val="bottom"/>
            <w:gridSpan w:val="3"/>
          </w:tcPr>
          <w:p>
            <w:pPr>
              <w:ind w:left="126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294,666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288,436</w:t>
            </w:r>
          </w:p>
        </w:tc>
        <w:tc>
          <w:tcPr>
            <w:tcW w:w="4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$ 12,788,398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10,462,673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46,553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14,108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60,496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46,504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2,908</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Consolidated total</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317,766</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311,536</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9"/>
              </w:rPr>
              <w:t>$ 12,899,330</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10,544,047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gridSpan w:val="10"/>
          </w:tcPr>
          <w:p>
            <w:pPr>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24"/>
                <w:szCs w:val="24"/>
                <w:color w:val="auto"/>
              </w:rPr>
            </w:pPr>
          </w:p>
        </w:tc>
        <w:tc>
          <w:tcPr>
            <w:tcW w:w="2240" w:type="dxa"/>
            <w:vAlign w:val="bottom"/>
            <w:gridSpan w:val="10"/>
          </w:tcPr>
          <w:p>
            <w:pPr>
              <w:jc w:val="right"/>
              <w:ind w:right="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gridSpan w:val="3"/>
          </w:tcPr>
          <w:p>
            <w:pPr>
              <w:ind w:left="38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2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74,672</w:t>
            </w:r>
          </w:p>
        </w:tc>
        <w:tc>
          <w:tcPr>
            <w:tcW w:w="18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73,330</w:t>
            </w:r>
          </w:p>
        </w:tc>
        <w:tc>
          <w:tcPr>
            <w:tcW w:w="40" w:type="dxa"/>
            <w:vAlign w:val="bottom"/>
          </w:tcPr>
          <w:p>
            <w:pPr>
              <w:spacing w:after="0"/>
              <w:rPr>
                <w:sz w:val="17"/>
                <w:szCs w:val="17"/>
                <w:color w:val="auto"/>
              </w:rPr>
            </w:pPr>
          </w:p>
        </w:tc>
        <w:tc>
          <w:tcPr>
            <w:tcW w:w="3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211,377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218,221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w w:val="94"/>
              </w:rPr>
              <w:t>(3,936)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(11,247)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net interest income</w:t>
            </w:r>
          </w:p>
        </w:tc>
        <w:tc>
          <w:tcPr>
            <w:tcW w:w="9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70,755</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200,190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Noninterest income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2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14,976</w:t>
            </w:r>
          </w:p>
        </w:tc>
        <w:tc>
          <w:tcPr>
            <w:tcW w:w="18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18,523</w:t>
            </w:r>
          </w:p>
        </w:tc>
        <w:tc>
          <w:tcPr>
            <w:tcW w:w="40" w:type="dxa"/>
            <w:vAlign w:val="bottom"/>
          </w:tcPr>
          <w:p>
            <w:pPr>
              <w:spacing w:after="0"/>
              <w:rPr>
                <w:sz w:val="17"/>
                <w:szCs w:val="17"/>
                <w:color w:val="auto"/>
              </w:rPr>
            </w:pPr>
          </w:p>
        </w:tc>
        <w:tc>
          <w:tcPr>
            <w:tcW w:w="3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42,798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13,746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39,333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9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33,259</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97,715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Noninterest expense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2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59,520</w:t>
            </w:r>
          </w:p>
        </w:tc>
        <w:tc>
          <w:tcPr>
            <w:tcW w:w="18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44,863</w:t>
            </w:r>
          </w:p>
        </w:tc>
        <w:tc>
          <w:tcPr>
            <w:tcW w:w="40" w:type="dxa"/>
            <w:vAlign w:val="bottom"/>
          </w:tcPr>
          <w:p>
            <w:pPr>
              <w:spacing w:after="0"/>
              <w:rPr>
                <w:sz w:val="17"/>
                <w:szCs w:val="17"/>
                <w:color w:val="auto"/>
              </w:rPr>
            </w:pPr>
          </w:p>
        </w:tc>
        <w:tc>
          <w:tcPr>
            <w:tcW w:w="3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150,032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7,679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20,961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1,769</w:t>
            </w: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6,532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900" w:type="dxa"/>
            <w:vAlign w:val="bottom"/>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73,487</w:t>
            </w:r>
          </w:p>
        </w:tc>
        <w:tc>
          <w:tcPr>
            <w:tcW w:w="1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56,542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2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31,996</w:t>
            </w:r>
          </w:p>
        </w:tc>
        <w:tc>
          <w:tcPr>
            <w:tcW w:w="18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41,441</w:t>
            </w:r>
          </w:p>
        </w:tc>
        <w:tc>
          <w:tcPr>
            <w:tcW w:w="40" w:type="dxa"/>
            <w:vAlign w:val="bottom"/>
          </w:tcPr>
          <w:p>
            <w:pPr>
              <w:spacing w:after="0"/>
              <w:rPr>
                <w:sz w:val="17"/>
                <w:szCs w:val="17"/>
                <w:color w:val="auto"/>
              </w:rPr>
            </w:pPr>
          </w:p>
        </w:tc>
        <w:tc>
          <w:tcPr>
            <w:tcW w:w="3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114,507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93,245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6,068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18,373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w w:val="94"/>
              </w:rPr>
              <w:t>(6,198)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(6,444)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(16,895)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income before income taxes</w:t>
            </w:r>
          </w:p>
        </w:tc>
        <w:tc>
          <w:tcPr>
            <w:tcW w:w="9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32,396</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26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25,123</w:t>
            </w:r>
          </w:p>
        </w:tc>
        <w:tc>
          <w:tcPr>
            <w:tcW w:w="18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31,744</w:t>
            </w:r>
          </w:p>
        </w:tc>
        <w:tc>
          <w:tcPr>
            <w:tcW w:w="40" w:type="dxa"/>
            <w:vAlign w:val="bottom"/>
          </w:tcPr>
          <w:p>
            <w:pPr>
              <w:spacing w:after="0"/>
              <w:rPr>
                <w:sz w:val="17"/>
                <w:szCs w:val="17"/>
                <w:color w:val="auto"/>
              </w:rPr>
            </w:pPr>
          </w:p>
        </w:tc>
        <w:tc>
          <w:tcPr>
            <w:tcW w:w="3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89,889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3,166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14,285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w w:val="94"/>
              </w:rPr>
              <w:t>(4,285)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net income</w:t>
            </w:r>
          </w:p>
        </w:tc>
        <w:tc>
          <w:tcPr>
            <w:tcW w:w="9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25,941</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Leases</w:t>
      </w:r>
    </w:p>
    <w:p>
      <w:pPr>
        <w:spacing w:after="0" w:line="202"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3"/>
        </w:trPr>
        <w:tc>
          <w:tcPr>
            <w:tcW w:w="6400" w:type="dxa"/>
            <w:vAlign w:val="bottom"/>
          </w:tcPr>
          <w:p>
            <w:pPr>
              <w:spacing w:after="0"/>
              <w:rPr>
                <w:sz w:val="11"/>
                <w:szCs w:val="11"/>
                <w:color w:val="auto"/>
              </w:rPr>
            </w:pPr>
          </w:p>
        </w:tc>
        <w:tc>
          <w:tcPr>
            <w:tcW w:w="1240" w:type="dxa"/>
            <w:vAlign w:val="bottom"/>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r>
      <w:tr>
        <w:trPr>
          <w:trHeight w:val="183"/>
        </w:trPr>
        <w:tc>
          <w:tcPr>
            <w:tcW w:w="6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Lease balances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Right of use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11,068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7,714</w:t>
            </w:r>
          </w:p>
        </w:tc>
        <w:tc>
          <w:tcPr>
            <w:tcW w:w="20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7,757</w:t>
            </w:r>
          </w:p>
        </w:tc>
        <w:tc>
          <w:tcPr>
            <w:tcW w:w="200" w:type="dxa"/>
            <w:vAlign w:val="bottom"/>
            <w:shd w:val="clear" w:color="auto" w:fill="CCEEFF"/>
          </w:tcPr>
          <w:p>
            <w:pPr>
              <w:spacing w:after="0"/>
              <w:rPr>
                <w:sz w:val="17"/>
                <w:szCs w:val="17"/>
                <w:color w:val="auto"/>
              </w:rPr>
            </w:pPr>
          </w:p>
        </w:tc>
      </w:tr>
      <w:tr>
        <w:trPr>
          <w:trHeight w:val="405"/>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Year through which lease terms extend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2032</w:t>
            </w:r>
          </w:p>
        </w:tc>
        <w:tc>
          <w:tcPr>
            <w:tcW w:w="20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20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2.82 %</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cash flows related to leases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Lease costs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costs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1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c>
          <w:tcPr>
            <w:tcW w:w="16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1,828</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Variable lease costs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Short-term lease costs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Cash paid for amounts included in the measurement of</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cash flows – Fixed payments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1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16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cash flows – Liability reduction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178"/>
        </w:trPr>
        <w:tc>
          <w:tcPr>
            <w:tcW w:w="4240" w:type="dxa"/>
            <w:vAlign w:val="bottom"/>
          </w:tcPr>
          <w:p>
            <w:pPr>
              <w:ind w:left="20"/>
              <w:spacing w:after="0" w:line="178" w:lineRule="exact"/>
              <w:rPr>
                <w:sz w:val="20"/>
                <w:szCs w:val="20"/>
                <w:color w:val="auto"/>
              </w:rPr>
            </w:pPr>
            <w:r>
              <w:rPr>
                <w:rFonts w:ascii="Arial" w:cs="Arial" w:eastAsia="Arial" w:hAnsi="Arial"/>
                <w:sz w:val="18"/>
                <w:szCs w:val="18"/>
                <w:color w:val="auto"/>
              </w:rPr>
              <w:t>Right of use assets obtained during the period in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4240" w:type="dxa"/>
            <w:vAlign w:val="bottom"/>
          </w:tcPr>
          <w:p>
            <w:pPr>
              <w:ind w:left="20"/>
              <w:spacing w:after="0"/>
              <w:rPr>
                <w:sz w:val="20"/>
                <w:szCs w:val="20"/>
                <w:color w:val="auto"/>
              </w:rPr>
            </w:pPr>
            <w:r>
              <w:rPr>
                <w:rFonts w:ascii="Arial" w:cs="Arial" w:eastAsia="Arial" w:hAnsi="Arial"/>
                <w:sz w:val="18"/>
                <w:szCs w:val="18"/>
                <w:color w:val="auto"/>
              </w:rPr>
              <w:t xml:space="preserve">exchange for operating lease liabilities </w:t>
            </w:r>
            <w:r>
              <w:rPr>
                <w:rFonts w:ascii="Arial" w:cs="Arial" w:eastAsia="Arial" w:hAnsi="Arial"/>
                <w:sz w:val="26"/>
                <w:szCs w:val="26"/>
                <w:color w:val="auto"/>
                <w:vertAlign w:val="superscript"/>
              </w:rPr>
              <w:t>(1)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1" w:lineRule="exact"/>
        <w:rPr>
          <w:sz w:val="20"/>
          <w:szCs w:val="20"/>
          <w:color w:val="auto"/>
        </w:rPr>
      </w:pPr>
    </w:p>
    <w:p>
      <w:pPr>
        <w:ind w:left="480" w:hanging="322"/>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The nine months ended September 30, 2021, includes $371 related to a lease obtained in the acquisition of CAC.</w:t>
      </w:r>
    </w:p>
    <w:p>
      <w:pPr>
        <w:spacing w:after="0" w:line="221"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As of September 30, 2021, the Company was obligated under noncancelable operating leases for office space and other commitments. Rent expense under operating leases, included in net occupancy and equipment expense, was $0.8 million and $2.3 million for the three and nine months ended September 30, 2021, respectively, compared to $0.7 million and $2.3 million for the three and nine months ended September 30, 2020, respectively.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Rent commitments</w:t>
            </w:r>
          </w:p>
        </w:tc>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Remainder of 2021</w:t>
            </w:r>
          </w:p>
        </w:tc>
        <w:tc>
          <w:tcPr>
            <w:tcW w:w="400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2022</w:t>
            </w:r>
          </w:p>
        </w:tc>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2023</w:t>
            </w: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2024</w:t>
            </w:r>
          </w:p>
        </w:tc>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2025</w:t>
            </w: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Amounts representing interest</w:t>
            </w:r>
          </w:p>
        </w:tc>
        <w:tc>
          <w:tcPr>
            <w:tcW w:w="3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Present value of net future minimum lease payments</w:t>
            </w:r>
          </w:p>
        </w:tc>
        <w:tc>
          <w:tcPr>
            <w:tcW w:w="3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780" w:type="dxa"/>
            <w:vAlign w:val="bottom"/>
            <w:vMerge w:val="restart"/>
          </w:tcPr>
          <w:p>
            <w:pPr>
              <w:jc w:val="right"/>
              <w:ind w:right="32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60" w:right="11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First Busey is a $12.9 billion financial holding company headquartered in Champaign, Illinois. Our common stock is traded on The Nasdaq Global Select Market under the symbol “BUSE.”</w:t>
      </w:r>
    </w:p>
    <w:p>
      <w:pPr>
        <w:spacing w:after="0" w:line="157" w:lineRule="exact"/>
        <w:rPr>
          <w:sz w:val="20"/>
          <w:szCs w:val="20"/>
          <w:color w:val="auto"/>
        </w:rPr>
      </w:pPr>
    </w:p>
    <w:p>
      <w:pPr>
        <w:ind w:left="60" w:right="439"/>
        <w:spacing w:after="0" w:line="248" w:lineRule="auto"/>
        <w:rPr>
          <w:sz w:val="20"/>
          <w:szCs w:val="20"/>
          <w:color w:val="auto"/>
        </w:rPr>
      </w:pPr>
      <w:r>
        <w:rPr>
          <w:rFonts w:ascii="Arial" w:cs="Arial" w:eastAsia="Arial" w:hAnsi="Arial"/>
          <w:sz w:val="18"/>
          <w:szCs w:val="18"/>
          <w:color w:val="auto"/>
        </w:rPr>
        <w:t>Our three operating segments provide a full range of banking, remittance processing, and wealth management services through our subsidiaries, Busey Bank and FirsTech, in Illinois; the St. Louis, Missouri metropolitan area; southwest Florida; and Indianapolis, Indiana.</w:t>
      </w:r>
    </w:p>
    <w:p>
      <w:pPr>
        <w:spacing w:after="0" w:line="168"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following discussion and analysis are intended to assist readers in understanding the financial condition and results of operations of the Company during the three and nine months ended September 30, 2021, and should be read in conjunction with the Company’s unaudited consolidated financial statements and notes thereto included in this Quarterly Report, as well as the Company’s 2020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Although the progression of the COVID-19 pandemic in the United States has impacted the Company’s results of operations, the Company continues to navigate the economic environment caused by COVID-19 effectively and prudently and remains resolute in its focus on serving its customers, communities, and associates while protecting its balance sheet. The Company remains vigilant, given that negative impacts of COVID-19, such as further margin compression and a deterioration in asset quality, could impact future quarters.</w:t>
      </w:r>
    </w:p>
    <w:p>
      <w:pPr>
        <w:spacing w:after="0" w:line="176" w:lineRule="exact"/>
        <w:rPr>
          <w:sz w:val="20"/>
          <w:szCs w:val="20"/>
          <w:color w:val="auto"/>
        </w:rPr>
      </w:pPr>
    </w:p>
    <w:p>
      <w:pPr>
        <w:ind w:left="60" w:right="59"/>
        <w:spacing w:after="0" w:line="248" w:lineRule="auto"/>
        <w:rPr>
          <w:sz w:val="20"/>
          <w:szCs w:val="20"/>
          <w:color w:val="auto"/>
        </w:rPr>
      </w:pPr>
      <w:r>
        <w:rPr>
          <w:rFonts w:ascii="Arial" w:cs="Arial" w:eastAsia="Arial" w:hAnsi="Arial"/>
          <w:sz w:val="18"/>
          <w:szCs w:val="18"/>
          <w:color w:val="auto"/>
        </w:rPr>
        <w:t>Our commercial and consumer banking products and services are delivered in Illinois, Missouri, Florida, and Indiana. Each state has taken different steps to reopen after COVID-19 thrust the country into lockdown starting in March 2020, and these efforts are subject to changes and delays based on case monitoring in each state.</w:t>
      </w:r>
    </w:p>
    <w:p>
      <w:pPr>
        <w:spacing w:after="0" w:line="16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Federal, state, and local governments, and regulatory authorities have enacted and issued a range of policy responses to the COVID-19 pandemic. See the Company’s 2020 Annual Report for information on policy and regulatory actions taken during 2020. Regulatory actions taken during 2021 include the following:</w:t>
      </w:r>
    </w:p>
    <w:p>
      <w:pPr>
        <w:spacing w:after="0" w:line="168" w:lineRule="exact"/>
        <w:rPr>
          <w:sz w:val="20"/>
          <w:szCs w:val="20"/>
          <w:color w:val="auto"/>
        </w:rPr>
      </w:pPr>
    </w:p>
    <w:p>
      <w:pPr>
        <w:ind w:left="720" w:right="139" w:hanging="319"/>
        <w:spacing w:after="0" w:line="257"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March 11, 2021, President Biden signed the American Rescue Plan Act of 2021, a $1.9 trillion relief package providing a third round of Economic Impact Payments to millions of eligible Americans, expanding unemployment benefits and tax credits, providing additional assistance to small businesses, and creating a $10 billion homeowner assistance fund. This fund can be used toward delinquent mortgage payments and is intended to minimize foreclosures in the coming months. An additional $7.25 billion in PPP funding was provided, and eligibility criteria was expanded to include some non-profit organizations.</w:t>
      </w:r>
    </w:p>
    <w:p>
      <w:pPr>
        <w:spacing w:after="0" w:line="161" w:lineRule="exact"/>
        <w:rPr>
          <w:rFonts w:ascii="Arial" w:cs="Arial" w:eastAsia="Arial" w:hAnsi="Arial"/>
          <w:sz w:val="17"/>
          <w:szCs w:val="17"/>
          <w:color w:val="auto"/>
        </w:rPr>
      </w:pPr>
    </w:p>
    <w:p>
      <w:pPr>
        <w:ind w:left="720" w:right="79" w:hanging="319"/>
        <w:spacing w:after="0" w:line="24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30, 2021, President Biden signed the PPP Extension Act of 2021, which extended the PPP application deadline to May 31, 2021, or until funding was exhausted. PPP funding for loans originated by lenders other than community financial institutions was exhausted as of May 6, 2021. All PPP funding was exhausted as of May 28,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taken, and continue to take, numerous steps in response to the COVID-19 pandemic, including the following:</w:t>
      </w:r>
    </w:p>
    <w:p>
      <w:pPr>
        <w:spacing w:after="0" w:line="210" w:lineRule="exact"/>
        <w:rPr>
          <w:sz w:val="20"/>
          <w:szCs w:val="20"/>
          <w:color w:val="auto"/>
        </w:rPr>
      </w:pPr>
    </w:p>
    <w:p>
      <w:pPr>
        <w:ind w:left="720" w:right="99" w:hanging="319"/>
        <w:spacing w:after="0" w:line="25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First Busey offered a Financial Relief Program to qualifying customers designed to alleviate some of the financial hardships that they faced as a result of COVID-19. This program offered solutions for all types of customers— including retail, personal loan, and mortgage—as well as commercial clients and small businesses. The program included options for loan payment deferrals as well as certain fee waivers. As of September 30, 2021, the Company had 27 commercial loans remaining on interest-only payment deferrals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720" w:right="259"/>
        <w:spacing w:after="0" w:line="261" w:lineRule="auto"/>
        <w:rPr>
          <w:sz w:val="20"/>
          <w:szCs w:val="20"/>
          <w:color w:val="auto"/>
        </w:rPr>
      </w:pPr>
      <w:r>
        <w:rPr>
          <w:rFonts w:ascii="Arial" w:cs="Arial" w:eastAsia="Arial" w:hAnsi="Arial"/>
          <w:sz w:val="18"/>
          <w:szCs w:val="18"/>
          <w:color w:val="auto"/>
        </w:rPr>
        <w:t>representing $116.6 million in loans. In addition, as of September 30, 2021, the Company had three retail loans on payment deferrals representing $0.4 million.</w:t>
      </w:r>
    </w:p>
    <w:p>
      <w:pPr>
        <w:spacing w:after="0" w:line="157" w:lineRule="exact"/>
        <w:rPr>
          <w:sz w:val="20"/>
          <w:szCs w:val="20"/>
          <w:color w:val="auto"/>
        </w:rPr>
      </w:pPr>
    </w:p>
    <w:p>
      <w:pPr>
        <w:ind w:left="700" w:right="79"/>
        <w:spacing w:after="0" w:line="241" w:lineRule="auto"/>
        <w:rPr>
          <w:sz w:val="20"/>
          <w:szCs w:val="20"/>
          <w:color w:val="auto"/>
        </w:rPr>
      </w:pPr>
      <w:r>
        <w:rPr>
          <w:rFonts w:ascii="Arial" w:cs="Arial" w:eastAsia="Arial" w:hAnsi="Arial"/>
          <w:sz w:val="18"/>
          <w:szCs w:val="18"/>
          <w:color w:val="auto"/>
        </w:rPr>
        <w:t>First Busey has served as a bridge for the PPP, actively helping 7,348 existing and new business clients sign up for this important financial resource. The Company originated and acquired a total of $1.1 billion in PPP loans, of which $178.2 million remains outstanding as of September 30, 2021. Additional information about the Company’s PPP loans is included in the COVID-19 section of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in this Quarterly Report.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98" w:lineRule="exact"/>
        <w:rPr>
          <w:sz w:val="20"/>
          <w:szCs w:val="20"/>
          <w:color w:val="auto"/>
        </w:rPr>
      </w:pPr>
    </w:p>
    <w:p>
      <w:pPr>
        <w:ind w:left="60" w:right="259"/>
        <w:spacing w:after="0" w:line="324" w:lineRule="auto"/>
        <w:rPr>
          <w:sz w:val="20"/>
          <w:szCs w:val="20"/>
          <w:color w:val="auto"/>
        </w:rPr>
      </w:pPr>
      <w:r>
        <w:rPr>
          <w:rFonts w:ascii="Arial" w:cs="Arial" w:eastAsia="Arial" w:hAnsi="Arial"/>
          <w:sz w:val="16"/>
          <w:szCs w:val="16"/>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6"/>
          </w:tcPr>
          <w:p>
            <w:pPr>
              <w:jc w:val="center"/>
              <w:ind w:left="373"/>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4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June 30,</w:t>
            </w:r>
          </w:p>
        </w:tc>
        <w:tc>
          <w:tcPr>
            <w:tcW w:w="8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8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r>
      <w:tr>
        <w:trPr>
          <w:trHeight w:val="185"/>
        </w:trPr>
        <w:tc>
          <w:tcPr>
            <w:tcW w:w="8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r>
      <w:tr>
        <w:trPr>
          <w:trHeight w:val="196"/>
        </w:trPr>
        <w:tc>
          <w:tcPr>
            <w:tcW w:w="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29,766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93,523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71,999</w:t>
            </w: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3"/>
                <w:szCs w:val="23"/>
                <w:color w:val="auto"/>
                <w:vertAlign w:val="superscript"/>
              </w:rPr>
              <w:t>(1)</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32,845</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31,921</w:t>
            </w:r>
          </w:p>
        </w:tc>
        <w:tc>
          <w:tcPr>
            <w:tcW w:w="16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32,803</w:t>
            </w: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102,831</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74,473</w:t>
            </w: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Diluted earnings per common share</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0.46</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23"/>
                <w:szCs w:val="23"/>
                <w:color w:val="auto"/>
                <w:vertAlign w:val="superscript"/>
              </w:rPr>
              <w:t>(1)</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Return on average assets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0.81 %</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1.05 %</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1.15 %</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1.08 %</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0.94 %</w:t>
            </w: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 xml:space="preserve">Return on average assets </w:t>
            </w:r>
            <w:r>
              <w:rPr>
                <w:rFonts w:ascii="Arial" w:cs="Arial" w:eastAsia="Arial" w:hAnsi="Arial"/>
                <w:sz w:val="26"/>
                <w:szCs w:val="26"/>
                <w:color w:val="auto"/>
                <w:vertAlign w:val="superscript"/>
              </w:rPr>
              <w:t>(1), (2)</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1.12 %</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1.22 %</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1.19 %</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0.97 %</w:t>
            </w:r>
          </w:p>
        </w:tc>
      </w:tr>
      <w:tr>
        <w:trPr>
          <w:trHeight w:val="203"/>
        </w:trPr>
        <w:tc>
          <w:tcPr>
            <w:tcW w:w="8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8"/>
        </w:trPr>
        <w:tc>
          <w:tcPr>
            <w:tcW w:w="86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tcPr>
          <w:p>
            <w:pPr>
              <w:ind w:left="80"/>
              <w:spacing w:after="0" w:line="178" w:lineRule="exact"/>
              <w:rPr>
                <w:sz w:val="20"/>
                <w:szCs w:val="20"/>
                <w:color w:val="auto"/>
              </w:rPr>
            </w:pPr>
            <w:r>
              <w:rPr>
                <w:rFonts w:ascii="Arial" w:cs="Arial" w:eastAsia="Arial" w:hAnsi="Arial"/>
                <w:sz w:val="18"/>
                <w:szCs w:val="18"/>
                <w:color w:val="auto"/>
                <w:w w:val="99"/>
              </w:rPr>
              <w:t>Return on average tangible common</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7"/>
        </w:trPr>
        <w:tc>
          <w:tcPr>
            <w:tcW w:w="860" w:type="dxa"/>
            <w:vAlign w:val="bottom"/>
          </w:tcPr>
          <w:p>
            <w:pPr>
              <w:spacing w:after="0"/>
              <w:rPr>
                <w:sz w:val="19"/>
                <w:szCs w:val="19"/>
                <w:color w:val="auto"/>
              </w:rPr>
            </w:pPr>
          </w:p>
        </w:tc>
        <w:tc>
          <w:tcPr>
            <w:tcW w:w="3000" w:type="dxa"/>
            <w:vAlign w:val="bottom"/>
            <w:gridSpan w:val="2"/>
          </w:tcPr>
          <w:p>
            <w:pPr>
              <w:ind w:left="80"/>
              <w:spacing w:after="0" w:line="227" w:lineRule="exact"/>
              <w:rPr>
                <w:sz w:val="20"/>
                <w:szCs w:val="20"/>
                <w:color w:val="auto"/>
              </w:rPr>
            </w:pPr>
            <w:r>
              <w:rPr>
                <w:rFonts w:ascii="Arial" w:cs="Arial" w:eastAsia="Arial" w:hAnsi="Arial"/>
                <w:sz w:val="26"/>
                <w:szCs w:val="26"/>
                <w:color w:val="auto"/>
                <w:vertAlign w:val="subscript"/>
              </w:rPr>
              <w:t>equity</w:t>
            </w:r>
            <w:r>
              <w:rPr>
                <w:rFonts w:ascii="Arial" w:cs="Arial" w:eastAsia="Arial" w:hAnsi="Arial"/>
                <w:sz w:val="11"/>
                <w:szCs w:val="11"/>
                <w:color w:val="auto"/>
              </w:rPr>
              <w:t xml:space="preserve"> (1), (2)</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10.60 %</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12.26 %</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13.92 %</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13.12 %</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11.14 %</w:t>
            </w:r>
          </w:p>
        </w:tc>
      </w:tr>
      <w:tr>
        <w:trPr>
          <w:trHeight w:val="178"/>
        </w:trPr>
        <w:tc>
          <w:tcPr>
            <w:tcW w:w="8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shd w:val="clear" w:color="auto" w:fill="CCEEFF"/>
          </w:tcPr>
          <w:p>
            <w:pPr>
              <w:ind w:left="80"/>
              <w:spacing w:after="0" w:line="178" w:lineRule="exact"/>
              <w:rPr>
                <w:sz w:val="20"/>
                <w:szCs w:val="20"/>
                <w:color w:val="auto"/>
              </w:rPr>
            </w:pPr>
            <w:r>
              <w:rPr>
                <w:rFonts w:ascii="Arial" w:cs="Arial" w:eastAsia="Arial" w:hAnsi="Arial"/>
                <w:sz w:val="18"/>
                <w:szCs w:val="18"/>
                <w:color w:val="auto"/>
                <w:w w:val="99"/>
              </w:rPr>
              <w:t>Return on average tangible common</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7"/>
        </w:trPr>
        <w:tc>
          <w:tcPr>
            <w:tcW w:w="86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80"/>
              <w:spacing w:after="0" w:line="227" w:lineRule="exact"/>
              <w:rPr>
                <w:sz w:val="20"/>
                <w:szCs w:val="20"/>
                <w:color w:val="auto"/>
              </w:rPr>
            </w:pPr>
            <w:r>
              <w:rPr>
                <w:rFonts w:ascii="Arial" w:cs="Arial" w:eastAsia="Arial" w:hAnsi="Arial"/>
                <w:sz w:val="26"/>
                <w:szCs w:val="26"/>
                <w:color w:val="auto"/>
                <w:vertAlign w:val="subscript"/>
              </w:rPr>
              <w:t>equity</w:t>
            </w:r>
            <w:r>
              <w:rPr>
                <w:rFonts w:ascii="Arial" w:cs="Arial" w:eastAsia="Arial" w:hAnsi="Arial"/>
                <w:sz w:val="11"/>
                <w:szCs w:val="11"/>
                <w:color w:val="auto"/>
              </w:rPr>
              <w:t xml:space="preserve"> (1), (2)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13.43 %</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13.14 %</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14.81 %</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14.43 %</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11.52 %</w:t>
            </w:r>
          </w:p>
        </w:tc>
      </w:tr>
      <w:tr>
        <w:trPr>
          <w:trHeight w:val="203"/>
        </w:trPr>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Pre-provision net revenue </w:t>
            </w:r>
            <w:r>
              <w:rPr>
                <w:rFonts w:ascii="Arial" w:cs="Arial" w:eastAsia="Arial" w:hAnsi="Arial"/>
                <w:sz w:val="23"/>
                <w:szCs w:val="23"/>
                <w:color w:val="auto"/>
                <w:vertAlign w:val="superscript"/>
              </w:rPr>
              <w:t>(1)</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34,030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45,922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104,698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127,165</w:t>
            </w: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Pre-provision net revenue </w:t>
            </w:r>
            <w:r>
              <w:rPr>
                <w:rFonts w:ascii="Arial" w:cs="Arial" w:eastAsia="Arial" w:hAnsi="Arial"/>
                <w:sz w:val="23"/>
                <w:szCs w:val="23"/>
                <w:color w:val="auto"/>
                <w:vertAlign w:val="superscript"/>
              </w:rPr>
              <w:t>(1)</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39,409</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37,486</w:t>
            </w:r>
          </w:p>
        </w:tc>
        <w:tc>
          <w:tcPr>
            <w:tcW w:w="16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48,701</w:t>
            </w: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119,648</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133,360</w:t>
            </w: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8"/>
        </w:trPr>
        <w:tc>
          <w:tcPr>
            <w:tcW w:w="86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6"/>
              </w:rPr>
              <w:t>Reported:</w:t>
            </w:r>
          </w:p>
        </w:tc>
        <w:tc>
          <w:tcPr>
            <w:tcW w:w="3000" w:type="dxa"/>
            <w:vAlign w:val="bottom"/>
            <w:gridSpan w:val="2"/>
          </w:tcPr>
          <w:p>
            <w:pPr>
              <w:ind w:left="80"/>
              <w:spacing w:after="0" w:line="178" w:lineRule="exact"/>
              <w:rPr>
                <w:sz w:val="20"/>
                <w:szCs w:val="20"/>
                <w:color w:val="auto"/>
              </w:rPr>
            </w:pPr>
            <w:r>
              <w:rPr>
                <w:rFonts w:ascii="Arial" w:cs="Arial" w:eastAsia="Arial" w:hAnsi="Arial"/>
                <w:sz w:val="18"/>
                <w:szCs w:val="18"/>
                <w:color w:val="auto"/>
                <w:w w:val="97"/>
              </w:rPr>
              <w:t>Pre-provision net revenue to average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7"/>
        </w:trPr>
        <w:tc>
          <w:tcPr>
            <w:tcW w:w="860" w:type="dxa"/>
            <w:vAlign w:val="bottom"/>
          </w:tcPr>
          <w:p>
            <w:pPr>
              <w:spacing w:after="0"/>
              <w:rPr>
                <w:sz w:val="19"/>
                <w:szCs w:val="19"/>
                <w:color w:val="auto"/>
              </w:rPr>
            </w:pPr>
          </w:p>
        </w:tc>
        <w:tc>
          <w:tcPr>
            <w:tcW w:w="3000" w:type="dxa"/>
            <w:vAlign w:val="bottom"/>
            <w:gridSpan w:val="2"/>
          </w:tcPr>
          <w:p>
            <w:pPr>
              <w:ind w:left="80"/>
              <w:spacing w:after="0" w:line="227" w:lineRule="exact"/>
              <w:rPr>
                <w:sz w:val="20"/>
                <w:szCs w:val="20"/>
                <w:color w:val="auto"/>
              </w:rPr>
            </w:pPr>
            <w:r>
              <w:rPr>
                <w:rFonts w:ascii="Arial" w:cs="Arial" w:eastAsia="Arial" w:hAnsi="Arial"/>
                <w:sz w:val="26"/>
                <w:szCs w:val="26"/>
                <w:color w:val="auto"/>
                <w:vertAlign w:val="subscript"/>
              </w:rPr>
              <w:t>assets</w:t>
            </w:r>
            <w:r>
              <w:rPr>
                <w:rFonts w:ascii="Arial" w:cs="Arial" w:eastAsia="Arial" w:hAnsi="Arial"/>
                <w:sz w:val="11"/>
                <w:szCs w:val="11"/>
                <w:color w:val="auto"/>
              </w:rPr>
              <w:t xml:space="preserve"> (1), (2)</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0.95 %</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1.71 %</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1.21 %</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1.66 %</w:t>
            </w:r>
          </w:p>
        </w:tc>
      </w:tr>
      <w:tr>
        <w:trPr>
          <w:trHeight w:val="178"/>
        </w:trPr>
        <w:tc>
          <w:tcPr>
            <w:tcW w:w="8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w w:val="98"/>
              </w:rPr>
              <w:t>Adjusted:</w:t>
            </w:r>
          </w:p>
        </w:tc>
        <w:tc>
          <w:tcPr>
            <w:tcW w:w="3000" w:type="dxa"/>
            <w:vAlign w:val="bottom"/>
            <w:gridSpan w:val="2"/>
            <w:shd w:val="clear" w:color="auto" w:fill="CCEEFF"/>
          </w:tcPr>
          <w:p>
            <w:pPr>
              <w:ind w:left="80"/>
              <w:spacing w:after="0" w:line="178" w:lineRule="exact"/>
              <w:rPr>
                <w:sz w:val="20"/>
                <w:szCs w:val="20"/>
                <w:color w:val="auto"/>
              </w:rPr>
            </w:pPr>
            <w:r>
              <w:rPr>
                <w:rFonts w:ascii="Arial" w:cs="Arial" w:eastAsia="Arial" w:hAnsi="Arial"/>
                <w:sz w:val="18"/>
                <w:szCs w:val="18"/>
                <w:color w:val="auto"/>
                <w:w w:val="97"/>
              </w:rPr>
              <w:t>Pre-provision net revenue to average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7"/>
        </w:trPr>
        <w:tc>
          <w:tcPr>
            <w:tcW w:w="86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80"/>
              <w:spacing w:after="0" w:line="227" w:lineRule="exact"/>
              <w:rPr>
                <w:sz w:val="20"/>
                <w:szCs w:val="20"/>
                <w:color w:val="auto"/>
              </w:rPr>
            </w:pPr>
            <w:r>
              <w:rPr>
                <w:rFonts w:ascii="Arial" w:cs="Arial" w:eastAsia="Arial" w:hAnsi="Arial"/>
                <w:sz w:val="26"/>
                <w:szCs w:val="26"/>
                <w:color w:val="auto"/>
                <w:vertAlign w:val="subscript"/>
              </w:rPr>
              <w:t>assets</w:t>
            </w:r>
            <w:r>
              <w:rPr>
                <w:rFonts w:ascii="Arial" w:cs="Arial" w:eastAsia="Arial" w:hAnsi="Arial"/>
                <w:sz w:val="11"/>
                <w:szCs w:val="11"/>
                <w:color w:val="auto"/>
              </w:rPr>
              <w:t xml:space="preserve"> (1), (2)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1.32 %</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1.81 %</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1.38 %</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115"/>
        </w:trPr>
        <w:tc>
          <w:tcPr>
            <w:tcW w:w="8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2" w:lineRule="exact"/>
        <w:rPr>
          <w:sz w:val="20"/>
          <w:szCs w:val="20"/>
          <w:color w:val="auto"/>
        </w:rPr>
      </w:pPr>
    </w:p>
    <w:p>
      <w:pPr>
        <w:ind w:left="480" w:hanging="322"/>
        <w:spacing w:after="0"/>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A non-GAAP financial measure. See “</w:t>
      </w:r>
      <w:r>
        <w:rPr>
          <w:rFonts w:ascii="Arial" w:cs="Arial" w:eastAsia="Arial" w:hAnsi="Arial"/>
          <w:sz w:val="14"/>
          <w:szCs w:val="14"/>
          <w:i w:val="1"/>
          <w:iCs w:val="1"/>
          <w:color w:val="auto"/>
        </w:rPr>
        <w:t>Non-GAAP Financial Information</w:t>
      </w:r>
      <w:r>
        <w:rPr>
          <w:rFonts w:ascii="Arial" w:cs="Arial" w:eastAsia="Arial" w:hAnsi="Arial"/>
          <w:sz w:val="14"/>
          <w:szCs w:val="14"/>
          <w:color w:val="auto"/>
        </w:rPr>
        <w:t>” included in this Quarterly Report.</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Annualized measure.</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May 31, 2021, the Company completed its acquisition of CAC, the holding company for GSB. GSB was operated as a separate banking subsidiary from June 1, 2021, until August 14, 2021, when it was merged with and into Busey Bank. At that time GSB’s banking centers became banking centers of Busey Bank. When we completed the GSB acquisition, we reset the baseline for the future financial performance of First Busey in a multitude of positive ways. With GSB now merged and integrated, we expect to see the full contribution of synergies of GSB reflected in the Company’s financial performance in the quarters ahead.</w:t>
      </w:r>
    </w:p>
    <w:p>
      <w:pPr>
        <w:spacing w:after="0" w:line="176" w:lineRule="exact"/>
        <w:rPr>
          <w:sz w:val="20"/>
          <w:szCs w:val="20"/>
          <w:color w:val="auto"/>
        </w:rPr>
      </w:pPr>
    </w:p>
    <w:p>
      <w:pPr>
        <w:ind w:left="60" w:right="119"/>
        <w:spacing w:after="0" w:line="279" w:lineRule="auto"/>
        <w:rPr>
          <w:sz w:val="20"/>
          <w:szCs w:val="20"/>
          <w:color w:val="auto"/>
        </w:rPr>
      </w:pPr>
      <w:r>
        <w:rPr>
          <w:rFonts w:ascii="Arial" w:cs="Arial" w:eastAsia="Arial" w:hAnsi="Arial"/>
          <w:sz w:val="16"/>
          <w:szCs w:val="16"/>
          <w:color w:val="auto"/>
        </w:rPr>
        <w:t>The Company views certain non-operating items, including acquisition-related and restructuring charges, as adjustments to net income reported under GAAP. Non-operating pre-tax adjustments for the three and nine months ended September 30, 2021, included $8.7 million and $11.7 million of expenses related to acquisitions and other restructuring, respectively. A reconciliation of non-GAAP measures—including adjusted pre-provision net revenue, adjusted net income, adjusted earnings per share, adjusted return on average assets, adjusted net interest margin, adjusted efficiency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239"/>
        <w:spacing w:after="0" w:line="270" w:lineRule="auto"/>
        <w:rPr>
          <w:sz w:val="20"/>
          <w:szCs w:val="20"/>
          <w:color w:val="auto"/>
        </w:rPr>
      </w:pPr>
      <w:r>
        <w:rPr>
          <w:rFonts w:ascii="Arial" w:cs="Arial" w:eastAsia="Arial" w:hAnsi="Arial"/>
          <w:sz w:val="17"/>
          <w:szCs w:val="17"/>
          <w:color w:val="auto"/>
        </w:rPr>
        <w:t>ratio, tangible common equity, tangible common equity to tangible assets, tangible book value per share, and return on average tangible common equity—which the Company believes facilitates the assessment of its financial results and peer comparability, is included in tabular form in this Quarterly Report. See “</w:t>
      </w:r>
      <w:r>
        <w:rPr>
          <w:rFonts w:ascii="Arial" w:cs="Arial" w:eastAsia="Arial" w:hAnsi="Arial"/>
          <w:sz w:val="17"/>
          <w:szCs w:val="17"/>
          <w:i w:val="1"/>
          <w:iCs w:val="1"/>
          <w:color w:val="auto"/>
        </w:rPr>
        <w:t>Non-GAAP Financial Information</w:t>
      </w:r>
      <w:r>
        <w:rPr>
          <w:rFonts w:ascii="Arial" w:cs="Arial" w:eastAsia="Arial" w:hAnsi="Arial"/>
          <w:sz w:val="17"/>
          <w:szCs w:val="17"/>
          <w:color w:val="auto"/>
        </w:rPr>
        <w:t>.”</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98" w:lineRule="exact"/>
        <w:rPr>
          <w:sz w:val="20"/>
          <w:szCs w:val="20"/>
          <w:color w:val="auto"/>
        </w:rPr>
      </w:pPr>
    </w:p>
    <w:p>
      <w:pPr>
        <w:ind w:left="60" w:right="119"/>
        <w:spacing w:after="0" w:line="279" w:lineRule="auto"/>
        <w:rPr>
          <w:sz w:val="20"/>
          <w:szCs w:val="20"/>
          <w:color w:val="auto"/>
        </w:rPr>
      </w:pPr>
      <w:r>
        <w:rPr>
          <w:rFonts w:ascii="Arial" w:cs="Arial" w:eastAsia="Arial" w:hAnsi="Arial"/>
          <w:sz w:val="16"/>
          <w:szCs w:val="16"/>
          <w:color w:val="auto"/>
        </w:rPr>
        <w:t>As of September 30, 2021, we served the Illinois banking market with 60 Busey Bank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146" w:lineRule="exact"/>
        <w:rPr>
          <w:sz w:val="20"/>
          <w:szCs w:val="20"/>
          <w:color w:val="auto"/>
        </w:rPr>
      </w:pPr>
    </w:p>
    <w:p>
      <w:pPr>
        <w:ind w:left="60" w:right="159"/>
        <w:spacing w:after="0" w:line="294" w:lineRule="auto"/>
        <w:rPr>
          <w:sz w:val="20"/>
          <w:szCs w:val="20"/>
          <w:color w:val="auto"/>
        </w:rPr>
      </w:pPr>
      <w:r>
        <w:rPr>
          <w:rFonts w:ascii="Arial" w:cs="Arial" w:eastAsia="Arial" w:hAnsi="Arial"/>
          <w:sz w:val="16"/>
          <w:szCs w:val="16"/>
          <w:color w:val="auto"/>
        </w:rPr>
        <w:t>As of September 30, 2021, Busey Bank had 10 banking centers in Missouri. St. Louis, Missouri has a diverse economy with major employment sectors including health care, financial services, professional and business services, and retail. Fourteen of our banking centers in Illinois are located within the boundaries of the St. Louis Metropolitan Statistical Area.</w:t>
      </w:r>
    </w:p>
    <w:p>
      <w:pPr>
        <w:spacing w:after="0" w:line="134" w:lineRule="exact"/>
        <w:rPr>
          <w:sz w:val="20"/>
          <w:szCs w:val="20"/>
          <w:color w:val="auto"/>
        </w:rPr>
      </w:pPr>
    </w:p>
    <w:p>
      <w:pPr>
        <w:ind w:left="60" w:right="479"/>
        <w:spacing w:after="0" w:line="324" w:lineRule="auto"/>
        <w:rPr>
          <w:sz w:val="20"/>
          <w:szCs w:val="20"/>
          <w:color w:val="auto"/>
        </w:rPr>
      </w:pPr>
      <w:r>
        <w:rPr>
          <w:rFonts w:ascii="Arial" w:cs="Arial" w:eastAsia="Arial" w:hAnsi="Arial"/>
          <w:sz w:val="16"/>
          <w:szCs w:val="16"/>
          <w:color w:val="auto"/>
        </w:rPr>
        <w:t>As of September 30, 2021, Busey Bank had four banking centers in southwest Florida, an area which has experienced above average population growth, job growth, and an expanded housing market over the last several years.</w:t>
      </w:r>
    </w:p>
    <w:p>
      <w:pPr>
        <w:spacing w:after="0" w:line="111" w:lineRule="exact"/>
        <w:rPr>
          <w:sz w:val="20"/>
          <w:szCs w:val="20"/>
          <w:color w:val="auto"/>
        </w:rPr>
      </w:pPr>
    </w:p>
    <w:p>
      <w:pPr>
        <w:ind w:left="60" w:right="679"/>
        <w:spacing w:after="0" w:line="291" w:lineRule="auto"/>
        <w:rPr>
          <w:sz w:val="20"/>
          <w:szCs w:val="20"/>
          <w:color w:val="auto"/>
        </w:rPr>
      </w:pPr>
      <w:r>
        <w:rPr>
          <w:rFonts w:ascii="Arial" w:cs="Arial" w:eastAsia="Arial" w:hAnsi="Arial"/>
          <w:sz w:val="17"/>
          <w:szCs w:val="17"/>
          <w:color w:val="auto"/>
        </w:rPr>
        <w:t>As of September 30, 2021, Busey Bank had one banking center in the Indianapolis, Indiana area, which is the most populous city of Indiana with a diverse economy, including the headquarters of many large corporations.</w:t>
      </w:r>
    </w:p>
    <w:p>
      <w:pPr>
        <w:spacing w:after="0" w:line="133" w:lineRule="exact"/>
        <w:rPr>
          <w:sz w:val="20"/>
          <w:szCs w:val="20"/>
          <w:color w:val="auto"/>
        </w:rPr>
      </w:pPr>
    </w:p>
    <w:p>
      <w:pPr>
        <w:ind w:left="60" w:right="299"/>
        <w:spacing w:after="0" w:line="279" w:lineRule="auto"/>
        <w:rPr>
          <w:sz w:val="20"/>
          <w:szCs w:val="20"/>
          <w:color w:val="auto"/>
        </w:rPr>
      </w:pPr>
      <w:r>
        <w:rPr>
          <w:rFonts w:ascii="Arial" w:cs="Arial" w:eastAsia="Arial" w:hAnsi="Arial"/>
          <w:sz w:val="16"/>
          <w:szCs w:val="16"/>
          <w:color w:val="auto"/>
        </w:rPr>
        <w:t>On July 27, 2021, the Company announced its Personal Banking Transformation Plan to close and consolidate 15 Busey Bank banking centers, with the closures expected to occur in the fourth quarter of 2021. In addition, as part of the acquisition integration plan, during the fourth quarter of 2021 the Company plans to close and consolidate two banking centers that were formerly GSB banking centers. Following the completion of these banking center closures and consolidations, the Company expects to have a total of 58 banking centers in operation across its markets.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74"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98"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 xml:space="preserve">The following tables show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All average information is provided on a daily average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55"/>
        </w:trPr>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393"/>
              <w:spacing w:after="0" w:line="155"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372"/>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2"/>
        </w:trPr>
        <w:tc>
          <w:tcPr>
            <w:tcW w:w="2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right"/>
              <w:ind w:right="50"/>
              <w:spacing w:after="0" w:line="133" w:lineRule="exact"/>
              <w:rPr>
                <w:sz w:val="20"/>
                <w:szCs w:val="20"/>
                <w:color w:val="auto"/>
              </w:rPr>
            </w:pPr>
            <w:r>
              <w:rPr>
                <w:rFonts w:ascii="Arial" w:cs="Arial" w:eastAsia="Arial" w:hAnsi="Arial"/>
                <w:sz w:val="14"/>
                <w:szCs w:val="14"/>
                <w:b w:val="1"/>
                <w:bCs w:val="1"/>
                <w:color w:val="auto"/>
              </w:rPr>
              <w:t>Yield/</w:t>
            </w:r>
          </w:p>
        </w:tc>
      </w:tr>
      <w:tr>
        <w:trPr>
          <w:trHeight w:val="185"/>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820" w:type="dxa"/>
            <w:vAlign w:val="bottom"/>
            <w:gridSpan w:val="3"/>
          </w:tcPr>
          <w:p>
            <w:pPr>
              <w:jc w:val="center"/>
              <w:ind w:right="180"/>
              <w:spacing w:after="0" w:line="186" w:lineRule="exact"/>
              <w:rPr>
                <w:sz w:val="20"/>
                <w:szCs w:val="20"/>
                <w:color w:val="auto"/>
              </w:rPr>
            </w:pPr>
            <w:r>
              <w:rPr>
                <w:rFonts w:ascii="Arial" w:cs="Arial" w:eastAsia="Arial" w:hAnsi="Arial"/>
                <w:sz w:val="14"/>
                <w:szCs w:val="14"/>
                <w:b w:val="1"/>
                <w:bCs w:val="1"/>
                <w:color w:val="auto"/>
                <w:w w:val="85"/>
              </w:rPr>
              <w:t xml:space="preserve">Rate </w:t>
            </w:r>
            <w:r>
              <w:rPr>
                <w:rFonts w:ascii="Arial" w:cs="Arial" w:eastAsia="Arial" w:hAnsi="Arial"/>
                <w:sz w:val="21"/>
                <w:szCs w:val="21"/>
                <w:color w:val="auto"/>
                <w:w w:val="85"/>
                <w:vertAlign w:val="superscript"/>
              </w:rPr>
              <w:t>(5)</w:t>
            </w:r>
          </w:p>
        </w:tc>
        <w:tc>
          <w:tcPr>
            <w:tcW w:w="1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660" w:type="dxa"/>
            <w:vAlign w:val="bottom"/>
            <w:gridSpan w:val="2"/>
          </w:tcPr>
          <w:p>
            <w:pPr>
              <w:jc w:val="right"/>
              <w:ind w:right="10"/>
              <w:spacing w:after="0" w:line="186"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color w:val="auto"/>
                <w:vertAlign w:val="superscript"/>
              </w:rPr>
              <w:t>(5)</w:t>
            </w:r>
          </w:p>
        </w:tc>
      </w:tr>
      <w:tr>
        <w:trPr>
          <w:trHeight w:val="196"/>
        </w:trPr>
        <w:tc>
          <w:tcPr>
            <w:tcW w:w="33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r>
      <w:tr>
        <w:trPr>
          <w:trHeight w:val="188"/>
        </w:trPr>
        <w:tc>
          <w:tcPr>
            <w:tcW w:w="33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9"/>
              </w:rPr>
              <w:t>Interest-bearing bank deposits and federal</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funds 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860,200</w:t>
            </w:r>
          </w:p>
        </w:tc>
        <w:tc>
          <w:tcPr>
            <w:tcW w:w="40" w:type="dxa"/>
            <w:vAlign w:val="bottom"/>
          </w:tcPr>
          <w:p>
            <w:pPr>
              <w:spacing w:after="0"/>
              <w:rPr>
                <w:sz w:val="18"/>
                <w:szCs w:val="18"/>
                <w:color w:val="auto"/>
              </w:rPr>
            </w:pPr>
          </w:p>
        </w:tc>
        <w:tc>
          <w:tcPr>
            <w:tcW w:w="2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0.21 %</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715,899</w:t>
            </w:r>
          </w:p>
        </w:tc>
        <w:tc>
          <w:tcPr>
            <w:tcW w:w="20" w:type="dxa"/>
            <w:vAlign w:val="bottom"/>
          </w:tcPr>
          <w:p>
            <w:pPr>
              <w:spacing w:after="0"/>
              <w:rPr>
                <w:sz w:val="18"/>
                <w:szCs w:val="18"/>
                <w:color w:val="auto"/>
              </w:rPr>
            </w:pPr>
          </w:p>
        </w:tc>
        <w:tc>
          <w:tcPr>
            <w:tcW w:w="220" w:type="dxa"/>
            <w:vAlign w:val="bottom"/>
            <w:gridSpan w:val="2"/>
          </w:tcPr>
          <w:p>
            <w:pPr>
              <w:jc w:val="center"/>
              <w:ind w:left="5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0.12 %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251,553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0.66 %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112,867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2.09 %</w:t>
            </w:r>
          </w:p>
        </w:tc>
      </w:tr>
      <w:tr>
        <w:trPr>
          <w:trHeight w:val="178"/>
        </w:trPr>
        <w:tc>
          <w:tcPr>
            <w:tcW w:w="338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27"/>
        </w:trPr>
        <w:tc>
          <w:tcPr>
            <w:tcW w:w="3380" w:type="dxa"/>
            <w:vAlign w:val="bottom"/>
            <w:gridSpan w:val="2"/>
            <w:shd w:val="clear" w:color="auto" w:fill="CCEEFF"/>
          </w:tcPr>
          <w:p>
            <w:pPr>
              <w:ind w:left="220"/>
              <w:spacing w:after="0" w:line="227"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2.52 %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2.80 %</w:t>
            </w:r>
          </w:p>
        </w:tc>
      </w:tr>
      <w:tr>
        <w:trPr>
          <w:trHeight w:val="202"/>
        </w:trPr>
        <w:tc>
          <w:tcPr>
            <w:tcW w:w="3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3,171,163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10,167</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1.27 %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1,409,664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7,195</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2.03 %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6"/>
              </w:rPr>
              <w:t>2.52 %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104,965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2.51 %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Portfolio loans </w:t>
            </w:r>
            <w:r>
              <w:rPr>
                <w:rFonts w:ascii="Arial" w:cs="Arial" w:eastAsia="Arial" w:hAnsi="Arial"/>
                <w:sz w:val="23"/>
                <w:szCs w:val="23"/>
                <w:color w:val="auto"/>
                <w:vertAlign w:val="superscript"/>
              </w:rPr>
              <w:t>(1), (2)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7,133,108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65,418</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3.64 %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7,160,757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69,481</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3.86 %</w:t>
            </w:r>
          </w:p>
        </w:tc>
      </w:tr>
      <w:tr>
        <w:trPr>
          <w:trHeight w:val="196"/>
        </w:trPr>
        <w:tc>
          <w:tcPr>
            <w:tcW w:w="33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11,730,637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78,462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2.65</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9,805,948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80,266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120,198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144,334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145,948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(96,682)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(97,127)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769,956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706,028</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12,697,795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10,680,995</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2,809,669</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522</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0.07 %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2,312,804</w:t>
            </w:r>
          </w:p>
        </w:tc>
        <w:tc>
          <w:tcPr>
            <w:tcW w:w="20" w:type="dxa"/>
            <w:vAlign w:val="bottom"/>
          </w:tcPr>
          <w:p>
            <w:pPr>
              <w:spacing w:after="0"/>
              <w:rPr>
                <w:sz w:val="17"/>
                <w:szCs w:val="17"/>
                <w:color w:val="auto"/>
              </w:rPr>
            </w:pPr>
          </w:p>
        </w:tc>
        <w:tc>
          <w:tcPr>
            <w:tcW w:w="220" w:type="dxa"/>
            <w:vAlign w:val="bottom"/>
            <w:gridSpan w:val="2"/>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774</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0.13 %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3,369,482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6"/>
              </w:rPr>
              <w:t>0.10 %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2,557,732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0.14 %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1,074,091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1,726</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0.64 %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1,298,841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4,462</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1.37 %</w:t>
            </w:r>
          </w:p>
        </w:tc>
      </w:tr>
      <w:tr>
        <w:trPr>
          <w:trHeight w:val="188"/>
        </w:trPr>
        <w:tc>
          <w:tcPr>
            <w:tcW w:w="3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Federal funds purchased and repurchase</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0.11 %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0.18 %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Borrowings </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296,185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3,262</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4.37 %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263,736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4.44 %</w:t>
            </w:r>
          </w:p>
        </w:tc>
      </w:tr>
      <w:tr>
        <w:trPr>
          <w:trHeight w:val="188"/>
        </w:trPr>
        <w:tc>
          <w:tcPr>
            <w:tcW w:w="3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4.04 %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4.12 %</w:t>
            </w:r>
          </w:p>
        </w:tc>
      </w:tr>
      <w:tr>
        <w:trPr>
          <w:trHeight w:val="236"/>
        </w:trPr>
        <w:tc>
          <w:tcPr>
            <w:tcW w:w="33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7,842,805</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7,109</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6"/>
              </w:rPr>
              <w:t>0.36</w:t>
            </w:r>
          </w:p>
        </w:tc>
        <w:tc>
          <w:tcPr>
            <w:tcW w:w="240" w:type="dxa"/>
            <w:vAlign w:val="bottom"/>
            <w:tcBorders>
              <w:bottom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6,694,561</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9,876</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2.29 %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2.67 %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3,365,823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2,592,130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1,351,416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1,248,448</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12,697,795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10,680,995</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income / earning assets </w:t>
            </w:r>
            <w:r>
              <w:rPr>
                <w:rFonts w:ascii="Arial" w:cs="Arial" w:eastAsia="Arial" w:hAnsi="Arial"/>
                <w:sz w:val="23"/>
                <w:szCs w:val="23"/>
                <w:color w:val="auto"/>
                <w:vertAlign w:val="superscript"/>
              </w:rPr>
              <w:t>(1),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11,730,637</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78,462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6"/>
              </w:rPr>
              <w:t>2.65 %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9,805,948</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80,266</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3.26 %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11,730,637</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7,109</w:t>
            </w:r>
          </w:p>
        </w:tc>
        <w:tc>
          <w:tcPr>
            <w:tcW w:w="160" w:type="dxa"/>
            <w:vAlign w:val="bottom"/>
          </w:tcPr>
          <w:p>
            <w:pPr>
              <w:spacing w:after="0"/>
              <w:rPr>
                <w:sz w:val="17"/>
                <w:szCs w:val="17"/>
                <w:color w:val="auto"/>
              </w:rPr>
            </w:pPr>
          </w:p>
        </w:tc>
        <w:tc>
          <w:tcPr>
            <w:tcW w:w="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6"/>
              </w:rPr>
              <w:t>0.24 %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9,805,948</w:t>
            </w:r>
          </w:p>
        </w:tc>
        <w:tc>
          <w:tcPr>
            <w:tcW w:w="20" w:type="dxa"/>
            <w:vAlign w:val="bottom"/>
          </w:tcPr>
          <w:p>
            <w:pPr>
              <w:spacing w:after="0"/>
              <w:rPr>
                <w:sz w:val="17"/>
                <w:szCs w:val="17"/>
                <w:color w:val="auto"/>
              </w:rPr>
            </w:pPr>
          </w:p>
        </w:tc>
        <w:tc>
          <w:tcPr>
            <w:tcW w:w="220" w:type="dxa"/>
            <w:vAlign w:val="bottom"/>
            <w:gridSpan w:val="2"/>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9,876</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0.40 %</w:t>
            </w:r>
          </w:p>
        </w:tc>
      </w:tr>
      <w:tr>
        <w:trPr>
          <w:trHeight w:val="196"/>
        </w:trPr>
        <w:tc>
          <w:tcPr>
            <w:tcW w:w="33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71,353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2.41</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70,390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On a tax-equivalent basis and assuming a federal income tax rate of 21.0%.</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Interest income includes a tax-equivalent adjustment of $0.6 million for the three months ended September 30, 2021, and 2020.</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56"/>
        </w:trPr>
        <w:tc>
          <w:tcPr>
            <w:tcW w:w="2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2"/>
        </w:trPr>
        <w:tc>
          <w:tcPr>
            <w:tcW w:w="2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right"/>
              <w:ind w:right="50"/>
              <w:spacing w:after="0" w:line="133" w:lineRule="exact"/>
              <w:rPr>
                <w:sz w:val="20"/>
                <w:szCs w:val="20"/>
                <w:color w:val="auto"/>
              </w:rPr>
            </w:pPr>
            <w:r>
              <w:rPr>
                <w:rFonts w:ascii="Arial" w:cs="Arial" w:eastAsia="Arial" w:hAnsi="Arial"/>
                <w:sz w:val="14"/>
                <w:szCs w:val="14"/>
                <w:b w:val="1"/>
                <w:bCs w:val="1"/>
                <w:color w:val="auto"/>
              </w:rPr>
              <w:t>Yield/</w:t>
            </w:r>
          </w:p>
        </w:tc>
      </w:tr>
      <w:tr>
        <w:trPr>
          <w:trHeight w:val="185"/>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820" w:type="dxa"/>
            <w:vAlign w:val="bottom"/>
            <w:gridSpan w:val="3"/>
          </w:tcPr>
          <w:p>
            <w:pPr>
              <w:jc w:val="center"/>
              <w:ind w:right="140"/>
              <w:spacing w:after="0" w:line="186" w:lineRule="exact"/>
              <w:rPr>
                <w:sz w:val="20"/>
                <w:szCs w:val="20"/>
                <w:color w:val="auto"/>
              </w:rPr>
            </w:pPr>
            <w:r>
              <w:rPr>
                <w:rFonts w:ascii="Arial" w:cs="Arial" w:eastAsia="Arial" w:hAnsi="Arial"/>
                <w:sz w:val="14"/>
                <w:szCs w:val="14"/>
                <w:b w:val="1"/>
                <w:bCs w:val="1"/>
                <w:color w:val="auto"/>
                <w:w w:val="85"/>
              </w:rPr>
              <w:t xml:space="preserve">Rate </w:t>
            </w:r>
            <w:r>
              <w:rPr>
                <w:rFonts w:ascii="Arial" w:cs="Arial" w:eastAsia="Arial" w:hAnsi="Arial"/>
                <w:sz w:val="21"/>
                <w:szCs w:val="21"/>
                <w:color w:val="auto"/>
                <w:w w:val="85"/>
                <w:vertAlign w:val="superscript"/>
              </w:rPr>
              <w:t>(5)</w:t>
            </w:r>
          </w:p>
        </w:tc>
        <w:tc>
          <w:tcPr>
            <w:tcW w:w="1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660" w:type="dxa"/>
            <w:vAlign w:val="bottom"/>
            <w:gridSpan w:val="2"/>
          </w:tcPr>
          <w:p>
            <w:pPr>
              <w:jc w:val="right"/>
              <w:ind w:right="10"/>
              <w:spacing w:after="0" w:line="186"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color w:val="auto"/>
                <w:vertAlign w:val="superscript"/>
              </w:rPr>
              <w:t>(5)</w:t>
            </w:r>
          </w:p>
        </w:tc>
      </w:tr>
      <w:tr>
        <w:trPr>
          <w:trHeight w:val="196"/>
        </w:trPr>
        <w:tc>
          <w:tcPr>
            <w:tcW w:w="31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r>
      <w:tr>
        <w:trPr>
          <w:trHeight w:val="188"/>
        </w:trPr>
        <w:tc>
          <w:tcPr>
            <w:tcW w:w="31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3"/>
              </w:rPr>
              <w:t>Interest-bearing bank deposits and federal</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funds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597,960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0.19 %</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506,235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0.42 %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166,300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1,375</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1.11 %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144,807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2,359</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2.18 %</w:t>
            </w:r>
          </w:p>
        </w:tc>
      </w:tr>
      <w:tr>
        <w:trPr>
          <w:trHeight w:val="178"/>
        </w:trPr>
        <w:tc>
          <w:tcPr>
            <w:tcW w:w="318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27"/>
        </w:trPr>
        <w:tc>
          <w:tcPr>
            <w:tcW w:w="3180" w:type="dxa"/>
            <w:vAlign w:val="bottom"/>
            <w:gridSpan w:val="2"/>
            <w:shd w:val="clear" w:color="auto" w:fill="CCEEFF"/>
          </w:tcPr>
          <w:p>
            <w:pPr>
              <w:ind w:left="220"/>
              <w:spacing w:after="0" w:line="227"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2.60 %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2.91 %</w:t>
            </w:r>
          </w:p>
        </w:tc>
      </w:tr>
      <w:tr>
        <w:trPr>
          <w:trHeight w:val="203"/>
        </w:trPr>
        <w:tc>
          <w:tcPr>
            <w:tcW w:w="3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2,645,746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25,513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1.29 %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1,329,557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22,597</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2.27 %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2.32 %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91,964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2.73 %</w:t>
            </w:r>
          </w:p>
        </w:tc>
      </w:tr>
      <w:tr>
        <w:trPr>
          <w:trHeight w:val="202"/>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Portfolio loans </w:t>
            </w:r>
            <w:r>
              <w:rPr>
                <w:rFonts w:ascii="Arial" w:cs="Arial" w:eastAsia="Arial" w:hAnsi="Arial"/>
                <w:sz w:val="23"/>
                <w:szCs w:val="23"/>
                <w:color w:val="auto"/>
                <w:vertAlign w:val="superscript"/>
              </w:rPr>
              <w:t>(1), (2)</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6,921,226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189,743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3.67 %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7,012,497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212,721</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4.05 %</w:t>
            </w:r>
          </w:p>
        </w:tc>
      </w:tr>
      <w:tr>
        <w:trPr>
          <w:trHeight w:val="196"/>
        </w:trPr>
        <w:tc>
          <w:tcPr>
            <w:tcW w:w="31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10,651,386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223,661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2.81</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9,371,157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247,381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138,257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148,697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(98,522)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(84,213)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745,151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693,950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11,571,270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10,249,578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2,534,979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1,529</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0.08 %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2,131,608</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4,165</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0.26 %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2,981,559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0.10 %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2,558,053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0.27 %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1,060,993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6,406</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0.81 %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1,418,944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16,623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1.56 %</w:t>
            </w:r>
          </w:p>
        </w:tc>
      </w:tr>
      <w:tr>
        <w:trPr>
          <w:trHeight w:val="188"/>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Federal funds purchased and repurchase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0.12 %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0.43 %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Borrowings </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9,245</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4.72 %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213,101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6,427</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4.03 %</w:t>
            </w:r>
          </w:p>
        </w:tc>
      </w:tr>
      <w:tr>
        <w:trPr>
          <w:trHeight w:val="188"/>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4.08 %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4.16 %</w:t>
            </w:r>
          </w:p>
        </w:tc>
      </w:tr>
      <w:tr>
        <w:trPr>
          <w:trHeight w:val="236"/>
        </w:trPr>
        <w:tc>
          <w:tcPr>
            <w:tcW w:w="31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7,114,856</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21,693</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6"/>
              </w:rPr>
              <w:t>0.41</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6,578,587</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35,296</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2.40 %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2.81 %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3,010,999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2,303,538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1,323,571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1,233,348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11,571,270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10,249,578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income / earning assets </w:t>
            </w:r>
            <w:r>
              <w:rPr>
                <w:rFonts w:ascii="Arial" w:cs="Arial" w:eastAsia="Arial" w:hAnsi="Arial"/>
                <w:sz w:val="23"/>
                <w:szCs w:val="23"/>
                <w:color w:val="auto"/>
                <w:vertAlign w:val="superscript"/>
              </w:rPr>
              <w:t>(1), (3)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10,651,386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223,661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2.81 %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9,371,157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247,381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3.53 %</w:t>
            </w:r>
          </w:p>
        </w:tc>
      </w:tr>
      <w:tr>
        <w:trPr>
          <w:trHeight w:val="202"/>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10,651,386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21,693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0.27 %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9,371,157</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35,296</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0.51 %</w:t>
            </w:r>
          </w:p>
        </w:tc>
      </w:tr>
      <w:tr>
        <w:trPr>
          <w:trHeight w:val="196"/>
        </w:trPr>
        <w:tc>
          <w:tcPr>
            <w:tcW w:w="31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201,968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2.54</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212,085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On a tax-equivalent basis and assuming a federal income tax rate of 21.0%.</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Interest income includes a tax-equivalent adjustment of $1.8 million and $2.1 million for the nine months ended September 30, 2021 and 2020.</w:t>
      </w:r>
    </w:p>
    <w:p>
      <w:pPr>
        <w:spacing w:after="0" w:line="12"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Earning Assets, Sources of Funds, and Net Interest Margin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average earning assets are summarized as follows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4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$ 11,730,637</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9,805,948</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$ 1,924,689</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7,842,805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6,694,561</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1,148,244</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3,365,823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2,592,130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773,693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10,619,065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8,761,507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1,857,558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11,346,379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9,432,547</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1,913,832</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w w:val="98"/>
              </w:rPr>
              <w:t>Average noninterest-bearing deposits as a percent of total</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31.7 %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29.6 %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Total average deposits as a percent of total average liabilities</w:t>
            </w:r>
          </w:p>
        </w:tc>
        <w:tc>
          <w:tcPr>
            <w:tcW w:w="12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93.6 %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92.9 %</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Nine Months Ended September 30,</w:t>
            </w: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$ 10,651,386</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9,371,157</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$ 1,280,229</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7,114,856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6,578,587</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536,269</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3,010,999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2,303,538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707,461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9,588,530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8,412,143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1,176,387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10,247,699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9,016,230</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1,231,469</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w w:val="98"/>
              </w:rPr>
              <w:t>Average noninterest-bearing deposits as a percent of total</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31.4 %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27.4 %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Total average deposits as a percent of total average liabilities</w:t>
            </w:r>
          </w:p>
        </w:tc>
        <w:tc>
          <w:tcPr>
            <w:tcW w:w="12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93.6 %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93.3 %</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sources of funds and net interest margin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4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3"/>
                <w:szCs w:val="23"/>
                <w:color w:val="auto"/>
                <w:vertAlign w:val="superscript"/>
              </w:rPr>
              <w:t>(1)</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78,462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(1,804)</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8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7,109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(2,767)</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income, on a tax equivalent basis </w:t>
            </w:r>
            <w:r>
              <w:rPr>
                <w:rFonts w:ascii="Arial" w:cs="Arial" w:eastAsia="Arial" w:hAnsi="Arial"/>
                <w:sz w:val="22"/>
                <w:szCs w:val="22"/>
                <w:color w:val="auto"/>
                <w:vertAlign w:val="superscript"/>
              </w:rPr>
              <w:t>(1)</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71,353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(1), (2)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2.41 %</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4"/>
          <w:szCs w:val="14"/>
          <w:color w:val="auto"/>
        </w:rPr>
        <w:t>Assuming a federal income tax rate of 21.0%.</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4"/>
          <w:szCs w:val="14"/>
          <w:color w:val="auto"/>
        </w:rPr>
        <w:t>Annualized, net interest income expressed as a percentage of average earning assets, stated on a tax-equivalent basis.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4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3"/>
                <w:szCs w:val="23"/>
                <w:color w:val="auto"/>
                <w:vertAlign w:val="superscript"/>
              </w:rPr>
              <w:t>(1)</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223,661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247,381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0"/>
              </w:rPr>
              <w:t>$ (23,720)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21,693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35,296</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(13,603)</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income, on a tax equivalent basis </w:t>
            </w:r>
            <w:r>
              <w:rPr>
                <w:rFonts w:ascii="Arial" w:cs="Arial" w:eastAsia="Arial" w:hAnsi="Arial"/>
                <w:sz w:val="22"/>
                <w:szCs w:val="22"/>
                <w:color w:val="auto"/>
                <w:vertAlign w:val="superscript"/>
              </w:rPr>
              <w:t>(1)</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201,968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212,085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(10,117)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(1), (2)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2.54 %</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3.02 %</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4"/>
          <w:szCs w:val="14"/>
          <w:color w:val="auto"/>
        </w:rPr>
        <w:t>Assuming a federal income tax rate of 21.0%.</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9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Consolidated Average Balance Sheets and interest rates were impacted in 2021 and 2020 by numerous factors surrounding COVID-19. The Federal Open Market Committee rate cuts during the first quarter of 2020 have contributed to the decline in net interest margin, as assets, in particular commercial loans, repriced more quickly and to a greater extent than liabilities. Net interest margin has also been negatively impacted by existing loan amortization and paydowns at higher rates than new loan production, significant growth in the Company’s liquidity position, and the issuance of debt. Those impacts were partially offset by the Company’s efforts to lower deposit funding costs as well as the fees recognized on PPP loans.</w:t>
      </w:r>
    </w:p>
    <w:p>
      <w:pPr>
        <w:spacing w:after="0" w:line="177" w:lineRule="exact"/>
        <w:rPr>
          <w:sz w:val="20"/>
          <w:szCs w:val="20"/>
          <w:color w:val="auto"/>
        </w:rPr>
      </w:pPr>
    </w:p>
    <w:p>
      <w:pPr>
        <w:ind w:left="60" w:right="559"/>
        <w:spacing w:after="0" w:line="294" w:lineRule="auto"/>
        <w:rPr>
          <w:sz w:val="20"/>
          <w:szCs w:val="20"/>
          <w:color w:val="auto"/>
        </w:rPr>
      </w:pPr>
      <w:r>
        <w:rPr>
          <w:rFonts w:ascii="Arial" w:cs="Arial" w:eastAsia="Arial" w:hAnsi="Arial"/>
          <w:sz w:val="16"/>
          <w:szCs w:val="16"/>
          <w:color w:val="auto"/>
        </w:rPr>
        <w:t>The Company remains substantially core deposit funded, with robust liquidity and significant market share in the communities we serve. As of September 30, 2021, the Company’s loan to deposit ratio was 66.1% and core deposits represented 98.5% of total deposits outstanding (excluding time deposits with balances greater than $250,000).</w:t>
      </w:r>
    </w:p>
    <w:p>
      <w:pPr>
        <w:spacing w:after="0" w:line="13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2.29% and 2.40% for the three and nine months ended September 30, 2021, respectively, compared to 2.67% and 2.81% for the three and nine months ended September 30, 2020, respectively, each on a tax equivalent basis.</w:t>
      </w:r>
    </w:p>
    <w:p>
      <w:pPr>
        <w:spacing w:after="0" w:line="174" w:lineRule="exact"/>
        <w:rPr>
          <w:sz w:val="20"/>
          <w:szCs w:val="20"/>
          <w:color w:val="auto"/>
        </w:rPr>
      </w:pPr>
    </w:p>
    <w:p>
      <w:pPr>
        <w:ind w:left="60" w:right="199"/>
        <w:spacing w:after="0" w:line="277" w:lineRule="auto"/>
        <w:rPr>
          <w:sz w:val="20"/>
          <w:szCs w:val="20"/>
          <w:color w:val="auto"/>
        </w:rPr>
      </w:pPr>
      <w:r>
        <w:rPr>
          <w:rFonts w:ascii="Arial" w:cs="Arial" w:eastAsia="Arial" w:hAnsi="Arial"/>
          <w:sz w:val="16"/>
          <w:szCs w:val="16"/>
          <w:color w:val="auto"/>
        </w:rPr>
        <w:t>The net interest margin discussion above is based upon the results and average balances for the three and nine months ended September 30, 2021 and 2020. Annualized net interest margins for the quarterly periods indicated were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2.50 %</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3.03 %</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2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2.41 %</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2.86 %</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3.06 %</w:t>
            </w:r>
          </w:p>
        </w:tc>
      </w:tr>
    </w:tbl>
    <w:p>
      <w:pPr>
        <w:spacing w:after="0" w:line="160"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Management attempts to mitigate the effects of an unpredictable interest-rate environment through effective portfolio management, prudent loan underwriting, effective funding cost control, meaningful noninterest income contribution, and operational efficiencies. Please refer to the Notes to Consolidated Financial Statements in the Company’s 2020 Annual Report for a description of accounting policies underlying the recognition of interest income and expense.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4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 fees</w:t>
            </w:r>
          </w:p>
        </w:tc>
        <w:tc>
          <w:tcPr>
            <w:tcW w:w="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9,288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(4,053)</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Net gains (losses) on sales of securities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recognized on equity securities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114.2 %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280" w:type="dxa"/>
            <w:vAlign w:val="bottom"/>
            <w:tcBorders>
              <w:top w:val="single" w:sz="8" w:color="auto"/>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33,259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 fees</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39,335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25,936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2,536</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6,153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(3,726)</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(922)</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Net gains (losses) on sales of securities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(1,596)</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recognized on equity securities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301.1 %</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7,134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97,715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Total noninterest income was $33.3 million for the three months ended September 30, 2021, a 3.0% increase from the comparable period in 2020, and was $97.7 million for the nine months ended September 30, 2021, an 11.3% increase from the comparable period in 2020. Revenues from wealth management fees and remittance processing activities represented 54.4% and 53.7% of the Company’s noninterest income for the three and nine months ended September 30, 2021, respectively, providing a complement to spread-based revenue from traditional banking activities. On a combined basis, revenue from these two critical operating areas was $18.1 million for the three months ended September 30, 2021, a 24.5% increase from the comparable period in 2020, and was $52.5 million for the nine months ended September 30, 2021, a 19.9% increase from the comparable period in 2020.</w:t>
      </w:r>
    </w:p>
    <w:p>
      <w:pPr>
        <w:spacing w:after="0" w:line="167"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Wealth management fees were $13.7 million for the three months ended September 30, 2021, a 30.3% increase from the comparable period in 2020, and were $39.3 million for the nine months ended September 30, 2021, a 21.8% increase from the comparable period for 2020. First Busey’s Wealth Management division ended the third quarter of 2021 with $12.4 billion in assets under care, compared to $10.2 billion as of December 31, 2020, a 20.9% increase. The increase in assets under care includes $1.2 billion related to assets obtained in the acquisition of CAC.</w:t>
      </w:r>
    </w:p>
    <w:p>
      <w:pPr>
        <w:spacing w:after="0" w:line="160"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Fees for customer services were $9.3 million for the three months ended September 30, 2021, a 15.9% increase from the comparable period in 2020, and were $25.9 million for the nine months ended September 30, 2021, a 10.8% increase from the comparable period in 2020. Fees for customer services have been impacted since March 2020 due to changing customer behaviors resulting from COVID-19 and related government stimulus programs, and continue to rebound with improving economic conditions and customer activity levels.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6"/>
          <w:szCs w:val="16"/>
          <w:color w:val="auto"/>
        </w:rPr>
        <w:t>Remittance processing revenue relates to our payment processing company, FirsTech. Remittance processing revenue was $4.4 million for the three months ended September 30, 2021, a 9.0% increase from the comparable period in 2020, and was $13.1 million for the nine months ended September 30, 2021, a 14.4% increase from the comparable period in 2020.</w:t>
      </w:r>
    </w:p>
    <w:p>
      <w:pPr>
        <w:ind w:left="60" w:right="119"/>
        <w:spacing w:after="0" w:line="269" w:lineRule="auto"/>
        <w:rPr>
          <w:sz w:val="20"/>
          <w:szCs w:val="20"/>
          <w:color w:val="auto"/>
        </w:rPr>
      </w:pPr>
      <w:r>
        <w:rPr>
          <w:rFonts w:ascii="Arial" w:cs="Arial" w:eastAsia="Arial" w:hAnsi="Arial"/>
          <w:sz w:val="16"/>
          <w:szCs w:val="16"/>
          <w:color w:val="auto"/>
        </w:rPr>
        <w:t>Fluctuations in remittance processing revenue were primarily the result of increased payment and volume activity as well as growth in customers served by FirsTech. In addition to reported remittance processing revenue, FirsTech generated additional revenue of $0.3 million in the three months and $0.7 million in the nine months ended September 30, 2021, related to professional programming services, excluding intercompany eliminations and consolidation. These revenues are reported separately within the “Other income” component of our noninterest income. FirsTech operations add important diversity to our revenue stream while widening our array of service offerings to larger commercial clients both within our footprint and nationally. The Company is currently making strategic investments in FirsTech to enhance future growth including upgrades to the product and engineering teams to build an application programming interface cloud-based platform and expansion of the sales organization to drive increased market reach.</w:t>
      </w:r>
    </w:p>
    <w:p>
      <w:pPr>
        <w:spacing w:after="0" w:line="153" w:lineRule="exact"/>
        <w:rPr>
          <w:sz w:val="20"/>
          <w:szCs w:val="20"/>
          <w:color w:val="auto"/>
        </w:rPr>
      </w:pPr>
    </w:p>
    <w:p>
      <w:pPr>
        <w:ind w:left="60" w:right="659"/>
        <w:spacing w:after="0" w:line="284" w:lineRule="auto"/>
        <w:rPr>
          <w:sz w:val="20"/>
          <w:szCs w:val="20"/>
          <w:color w:val="auto"/>
        </w:rPr>
      </w:pPr>
      <w:r>
        <w:rPr>
          <w:rFonts w:ascii="Arial" w:cs="Arial" w:eastAsia="Arial" w:hAnsi="Arial"/>
          <w:sz w:val="16"/>
          <w:szCs w:val="16"/>
          <w:color w:val="auto"/>
        </w:rPr>
        <w:t>Mortgage revenue was $1.7 million for the three months ended September 30, 2021, a 70.0% decrease from the comparable period in 2020, primarily as a result of declines in sold-loan mortgage volume. Mortgage revenue was $6.2 million for the nine months ended September 30, 2021, a 37.7% decrease from the comparable period in 2020. General economic conditions and interest rate volatility may impact fees in future quarters.</w:t>
      </w:r>
    </w:p>
    <w:p>
      <w:pPr>
        <w:spacing w:after="0" w:line="142" w:lineRule="exact"/>
        <w:rPr>
          <w:sz w:val="20"/>
          <w:szCs w:val="20"/>
          <w:color w:val="auto"/>
        </w:rPr>
      </w:pPr>
    </w:p>
    <w:p>
      <w:pPr>
        <w:ind w:left="60" w:right="299"/>
        <w:spacing w:after="0" w:line="243" w:lineRule="auto"/>
        <w:rPr>
          <w:sz w:val="20"/>
          <w:szCs w:val="20"/>
          <w:color w:val="auto"/>
        </w:rPr>
      </w:pPr>
      <w:r>
        <w:rPr>
          <w:rFonts w:ascii="Arial" w:cs="Arial" w:eastAsia="Arial" w:hAnsi="Arial"/>
          <w:sz w:val="18"/>
          <w:szCs w:val="18"/>
          <w:color w:val="auto"/>
        </w:rPr>
        <w:t>Income on bank owned life insurance was $1.0 million for the three months ended September 30, 2021, a 2.3% decrease from the comparable period in 2020, and was $3.4 million for the nine months ended September 30, 2021, a 21.1% decrease from the comparable period in 2020. Decreases primarily resulted from a $0.8 million decline in earnings on death proceeds for the nine months ended September 30, 2021.</w:t>
      </w:r>
    </w:p>
    <w:p>
      <w:pPr>
        <w:spacing w:after="0" w:line="174" w:lineRule="exact"/>
        <w:rPr>
          <w:sz w:val="20"/>
          <w:szCs w:val="20"/>
          <w:color w:val="auto"/>
        </w:rPr>
      </w:pPr>
    </w:p>
    <w:p>
      <w:pPr>
        <w:jc w:val="both"/>
        <w:ind w:left="60" w:right="79"/>
        <w:spacing w:after="0" w:line="262" w:lineRule="auto"/>
        <w:rPr>
          <w:sz w:val="20"/>
          <w:szCs w:val="20"/>
          <w:color w:val="auto"/>
        </w:rPr>
      </w:pPr>
      <w:r>
        <w:rPr>
          <w:rFonts w:ascii="Arial" w:cs="Arial" w:eastAsia="Arial" w:hAnsi="Arial"/>
          <w:sz w:val="17"/>
          <w:szCs w:val="17"/>
          <w:color w:val="auto"/>
        </w:rPr>
        <w:t>Other income was $3.1 million for the three months ended September 30, 2021, an 8.0% decrease from the comparable period in 2020, and was $7.1 million for the nine months ended September 30, 2021, a 21.2% increase from the comparable period in 2020. Other income variances are primarily driven by fluctuations in income generated from swap origination fees, commercial loan sales gains, and gains and losses on fixed asset disposal.</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2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41,949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7,782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3,845</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97.7 %</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occupancy expense of premises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Furniture and equipment expenses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(337)</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3,149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10,807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7,771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3,036</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73,487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56,542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16,945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(2,663)</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4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19.9 %</w:t>
            </w:r>
          </w:p>
        </w:tc>
        <w:tc>
          <w:tcPr>
            <w:tcW w:w="2640" w:type="dxa"/>
            <w:vAlign w:val="bottom"/>
          </w:tcPr>
          <w:p>
            <w:pPr>
              <w:jc w:val="right"/>
              <w:ind w:right="1650"/>
              <w:spacing w:after="0" w:line="202" w:lineRule="exact"/>
              <w:rPr>
                <w:sz w:val="20"/>
                <w:szCs w:val="20"/>
                <w:color w:val="auto"/>
              </w:rPr>
            </w:pPr>
            <w:r>
              <w:rPr>
                <w:rFonts w:ascii="Arial" w:cs="Arial" w:eastAsia="Arial" w:hAnsi="Arial"/>
                <w:sz w:val="18"/>
                <w:szCs w:val="18"/>
                <w:color w:val="auto"/>
              </w:rPr>
              <w:t>22.8 %</w:t>
            </w:r>
          </w:p>
        </w:tc>
      </w:tr>
      <w:tr>
        <w:trPr>
          <w:trHeight w:val="203"/>
        </w:trPr>
        <w:tc>
          <w:tcPr>
            <w:tcW w:w="22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3"/>
                <w:szCs w:val="23"/>
                <w:color w:val="auto"/>
                <w:vertAlign w:val="superscript"/>
              </w:rPr>
              <w:t>(1)</w:t>
            </w:r>
          </w:p>
        </w:tc>
        <w:tc>
          <w:tcPr>
            <w:tcW w:w="4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67.3 %</w:t>
            </w:r>
          </w:p>
        </w:tc>
        <w:tc>
          <w:tcPr>
            <w:tcW w:w="2640" w:type="dxa"/>
            <w:vAlign w:val="bottom"/>
          </w:tcPr>
          <w:p>
            <w:pPr>
              <w:jc w:val="right"/>
              <w:ind w:right="1650"/>
              <w:spacing w:after="0" w:line="202" w:lineRule="exact"/>
              <w:rPr>
                <w:sz w:val="20"/>
                <w:szCs w:val="20"/>
                <w:color w:val="auto"/>
              </w:rPr>
            </w:pPr>
            <w:r>
              <w:rPr>
                <w:rFonts w:ascii="Arial" w:cs="Arial" w:eastAsia="Arial" w:hAnsi="Arial"/>
                <w:sz w:val="18"/>
                <w:szCs w:val="18"/>
                <w:color w:val="auto"/>
              </w:rPr>
              <w:t>52.4 %</w:t>
            </w: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Adjusted efficiency ratio </w:t>
            </w:r>
            <w:r>
              <w:rPr>
                <w:rFonts w:ascii="Arial" w:cs="Arial" w:eastAsia="Arial" w:hAnsi="Arial"/>
                <w:sz w:val="23"/>
                <w:szCs w:val="23"/>
                <w:color w:val="auto"/>
                <w:vertAlign w:val="superscript"/>
              </w:rPr>
              <w:t>(1)</w:t>
            </w:r>
          </w:p>
        </w:tc>
        <w:tc>
          <w:tcPr>
            <w:tcW w:w="40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59.0 %</w:t>
            </w:r>
          </w:p>
        </w:tc>
        <w:tc>
          <w:tcPr>
            <w:tcW w:w="2640" w:type="dxa"/>
            <w:vAlign w:val="bottom"/>
            <w:shd w:val="clear" w:color="auto" w:fill="CCEEFF"/>
          </w:tcPr>
          <w:p>
            <w:pPr>
              <w:jc w:val="right"/>
              <w:ind w:right="1650"/>
              <w:spacing w:after="0" w:line="202" w:lineRule="exact"/>
              <w:rPr>
                <w:sz w:val="20"/>
                <w:szCs w:val="20"/>
                <w:color w:val="auto"/>
              </w:rPr>
            </w:pPr>
            <w:r>
              <w:rPr>
                <w:rFonts w:ascii="Arial" w:cs="Arial" w:eastAsia="Arial" w:hAnsi="Arial"/>
                <w:sz w:val="18"/>
                <w:szCs w:val="18"/>
                <w:color w:val="auto"/>
              </w:rPr>
              <w:t>50.0 %</w:t>
            </w:r>
          </w:p>
        </w:tc>
      </w:tr>
      <w:tr>
        <w:trPr>
          <w:trHeight w:val="115"/>
        </w:trPr>
        <w:tc>
          <w:tcPr>
            <w:tcW w:w="224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640" w:type="dxa"/>
            <w:vAlign w:val="bottom"/>
          </w:tcPr>
          <w:p>
            <w:pPr>
              <w:spacing w:after="0"/>
              <w:rPr>
                <w:sz w:val="10"/>
                <w:szCs w:val="10"/>
                <w:color w:val="auto"/>
              </w:rPr>
            </w:pPr>
          </w:p>
        </w:tc>
      </w:tr>
    </w:tbl>
    <w:p>
      <w:pPr>
        <w:spacing w:after="0" w:line="62" w:lineRule="exact"/>
        <w:rPr>
          <w:sz w:val="20"/>
          <w:szCs w:val="20"/>
          <w:color w:val="auto"/>
        </w:rPr>
      </w:pPr>
    </w:p>
    <w:p>
      <w:pPr>
        <w:ind w:left="480" w:hanging="322"/>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4"/>
          <w:szCs w:val="14"/>
          <w:color w:val="auto"/>
        </w:rPr>
        <w:t>For a reconciliation of efficiency ratio and adjusted efficiency ratio, non-GAAP financial measures, see Non-GAAP Financial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2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107,222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11,825</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16,881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4,498</w:t>
            </w:r>
          </w:p>
        </w:tc>
        <w:tc>
          <w:tcPr>
            <w:tcW w:w="8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occupancy expense of premises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Furniture and equipment expenses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7,311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(1,011)</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8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28,425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24,947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3,478</w:t>
            </w:r>
          </w:p>
        </w:tc>
        <w:tc>
          <w:tcPr>
            <w:tcW w:w="8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190,611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170,124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20,487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24,136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19,986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20.5 %</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21.7 %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61.4 %</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54.3 %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Adjusted efficiency ratio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57.5 %</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Full-time equivalent employees as of period-end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4"/>
          <w:szCs w:val="14"/>
          <w:color w:val="auto"/>
        </w:rPr>
        <w:t>For a reconciliation of efficiency ratio and adjusted efficiency ratio, non-GAAP financial measures, see Non-GAAP Financial Information.</w:t>
      </w:r>
    </w:p>
    <w:p>
      <w:pPr>
        <w:spacing w:after="0" w:line="208"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Total noninterest expense was $73.5 million for the three months ended September 30, 2021, a 30.0% increase from the comparable period in 2020, and was $190.6 million for the nine months ended September 30, 2021, a 12.0% increase from the comparable period in 2020. Non-operating acquisition and other restructuring expenses contributed $8.7 million to total noninterest expense for the three months ended September 30, 2021, compared to $2.5 million for the comparable period in 2020, and contributed $11.7 million to total noninterest expense for the nine months ended September 30, 2021, compared to $3.2 million for the comparable period in 2020. GSB’s results of operations were included in the Company’s results of operations beginning June 1, 2021.</w:t>
      </w:r>
    </w:p>
    <w:p>
      <w:pPr>
        <w:spacing w:after="0" w:line="166"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Salaries, wages, and employee benefits were $41.9 million for the three months ended September 30, 2021, a 27.7% increase from the comparable period in 2020, and were $107.2 million for the nine months ended September 30, 2021, a 12.4% increase from the comparable period in 2020. Non-operating expenses contributed $2.7 million and $3.5 million of the increases for the three and nine months ended September 30, 2021, over the comparable periods in 2020, respectively. Salaries, wages, and employee benefit expenses were impacted by increases in full-time equivalent employees since June 1, 2021, related to the CAC acquisition, and we began to see synergies in late August after the banks were merged.</w:t>
      </w:r>
    </w:p>
    <w:p>
      <w:pPr>
        <w:spacing w:after="0" w:line="148" w:lineRule="exact"/>
        <w:rPr>
          <w:sz w:val="20"/>
          <w:szCs w:val="20"/>
          <w:color w:val="auto"/>
        </w:rPr>
      </w:pPr>
    </w:p>
    <w:p>
      <w:pPr>
        <w:ind w:left="60" w:right="219"/>
        <w:spacing w:after="0" w:line="262" w:lineRule="auto"/>
        <w:rPr>
          <w:sz w:val="20"/>
          <w:szCs w:val="20"/>
          <w:color w:val="auto"/>
        </w:rPr>
      </w:pPr>
      <w:r>
        <w:rPr>
          <w:rFonts w:ascii="Arial" w:cs="Arial" w:eastAsia="Arial" w:hAnsi="Arial"/>
          <w:sz w:val="17"/>
          <w:szCs w:val="17"/>
          <w:color w:val="auto"/>
        </w:rPr>
        <w:t>Data processing expense was $7.8 million for the three months ended September 30, 2021, a 97.7% increase from the comparable period in 2020, and was $16.9 million for the nine months ended September 30, 2021, a 36.3% increase from the comparable period in 2020. Acquisition related non-operating expenses contributed $3.2 million and $3.6 million of the increases for the three and nine months ended September 30, 2021, respectively.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color w:val="auto"/>
        </w:rPr>
        <w:t>Combined, net occupancy expense of premises and furniture and equipment expense was $7.0 million for the three months ended September 30, 2021, a 6.4% increase from the comparable period in 2020, and was $19.9 million for the nine months ended September 30, 2021, a 4.0% decrease from the comparable period in 2020. GSB added 7 branches in 2021. The Company closed 12 banking centers in October 2020, and has evaluated and expects to close and consolidate 17 Busey Bank banking centers, two of which were formerly GSB banking centers, in the fourth quarter of 2021.</w:t>
      </w:r>
    </w:p>
    <w:p>
      <w:pPr>
        <w:spacing w:after="0" w:line="14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Professional fees were $1.4 million for the three months ended September 30, 2021, a 19.8% decrease from the comparable period in 2020, and were $5.6 million for the nine months ended September 30, 2021, a 2.0% increase from the comparable period in 2020. Non-operating expenses contributed $0.1 million and $1.4 million in professional fees for the three and nine months ended September 30, 2021, compared to $0.2 million for the three and nine months ended September 30, 2020.</w:t>
      </w:r>
    </w:p>
    <w:p>
      <w:pPr>
        <w:spacing w:after="0" w:line="176" w:lineRule="exact"/>
        <w:rPr>
          <w:sz w:val="20"/>
          <w:szCs w:val="20"/>
          <w:color w:val="auto"/>
        </w:rPr>
      </w:pPr>
    </w:p>
    <w:p>
      <w:pPr>
        <w:ind w:left="60" w:right="159"/>
        <w:spacing w:after="0" w:line="294" w:lineRule="auto"/>
        <w:rPr>
          <w:sz w:val="20"/>
          <w:szCs w:val="20"/>
          <w:color w:val="auto"/>
        </w:rPr>
      </w:pPr>
      <w:r>
        <w:rPr>
          <w:rFonts w:ascii="Arial" w:cs="Arial" w:eastAsia="Arial" w:hAnsi="Arial"/>
          <w:sz w:val="16"/>
          <w:szCs w:val="16"/>
          <w:color w:val="auto"/>
        </w:rPr>
        <w:t>Amortization of intangible assets was $3.1 million for the three months ended September 30, 2021, a 26.3% increase from the comparable period in 2020, and was $8.2 million for the nine months ended September 30, 2021, an 8.3% increase from the comparable period for 2020. The increase primarily related to intangibles acquired in the CAC acquisition.</w:t>
      </w:r>
    </w:p>
    <w:p>
      <w:pPr>
        <w:spacing w:after="0" w:line="134"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Interchange expense was $1.4 million for the three months ended September 30, 2021, a 17.3% increase from the comparable period in 2020, and was $4.4 million for the nine months ended September 30, 2021, a 21.4% increase from the comparable period in 2020. Fluctuations in interchange expense were primarily the result of increased payment and volume activity at FirsTech.</w:t>
      </w:r>
    </w:p>
    <w:p>
      <w:pPr>
        <w:spacing w:after="0" w:line="174"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Other expense was $10.8 million for the three months ended September 30, 2021, a 39.1% increase from the comparable period in 2020, and was $28.4 million for the nine months ended September 30, 2021, a 13.9% increase from the comparable period in 2020. Increases were across multiple expense categories including New Market Tax Credit amortization, regulatory expenses, marketing, business development, recruiting and onboarding, director compensation, and card service fees, partially offset by lower MSR valuation impairment and releases in the provision for unfunded commitments.</w:t>
      </w:r>
    </w:p>
    <w:p>
      <w:pPr>
        <w:spacing w:after="0" w:line="166" w:lineRule="exact"/>
        <w:rPr>
          <w:sz w:val="20"/>
          <w:szCs w:val="20"/>
          <w:color w:val="auto"/>
        </w:rPr>
      </w:pPr>
    </w:p>
    <w:p>
      <w:pPr>
        <w:ind w:left="60" w:right="119"/>
        <w:spacing w:after="0" w:line="224" w:lineRule="auto"/>
        <w:rPr>
          <w:rFonts w:ascii="Arial" w:cs="Arial" w:eastAsia="Arial" w:hAnsi="Arial"/>
          <w:sz w:val="18"/>
          <w:szCs w:val="18"/>
          <w:color w:val="auto"/>
        </w:rPr>
      </w:pPr>
      <w:r>
        <w:rPr>
          <w:rFonts w:ascii="Arial" w:cs="Arial" w:eastAsia="Arial" w:hAnsi="Arial"/>
          <w:sz w:val="18"/>
          <w:szCs w:val="18"/>
          <w:color w:val="auto"/>
        </w:rPr>
        <w:t>The efficiency ratio</w:t>
      </w:r>
      <w:r>
        <w:rPr>
          <w:rFonts w:ascii="Arial" w:cs="Arial" w:eastAsia="Arial" w:hAnsi="Arial"/>
          <w:sz w:val="26"/>
          <w:szCs w:val="26"/>
          <w:color w:val="auto"/>
          <w:vertAlign w:val="superscript"/>
        </w:rPr>
        <w:t>(</w:t>
      </w:r>
      <w:hyperlink w:anchor="page55">
        <w:r>
          <w:rPr>
            <w:rFonts w:ascii="Arial" w:cs="Arial" w:eastAsia="Arial" w:hAnsi="Arial"/>
            <w:sz w:val="26"/>
            <w:szCs w:val="26"/>
            <w:u w:val="single" w:color="auto"/>
            <w:color w:val="0000EE"/>
            <w:vertAlign w:val="superscript"/>
          </w:rPr>
          <w:t>1</w:t>
        </w:r>
      </w:hyperlink>
      <w:r>
        <w:rPr>
          <w:rFonts w:ascii="Arial" w:cs="Arial" w:eastAsia="Arial" w:hAnsi="Arial"/>
          <w:sz w:val="26"/>
          <w:szCs w:val="26"/>
          <w:color w:val="auto"/>
          <w:vertAlign w:val="superscript"/>
        </w:rPr>
        <w:t>)</w:t>
      </w:r>
      <w:r>
        <w:rPr>
          <w:rFonts w:ascii="Arial" w:cs="Arial" w:eastAsia="Arial" w:hAnsi="Arial"/>
          <w:sz w:val="18"/>
          <w:szCs w:val="18"/>
          <w:color w:val="auto"/>
        </w:rPr>
        <w:t>, which is a measure commonly used by management and the banking industry, measures the amount of expense incurred to generate a dollar of revenue. The efficiency ratios were 67.3% and 61.4% for the three and nine months ended September 30, 2021, respectively, compared to 52.4% and 54.3% for the three and nine months ended September 30, 2020, respectively.</w:t>
      </w:r>
    </w:p>
    <w:p>
      <w:pPr>
        <w:spacing w:after="0" w:line="167" w:lineRule="exact"/>
        <w:rPr>
          <w:sz w:val="20"/>
          <w:szCs w:val="20"/>
          <w:color w:val="auto"/>
        </w:rPr>
      </w:pPr>
    </w:p>
    <w:p>
      <w:pPr>
        <w:ind w:left="60" w:right="579"/>
        <w:spacing w:after="0" w:line="217" w:lineRule="auto"/>
        <w:rPr>
          <w:sz w:val="20"/>
          <w:szCs w:val="20"/>
          <w:color w:val="auto"/>
        </w:rPr>
      </w:pPr>
      <w:r>
        <w:rPr>
          <w:rFonts w:ascii="Arial" w:cs="Arial" w:eastAsia="Arial" w:hAnsi="Arial"/>
          <w:sz w:val="18"/>
          <w:szCs w:val="18"/>
          <w:color w:val="auto"/>
        </w:rPr>
        <w:t>The adjusted efficiency ratios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were 59.0% and 57.5% for the three and nine months ended September 30, 2021, respectively, compared to 50.0% and 53.2% for three and nine months ended September 30, 2020, respectively. The Company remains focused on expense discipline.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effective income tax rates of 19.9% and 20.5% for the three and nine months ended September 30, 2021, respectively, were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As of September 30, 2021, the Company was not under examination by any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292100</wp:posOffset>
            </wp:positionV>
            <wp:extent cx="141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20" w:right="1999" w:hanging="4370"/>
        <w:spacing w:after="0" w:line="708" w:lineRule="auto"/>
        <w:tabs>
          <w:tab w:leader="none" w:pos="259"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A Non-GAAP financial measure. See “Non-GAAP Financial Information” for reconciliation.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19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 xml:space="preserve">Changes in significant items included in our unaudited Consolidated Balance Sheets are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1"/>
                <w:szCs w:val="11"/>
                <w:color w:val="auto"/>
              </w:rPr>
            </w:pPr>
          </w:p>
        </w:tc>
        <w:tc>
          <w:tcPr>
            <w:tcW w:w="1000" w:type="dxa"/>
            <w:vAlign w:val="bottom"/>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Debt securities available for sale</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3,997,244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2,261,187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1,736,057</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Portfolio loans,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7,057,833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6,713,129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344,704</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12,899,330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10,544,047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2,355,283</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Noninterest-bearing</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3,453,906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2,552,039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901,867</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CCEEFF"/>
            </w:tcBorders>
          </w:tcPr>
          <w:p>
            <w:pPr>
              <w:ind w:left="400"/>
              <w:spacing w:after="0" w:line="202" w:lineRule="exact"/>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7,363,961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6,125,810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1,238,151</w:t>
            </w:r>
          </w:p>
        </w:tc>
        <w:tc>
          <w:tcPr>
            <w:tcW w:w="980" w:type="dxa"/>
            <w:vAlign w:val="bottom"/>
            <w:tcBorders>
              <w:bottom w:val="single" w:sz="8" w:color="CCEEFF"/>
            </w:tcBorders>
            <w:gridSpan w:val="3"/>
          </w:tcPr>
          <w:p>
            <w:pPr>
              <w:jc w:val="right"/>
              <w:ind w:right="20"/>
              <w:spacing w:after="0" w:line="202" w:lineRule="exact"/>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deposits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10,817,867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8,677,849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2,140,018</w:t>
            </w:r>
          </w:p>
        </w:tc>
        <w:tc>
          <w:tcPr>
            <w:tcW w:w="9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241,242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175,614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65,628</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39,910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5"/>
              </w:rPr>
              <w:t>Subordinated notes, net of unamortized issuance costs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182,226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w w:val="94"/>
              </w:rPr>
              <w:t>Junior subordinated debt owed to unconsolidated trusts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71,593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71,468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11,566,254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9,273,978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2,292,276</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1,333,076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1,270,069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63,007</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GSB’s policies were similar in nature to Busey Bank’s policies and the Company is migrating the legacy GSB portfolio toward Busey Bank’s policies.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Busey Bank. The Company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72" w:lineRule="exact"/>
        <w:rPr>
          <w:sz w:val="20"/>
          <w:szCs w:val="20"/>
          <w:color w:val="auto"/>
        </w:rPr>
      </w:pPr>
    </w:p>
    <w:p>
      <w:pPr>
        <w:ind w:left="60" w:right="239"/>
        <w:spacing w:after="0" w:line="272"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ACL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As a matter of policy and practice, the Company limits the level of concentration exposure in any particular loan segment with the goal of maintaining a well-diversified loan portfolio. In anticipation of the potential risks associated with COVID-19, the Company took actions starting in early March 2020 to escalate the monitoring of susceptible industry sectors within its portfolio.</w:t>
      </w:r>
    </w:p>
    <w:p>
      <w:pPr>
        <w:spacing w:after="0" w:line="174"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74"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loans for compliance with the Company’s loan policy on a periodic basis. In addition, the loan review department reviews risk assessments made by the Company’s credit department, lenders, and loan committees. Results of these reviews are presented to management and the audit committee at least quarterly.</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2020 Annual Report. The significant majority of the Company’s portfolio lending activity occurs in its Illinois and Missouri markets, with the remainder in the Florida and Indiana markets.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Missouri</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9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$ 1,340,421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490,939</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46,411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$ 1,931,863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2,061,455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668,014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181,352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157,801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3,068,622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186,171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133,385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65,637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45,664</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1,127,787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237,966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94,429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52,702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1,512,884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195,329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206,409</w:t>
            </w:r>
          </w:p>
        </w:tc>
        <w:tc>
          <w:tcPr>
            <w:tcW w:w="0" w:type="dxa"/>
            <w:vAlign w:val="bottom"/>
          </w:tcPr>
          <w:p>
            <w:pPr>
              <w:spacing w:after="0"/>
              <w:rPr>
                <w:sz w:val="1"/>
                <w:szCs w:val="1"/>
                <w:color w:val="auto"/>
              </w:rPr>
            </w:pPr>
          </w:p>
        </w:tc>
      </w:tr>
      <w:tr>
        <w:trPr>
          <w:trHeight w:val="236"/>
        </w:trPr>
        <w:tc>
          <w:tcPr>
            <w:tcW w:w="2860" w:type="dxa"/>
            <w:vAlign w:val="bottom"/>
            <w:gridSpan w:val="2"/>
          </w:tcPr>
          <w:p>
            <w:pPr>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$ 4,911,163</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1,534,329</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397,830</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307,313</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$ 7,150,635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$ 7,057,833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Missouri</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9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$ 1,386,587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529,281</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50,878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47,830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1,880,437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715,680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154,234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142,184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192,971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96,207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963,538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295,352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94,748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54,214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32,678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36"/>
        </w:trPr>
        <w:tc>
          <w:tcPr>
            <w:tcW w:w="2860" w:type="dxa"/>
            <w:vAlign w:val="bottom"/>
            <w:gridSpan w:val="2"/>
          </w:tcPr>
          <w:p>
            <w:pPr>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$ 4,456,211</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1,657,955</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358,429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341,582</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$ 6,814,177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40" w:type="dxa"/>
            <w:vAlign w:val="bottom"/>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Portfolio loans increased by 4.9% to $7.2 billion as of September 30, 2021, compared to $6.8 billion as of December 31, 2020. Commercial balances (consisting of commercial, commercial real estate, and real estate construction loans), excluding PPP loans, increased $330.6 million since December 31, 2020. Retail real estate and retail other loans increased $274.0 million since December 31, 2020. September 30, 2021, portfolio loan balances included balances acquired in the CAC acquisition.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98"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The ACL is a significant estimate in the Company’s unaudited consolidated financial statements, affecting both earnings and capital. The methodology adopted influences, and is influenced by, the Company’s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62" w:lineRule="exact"/>
        <w:rPr>
          <w:sz w:val="20"/>
          <w:szCs w:val="20"/>
          <w:color w:val="auto"/>
        </w:rPr>
      </w:pPr>
    </w:p>
    <w:p>
      <w:pPr>
        <w:ind w:left="60" w:right="219"/>
        <w:spacing w:after="0" w:line="274" w:lineRule="auto"/>
        <w:rPr>
          <w:sz w:val="20"/>
          <w:szCs w:val="20"/>
          <w:color w:val="auto"/>
        </w:rPr>
      </w:pPr>
      <w:r>
        <w:rPr>
          <w:rFonts w:ascii="Arial" w:cs="Arial" w:eastAsia="Arial" w:hAnsi="Arial"/>
          <w:sz w:val="16"/>
          <w:szCs w:val="16"/>
          <w:color w:val="auto"/>
        </w:rPr>
        <w:t>As a result of continued strength in asset quality performance metrics, as well as improved macro-economic outlooks, the third quarter of 2021 results reflect a provision release, as compared to a reserve build at the onset of the COVID-19 pandemic. Provision for credit loss expense decreased due to a reserve release of $1.9 million for the three months ended September 30, 2021, compared to a $5.5 million provision expense for the same period in 2020. Provision for credit loss expense decreased due to a reserve release of $10.4 million for the nine months ended September 30, 2021, compared to a $35.7 million provision expense for the same period in 2020. In addition to the effects of the provision, the ACL was increased by $4.2 million in the second quarter of 2021 by the Day 1 PCD related to the CAC acquisition.</w:t>
      </w:r>
    </w:p>
    <w:p>
      <w:pPr>
        <w:spacing w:after="0" w:line="15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 xml:space="preserve">The relationship between our portfolio loan balances and our ACL is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108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Portfolio loans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Portfolio loans, excluding PPP loans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6,972,404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6,795,255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6,257,196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6,367,774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6,384,916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PPP loans, amortized cost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178,231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390,395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522,104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446,403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736,395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portfolio loans</w:t>
            </w: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7,150,635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7,185,650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6,779,300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7,121,311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to portfolio loans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ACL to portfolio loans, excluding PPP loans</w:t>
            </w: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1.33 %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1.40 %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1.50 %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1.59 %</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1.55 %</w:t>
            </w:r>
          </w:p>
        </w:tc>
      </w:tr>
      <w:tr>
        <w:trPr>
          <w:trHeight w:val="203"/>
        </w:trPr>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 to non-performing loans</w:t>
            </w:r>
          </w:p>
        </w:tc>
        <w:tc>
          <w:tcPr>
            <w:tcW w:w="12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358.86 %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336.96 %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411.04 %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415.82 %</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408.82 %</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ACL to non-performing assets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319.52 %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303.35 %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346.05 %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349.99 %</w:t>
            </w:r>
          </w:p>
        </w:tc>
        <w:tc>
          <w:tcPr>
            <w:tcW w:w="900" w:type="dxa"/>
            <w:vAlign w:val="bottom"/>
          </w:tcPr>
          <w:p>
            <w:pPr>
              <w:jc w:val="right"/>
              <w:spacing w:after="0"/>
              <w:rPr>
                <w:sz w:val="20"/>
                <w:szCs w:val="20"/>
                <w:color w:val="auto"/>
              </w:rPr>
            </w:pPr>
            <w:r>
              <w:rPr>
                <w:rFonts w:ascii="Arial" w:cs="Arial" w:eastAsia="Arial" w:hAnsi="Arial"/>
                <w:sz w:val="18"/>
                <w:szCs w:val="18"/>
                <w:color w:val="auto"/>
              </w:rPr>
              <w:t>339.02 %</w:t>
            </w:r>
          </w:p>
        </w:tc>
      </w:tr>
    </w:tbl>
    <w:p>
      <w:pPr>
        <w:spacing w:after="0" w:line="160" w:lineRule="exact"/>
        <w:rPr>
          <w:sz w:val="20"/>
          <w:szCs w:val="20"/>
          <w:color w:val="auto"/>
        </w:rPr>
      </w:pPr>
    </w:p>
    <w:p>
      <w:pPr>
        <w:ind w:left="60" w:right="139"/>
        <w:spacing w:after="0" w:line="262" w:lineRule="auto"/>
        <w:rPr>
          <w:sz w:val="20"/>
          <w:szCs w:val="20"/>
          <w:color w:val="auto"/>
        </w:rPr>
      </w:pPr>
      <w:r>
        <w:rPr>
          <w:rFonts w:ascii="Arial" w:cs="Arial" w:eastAsia="Arial" w:hAnsi="Arial"/>
          <w:sz w:val="17"/>
          <w:szCs w:val="17"/>
          <w:color w:val="auto"/>
        </w:rPr>
        <w:t>As of September 30, 2021,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98"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46"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ind w:left="16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 30 – 89 days past due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Non-performing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27,725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21,706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Borders>
              <w:bottom w:val="single" w:sz="8" w:color="CCEEFF"/>
            </w:tcBorders>
          </w:tcPr>
          <w:p>
            <w:pPr>
              <w:ind w:left="400"/>
              <w:spacing w:after="0" w:line="202" w:lineRule="exact"/>
              <w:rPr>
                <w:sz w:val="20"/>
                <w:szCs w:val="20"/>
                <w:color w:val="auto"/>
              </w:rPr>
            </w:pPr>
            <w:r>
              <w:rPr>
                <w:rFonts w:ascii="Arial" w:cs="Arial" w:eastAsia="Arial" w:hAnsi="Arial"/>
                <w:sz w:val="18"/>
                <w:szCs w:val="18"/>
                <w:color w:val="auto"/>
              </w:rPr>
              <w:t>Loans 90+ days past due and still accruing</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28,315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22,855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OREO</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29,044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31,452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27,147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Substandard (excludes 90+ days past due)</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51,740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44,877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65,088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68,924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77,939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80" w:type="dxa"/>
            <w:vAlign w:val="bottom"/>
            <w:gridSpan w:val="2"/>
          </w:tcPr>
          <w:p>
            <w:pPr>
              <w:spacing w:after="0" w:line="196" w:lineRule="exact"/>
              <w:rPr>
                <w:sz w:val="20"/>
                <w:szCs w:val="20"/>
                <w:color w:val="auto"/>
              </w:rPr>
            </w:pPr>
            <w:r>
              <w:rPr>
                <w:rFonts w:ascii="Arial" w:cs="Arial" w:eastAsia="Arial" w:hAnsi="Arial"/>
                <w:sz w:val="18"/>
                <w:szCs w:val="18"/>
                <w:color w:val="auto"/>
              </w:rPr>
              <w:t>Classified assets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80,784</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76,329</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92,235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97,796</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107,094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w w:val="95"/>
              </w:rPr>
              <w:t>Performing TDRs (includes 30 – 89 days past due)</w:t>
            </w:r>
          </w:p>
        </w:tc>
        <w:tc>
          <w:tcPr>
            <w:tcW w:w="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2,083</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2,518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3,299</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Non-performing assets to total assets</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0.23 %</w:t>
            </w: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0.25 %</w:t>
            </w: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0.25 %</w:t>
            </w:r>
          </w:p>
        </w:tc>
        <w:tc>
          <w:tcPr>
            <w:tcW w:w="1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0.27 %</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0.28 %</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loans to portfolio loans</w:t>
            </w:r>
          </w:p>
        </w:tc>
        <w:tc>
          <w:tcPr>
            <w:tcW w:w="11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0.36 %</w:t>
            </w:r>
          </w:p>
        </w:tc>
        <w:tc>
          <w:tcPr>
            <w:tcW w:w="8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0.39 %</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0.34 %</w:t>
            </w:r>
          </w:p>
        </w:tc>
        <w:tc>
          <w:tcPr>
            <w:tcW w:w="10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0.36 %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0.34 %</w:t>
            </w:r>
          </w:p>
        </w:tc>
      </w:tr>
      <w:tr>
        <w:trPr>
          <w:trHeight w:val="188"/>
        </w:trPr>
        <w:tc>
          <w:tcPr>
            <w:tcW w:w="4180" w:type="dxa"/>
            <w:vAlign w:val="bottom"/>
          </w:tcPr>
          <w:p>
            <w:pPr>
              <w:spacing w:after="0" w:line="189" w:lineRule="exact"/>
              <w:rPr>
                <w:sz w:val="20"/>
                <w:szCs w:val="20"/>
                <w:color w:val="auto"/>
              </w:rPr>
            </w:pPr>
            <w:r>
              <w:rPr>
                <w:rFonts w:ascii="Arial" w:cs="Arial" w:eastAsia="Arial" w:hAnsi="Arial"/>
                <w:sz w:val="18"/>
                <w:szCs w:val="18"/>
                <w:color w:val="auto"/>
              </w:rPr>
              <w:t>Non-performing loans to portfolio loans, excluding</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4180" w:type="dxa"/>
            <w:vAlign w:val="bottom"/>
          </w:tcPr>
          <w:p>
            <w:pPr>
              <w:spacing w:after="0"/>
              <w:rPr>
                <w:sz w:val="20"/>
                <w:szCs w:val="20"/>
                <w:color w:val="auto"/>
              </w:rPr>
            </w:pPr>
            <w:r>
              <w:rPr>
                <w:rFonts w:ascii="Arial" w:cs="Arial" w:eastAsia="Arial" w:hAnsi="Arial"/>
                <w:sz w:val="18"/>
                <w:szCs w:val="18"/>
                <w:color w:val="auto"/>
              </w:rPr>
              <w:t>PPP loans</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0.37 %</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0.42 %</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0.37 %</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0.38 %</w:t>
            </w:r>
          </w:p>
        </w:tc>
        <w:tc>
          <w:tcPr>
            <w:tcW w:w="800" w:type="dxa"/>
            <w:vAlign w:val="bottom"/>
          </w:tcPr>
          <w:p>
            <w:pPr>
              <w:jc w:val="right"/>
              <w:spacing w:after="0"/>
              <w:rPr>
                <w:sz w:val="20"/>
                <w:szCs w:val="20"/>
                <w:color w:val="auto"/>
              </w:rPr>
            </w:pPr>
            <w:r>
              <w:rPr>
                <w:rFonts w:ascii="Arial" w:cs="Arial" w:eastAsia="Arial" w:hAnsi="Arial"/>
                <w:sz w:val="18"/>
                <w:szCs w:val="18"/>
                <w:color w:val="auto"/>
              </w:rPr>
              <w:t>0.38 %</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assets to portfolio loans and OREO</w:t>
            </w:r>
          </w:p>
        </w:tc>
        <w:tc>
          <w:tcPr>
            <w:tcW w:w="11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0.41 %</w:t>
            </w:r>
          </w:p>
        </w:tc>
        <w:tc>
          <w:tcPr>
            <w:tcW w:w="8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0.44 %</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0.40 %</w:t>
            </w:r>
          </w:p>
        </w:tc>
        <w:tc>
          <w:tcPr>
            <w:tcW w:w="10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0.42 %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0.41 %</w:t>
            </w:r>
          </w:p>
        </w:tc>
      </w:tr>
      <w:tr>
        <w:trPr>
          <w:trHeight w:val="188"/>
        </w:trPr>
        <w:tc>
          <w:tcPr>
            <w:tcW w:w="4180" w:type="dxa"/>
            <w:vAlign w:val="bottom"/>
          </w:tcPr>
          <w:p>
            <w:pPr>
              <w:spacing w:after="0" w:line="189" w:lineRule="exact"/>
              <w:rPr>
                <w:sz w:val="20"/>
                <w:szCs w:val="20"/>
                <w:color w:val="auto"/>
              </w:rPr>
            </w:pPr>
            <w:r>
              <w:rPr>
                <w:rFonts w:ascii="Arial" w:cs="Arial" w:eastAsia="Arial" w:hAnsi="Arial"/>
                <w:sz w:val="18"/>
                <w:szCs w:val="18"/>
                <w:color w:val="auto"/>
              </w:rPr>
              <w:t>Classified assets to Busey Bank Tier 1 Capital and</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ACL</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6.07 %</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5.72 %</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7.76 %</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8.47 %</w:t>
            </w:r>
          </w:p>
        </w:tc>
        <w:tc>
          <w:tcPr>
            <w:tcW w:w="800" w:type="dxa"/>
            <w:vAlign w:val="bottom"/>
          </w:tcPr>
          <w:p>
            <w:pPr>
              <w:jc w:val="right"/>
              <w:spacing w:after="0"/>
              <w:rPr>
                <w:sz w:val="20"/>
                <w:szCs w:val="20"/>
                <w:color w:val="auto"/>
              </w:rPr>
            </w:pPr>
            <w:r>
              <w:rPr>
                <w:rFonts w:ascii="Arial" w:cs="Arial" w:eastAsia="Arial" w:hAnsi="Arial"/>
                <w:sz w:val="18"/>
                <w:szCs w:val="18"/>
                <w:color w:val="auto"/>
              </w:rPr>
              <w:t>9.58 %</w:t>
            </w:r>
          </w:p>
        </w:tc>
      </w:tr>
    </w:tbl>
    <w:p>
      <w:pPr>
        <w:spacing w:after="0" w:line="175"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Non-performing loan balances increased by 6.4% to $25.9 million as of September 30, 2021, compared with $24.3 million as of December 31, 2020. Non-performing loans acquired from GSB were $4.4 million at September 30, 2021. Continued disciplined credit management resulted in non-performing loans as a percentage of total loans of 0.36% as of September 30, 2021, and December 31, 2020. Excluding the amortized cost of PPP loans, non-performing loans as a percentage of total loans was 0.37% as of September 30, 2021, compared to 0.38% as of December 31, 2020.</w:t>
      </w:r>
    </w:p>
    <w:p>
      <w:pPr>
        <w:spacing w:after="0" w:line="160"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color w:val="auto"/>
        </w:rPr>
        <w:t>Asset quality metrics remain dependent upon market-specific economic conditions, and specific measures may fluctuate from period to period. If economic conditions were to deteriorate, the Company would expect the credit quality of our loan portfolio to decline and loan defaults to increase.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Potential Problem Loans</w:t>
      </w:r>
    </w:p>
    <w:p>
      <w:pPr>
        <w:spacing w:after="0" w:line="198" w:lineRule="exact"/>
        <w:rPr>
          <w:sz w:val="20"/>
          <w:szCs w:val="20"/>
          <w:color w:val="auto"/>
        </w:rPr>
      </w:pPr>
    </w:p>
    <w:p>
      <w:pPr>
        <w:ind w:left="60" w:right="59"/>
        <w:spacing w:after="0" w:line="272" w:lineRule="auto"/>
        <w:rPr>
          <w:sz w:val="20"/>
          <w:szCs w:val="20"/>
          <w:color w:val="auto"/>
        </w:rPr>
      </w:pPr>
      <w:r>
        <w:rPr>
          <w:rFonts w:ascii="Arial" w:cs="Arial" w:eastAsia="Arial" w:hAnsi="Arial"/>
          <w:sz w:val="16"/>
          <w:szCs w:val="16"/>
          <w:color w:val="auto"/>
        </w:rPr>
        <w:t>Potential problem loans are loans classified as substandard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by 25.0% to $51.6 million as of September 30, 2021, compared to $68.8 million as of December 31, 2020. Management continues to monitor these credits and anticipates that restructurings, guarantees, additional collateral, or other planned actions will result in full repayment of the debts. As of September 30, 2021, management identified no other loans that represent or result from trends or uncertainties which would be expected to materially impact future operating results, liquidity, or capital resources.</w:t>
      </w:r>
    </w:p>
    <w:p>
      <w:pPr>
        <w:spacing w:after="0" w:line="154" w:lineRule="exact"/>
        <w:rPr>
          <w:sz w:val="20"/>
          <w:szCs w:val="20"/>
          <w:color w:val="auto"/>
        </w:rPr>
      </w:pPr>
    </w:p>
    <w:p>
      <w:pPr>
        <w:ind w:left="60" w:right="279"/>
        <w:spacing w:after="0" w:line="284" w:lineRule="auto"/>
        <w:rPr>
          <w:sz w:val="20"/>
          <w:szCs w:val="20"/>
          <w:color w:val="auto"/>
        </w:rPr>
      </w:pPr>
      <w:r>
        <w:rPr>
          <w:rFonts w:ascii="Arial" w:cs="Arial" w:eastAsia="Arial" w:hAnsi="Arial"/>
          <w:sz w:val="16"/>
          <w:szCs w:val="16"/>
          <w:color w:val="auto"/>
        </w:rPr>
        <w:t>To alleviate some of the financial hardships faced as a result of COVID-19, the Company offered a Financial Relief Program to qualifying customers. The program included options for short-term loan payment deferrals and certain fee waivers. As of September 30, 2021, the Company had no loans remaining on full payment deferral, and 27 commercial loans on interest-only payment deferrals representing $116.6 million in loans. In addition, as of September 30, 2021,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459"/>
        <w:spacing w:after="0" w:line="261" w:lineRule="auto"/>
        <w:rPr>
          <w:sz w:val="20"/>
          <w:szCs w:val="20"/>
          <w:color w:val="auto"/>
        </w:rPr>
      </w:pPr>
      <w:r>
        <w:rPr>
          <w:rFonts w:ascii="Arial" w:cs="Arial" w:eastAsia="Arial" w:hAnsi="Arial"/>
          <w:sz w:val="18"/>
          <w:szCs w:val="18"/>
          <w:color w:val="auto"/>
        </w:rPr>
        <w:t>Company had three retail loans on payment deferrals representing $0.4 million in loans. As these deferrals expire, the Company will continue to monitor credits for potential problem loans.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Total deposits increased by 24.7% to $10.8 billion as of September 30, 2021, compared to $8.7 billion as of December 31, 2020. We focus on deepening our relationships with customers to foster core deposit growth, allowing us to reduce our reliance on wholesale funding. Fluctuations in deposit balances can be attributed to the retention of PPP loan funding in customer deposit accounts, the impacts of economic stimulus payments to consumers, other core deposit growth, the seasonality of public funds, and the CAC acquisition. Approximately $1.3 billion of deposits were acquired in the CAC acquisition.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the Company’s operating, investing, lending, and financing activities during any given period.</w:t>
      </w:r>
    </w:p>
    <w:p>
      <w:pPr>
        <w:spacing w:after="0" w:line="162" w:lineRule="exact"/>
        <w:rPr>
          <w:sz w:val="20"/>
          <w:szCs w:val="20"/>
          <w:color w:val="auto"/>
        </w:rPr>
      </w:pPr>
    </w:p>
    <w:p>
      <w:pPr>
        <w:ind w:left="60" w:right="79"/>
        <w:spacing w:after="0" w:line="269" w:lineRule="auto"/>
        <w:rPr>
          <w:sz w:val="20"/>
          <w:szCs w:val="20"/>
          <w:color w:val="auto"/>
        </w:rPr>
      </w:pPr>
      <w:r>
        <w:rPr>
          <w:rFonts w:ascii="Arial" w:cs="Arial" w:eastAsia="Arial" w:hAnsi="Arial"/>
          <w:sz w:val="16"/>
          <w:szCs w:val="16"/>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September 30, 2021, the Company had additional capacity to borrow $1.2 billion from the FHLB and $603.6 million from the Federal Reserve. The Company has the ability to pledge</w:t>
      </w:r>
    </w:p>
    <w:p>
      <w:pPr>
        <w:spacing w:after="0" w:line="1" w:lineRule="exact"/>
        <w:rPr>
          <w:sz w:val="20"/>
          <w:szCs w:val="20"/>
          <w:color w:val="auto"/>
        </w:rPr>
      </w:pPr>
    </w:p>
    <w:p>
      <w:pPr>
        <w:ind w:left="60" w:right="479" w:hanging="10"/>
        <w:spacing w:after="0" w:line="271" w:lineRule="auto"/>
        <w:tabs>
          <w:tab w:leader="none" w:pos="4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loans as collateral to either the FHLB or Federal Reserve Discount Window to increase the availability to borrow against any potential short-term funding needs.</w:t>
      </w:r>
    </w:p>
    <w:p>
      <w:pPr>
        <w:spacing w:after="0" w:line="150"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As of September 30, 2021,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Busey Bank routinely enters into commitments to extend credit and standby letters of credit in the normal course of business to meet the financing needs of its customers. As of September 30, 2021, we had outstanding loan commitments and standby letters of credit of $1.9 billion, compared to $1.8 billion as of December 31, 2020.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62"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As of September 30, 2021, our reserve for unfunded commitments was $6.2 million, compared to $7.3 million as of December 31, 2020. Provision expense for unfunded commitments decreased due to a reserve release of $1.0 million and $1.1 million for the three and nine months ended September 30, 2021, respectively, compared to an expense of $0.3 million and $1.8 million for the three and nine months ended September 30,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ind w:left="60" w:right="119"/>
        <w:spacing w:after="0" w:line="279"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discretionary bonus payments, banking institutions must maintain capital in excess of regulatory minimum capital requirements. The table below presents minimum capital ratios with capital buffer and September 30, 2021, capital ratios for First Busey and Busey Bank.</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8"/>
              </w:rPr>
              <w:t>Minimum Capital</w:t>
            </w:r>
          </w:p>
        </w:tc>
        <w:tc>
          <w:tcPr>
            <w:tcW w:w="19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7"/>
              </w:rPr>
              <w:t>As of September 30, 2021</w:t>
            </w:r>
          </w:p>
        </w:tc>
      </w:tr>
      <w:tr>
        <w:trPr>
          <w:trHeight w:val="133"/>
        </w:trPr>
        <w:tc>
          <w:tcPr>
            <w:tcW w:w="5480" w:type="dxa"/>
            <w:vAlign w:val="bottom"/>
          </w:tcPr>
          <w:p>
            <w:pPr>
              <w:spacing w:after="0"/>
              <w:rPr>
                <w:sz w:val="11"/>
                <w:szCs w:val="11"/>
                <w:color w:val="auto"/>
              </w:rPr>
            </w:pPr>
          </w:p>
        </w:tc>
        <w:tc>
          <w:tcPr>
            <w:tcW w:w="1460" w:type="dxa"/>
            <w:vAlign w:val="bottom"/>
            <w:gridSpan w:val="2"/>
          </w:tcPr>
          <w:p>
            <w:pPr>
              <w:jc w:val="center"/>
              <w:ind w:right="210"/>
              <w:spacing w:after="0" w:line="133" w:lineRule="exact"/>
              <w:rPr>
                <w:sz w:val="20"/>
                <w:szCs w:val="20"/>
                <w:color w:val="auto"/>
              </w:rPr>
            </w:pPr>
            <w:r>
              <w:rPr>
                <w:rFonts w:ascii="Arial" w:cs="Arial" w:eastAsia="Arial" w:hAnsi="Arial"/>
                <w:sz w:val="14"/>
                <w:szCs w:val="14"/>
                <w:b w:val="1"/>
                <w:bCs w:val="1"/>
                <w:color w:val="auto"/>
                <w:w w:val="92"/>
              </w:rPr>
              <w:t>Requirements with</w:t>
            </w:r>
          </w:p>
        </w:tc>
        <w:tc>
          <w:tcPr>
            <w:tcW w:w="1080" w:type="dxa"/>
            <w:vAlign w:val="bottom"/>
            <w:tcBorders>
              <w:top w:val="single" w:sz="8" w:color="auto"/>
            </w:tcBorders>
            <w:gridSpan w:val="2"/>
          </w:tcPr>
          <w:p>
            <w:pPr>
              <w:jc w:val="right"/>
              <w:ind w:right="250"/>
              <w:spacing w:after="0" w:line="133" w:lineRule="exact"/>
              <w:rPr>
                <w:sz w:val="20"/>
                <w:szCs w:val="20"/>
                <w:color w:val="auto"/>
              </w:rPr>
            </w:pPr>
            <w:r>
              <w:rPr>
                <w:rFonts w:ascii="Arial" w:cs="Arial" w:eastAsia="Arial" w:hAnsi="Arial"/>
                <w:sz w:val="14"/>
                <w:szCs w:val="14"/>
                <w:b w:val="1"/>
                <w:bCs w:val="1"/>
                <w:color w:val="auto"/>
                <w:w w:val="94"/>
              </w:rPr>
              <w:t>First Busey</w:t>
            </w:r>
          </w:p>
        </w:tc>
        <w:tc>
          <w:tcPr>
            <w:tcW w:w="700" w:type="dxa"/>
            <w:vAlign w:val="bottom"/>
            <w:tcBorders>
              <w:top w:val="single" w:sz="8" w:color="auto"/>
            </w:tcBorders>
          </w:tcPr>
          <w:p>
            <w:pPr>
              <w:jc w:val="right"/>
              <w:ind w:right="76"/>
              <w:spacing w:after="0" w:line="133" w:lineRule="exact"/>
              <w:rPr>
                <w:sz w:val="20"/>
                <w:szCs w:val="20"/>
                <w:color w:val="auto"/>
              </w:rPr>
            </w:pPr>
            <w:r>
              <w:rPr>
                <w:rFonts w:ascii="Arial" w:cs="Arial" w:eastAsia="Arial" w:hAnsi="Arial"/>
                <w:sz w:val="14"/>
                <w:szCs w:val="14"/>
                <w:b w:val="1"/>
                <w:bCs w:val="1"/>
                <w:color w:val="auto"/>
              </w:rPr>
              <w:t>Busey</w:t>
            </w:r>
          </w:p>
        </w:tc>
        <w:tc>
          <w:tcPr>
            <w:tcW w:w="180" w:type="dxa"/>
            <w:vAlign w:val="bottom"/>
          </w:tcPr>
          <w:p>
            <w:pPr>
              <w:spacing w:after="0"/>
              <w:rPr>
                <w:sz w:val="11"/>
                <w:szCs w:val="11"/>
                <w:color w:val="auto"/>
              </w:rPr>
            </w:pPr>
          </w:p>
        </w:tc>
      </w:tr>
      <w:tr>
        <w:trPr>
          <w:trHeight w:val="185"/>
        </w:trPr>
        <w:tc>
          <w:tcPr>
            <w:tcW w:w="5480" w:type="dxa"/>
            <w:vAlign w:val="bottom"/>
          </w:tcPr>
          <w:p>
            <w:pPr>
              <w:spacing w:after="0"/>
              <w:rPr>
                <w:sz w:val="16"/>
                <w:szCs w:val="16"/>
                <w:color w:val="auto"/>
              </w:rPr>
            </w:pPr>
          </w:p>
        </w:tc>
        <w:tc>
          <w:tcPr>
            <w:tcW w:w="14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8"/>
              </w:rPr>
              <w:t>Capital Buffer</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4"/>
              </w:rPr>
              <w:t>Corporation</w:t>
            </w:r>
          </w:p>
        </w:tc>
        <w:tc>
          <w:tcPr>
            <w:tcW w:w="8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Bank</w:t>
            </w:r>
          </w:p>
        </w:tc>
      </w:tr>
      <w:tr>
        <w:trPr>
          <w:trHeight w:val="196"/>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Capital to Risk Weighted Assets</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10.50</w:t>
            </w:r>
          </w:p>
        </w:tc>
        <w:tc>
          <w:tcPr>
            <w:tcW w:w="28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15.91</w:t>
            </w:r>
          </w:p>
        </w:tc>
        <w:tc>
          <w:tcPr>
            <w:tcW w:w="3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Tier 1 Capital to Risk Weighted Assets</w:t>
            </w:r>
          </w:p>
        </w:tc>
        <w:tc>
          <w:tcPr>
            <w:tcW w:w="1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8.50 %</w:t>
            </w:r>
          </w:p>
        </w:tc>
        <w:tc>
          <w:tcPr>
            <w:tcW w:w="10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12.84 %</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15.04 %</w:t>
            </w: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Equity Tier 1 Capital to Risk Weighted Assets</w:t>
            </w:r>
          </w:p>
        </w:tc>
        <w:tc>
          <w:tcPr>
            <w:tcW w:w="14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7.00 %</w:t>
            </w:r>
          </w:p>
        </w:tc>
        <w:tc>
          <w:tcPr>
            <w:tcW w:w="10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11.95 %</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15.04 %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Tier 1 Capital to Average Assets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8.60 %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10.06 %</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further discussion of capital resources and requirements, see “</w:t>
      </w:r>
      <w:r>
        <w:rPr>
          <w:rFonts w:ascii="Arial" w:cs="Arial" w:eastAsia="Arial" w:hAnsi="Arial"/>
          <w:sz w:val="18"/>
          <w:szCs w:val="18"/>
          <w:i w:val="1"/>
          <w:iCs w:val="1"/>
          <w:color w:val="auto"/>
        </w:rPr>
        <w:t>Note 7: Regulatory Capital.</w:t>
      </w:r>
      <w:r>
        <w:rPr>
          <w:rFonts w:ascii="Arial" w:cs="Arial" w:eastAsia="Arial" w:hAnsi="Arial"/>
          <w:sz w:val="18"/>
          <w:szCs w:val="18"/>
          <w:color w:val="auto"/>
        </w:rPr>
        <w: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02" w:lineRule="exact"/>
        <w:rPr>
          <w:sz w:val="20"/>
          <w:szCs w:val="20"/>
          <w:color w:val="auto"/>
        </w:rPr>
      </w:pPr>
    </w:p>
    <w:p>
      <w:pPr>
        <w:ind w:left="60" w:right="159"/>
        <w:spacing w:after="0" w:line="276" w:lineRule="auto"/>
        <w:rPr>
          <w:sz w:val="20"/>
          <w:szCs w:val="20"/>
          <w:color w:val="auto"/>
        </w:rPr>
      </w:pPr>
      <w:r>
        <w:rPr>
          <w:rFonts w:ascii="Arial" w:cs="Arial" w:eastAsia="Arial" w:hAnsi="Arial"/>
          <w:sz w:val="16"/>
          <w:szCs w:val="16"/>
          <w:color w:val="auto"/>
        </w:rPr>
        <w:t>This Quarterly Report contains certain financial information determined by methods other than in accordance with GAAP. These measures include adjusted pre-provision net revenue, adjusted net income, adjusted diluted earnings per share, adjusted return on average assets, adjusted net interest margin, efficiency ratio,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48"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 reconciliation to what management believes to be the most directly comparable GAAP financial measures—specifically net revenue in the case of adjusted pre-provision net revenue, net income in the case of adjusted net income, adjusted diluted earnings per share, and adjusted return on average assets; total net interest income in the case of adjusted net interest margin; total noninterest income and total noninterest expense in the case of efficiency ratio and adjusted efficiency ratio; and total stockholders’ equity in the case of tangible common equity, tangible common equity to tangible assets, tangible book value per share, and return on average tangible common equity—appears below.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70"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148"/>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Pre-provision net revenue</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200,190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209,999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33,259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32,285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97,715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87,766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Less net (gains) losses on sales of</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 and unrealized (gains)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recognized on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Noninterest expense</w:t>
            </w:r>
          </w:p>
        </w:tc>
        <w:tc>
          <w:tcPr>
            <w:tcW w:w="120" w:type="dxa"/>
            <w:vAlign w:val="bottom"/>
          </w:tcPr>
          <w:p>
            <w:pPr>
              <w:spacing w:after="0"/>
              <w:rPr>
                <w:sz w:val="17"/>
                <w:szCs w:val="17"/>
                <w:color w:val="auto"/>
              </w:rPr>
            </w:pP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(73,487)</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(62,625)</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(56,542)</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(190,611)</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(170,124)</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pre-provision 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30,470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34,030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45,922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104,698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127,165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Adjustments to pre-provision net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Acquisition and other restructuring</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Provision for unfunded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New Market Tax Credit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pre-provision net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119,648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133,360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12,697,795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11,398,655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10,680,995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11,571,270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10,249,578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w w:val="95"/>
              </w:rPr>
              <w:t>Reported</w:t>
            </w:r>
            <w:r>
              <w:rPr>
                <w:rFonts w:ascii="Arial" w:cs="Arial" w:eastAsia="Arial" w:hAnsi="Arial"/>
                <w:sz w:val="18"/>
                <w:szCs w:val="18"/>
                <w:color w:val="auto"/>
                <w:w w:val="95"/>
              </w:rPr>
              <w:t>: Pre-provision net revenue to</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line="227" w:lineRule="exact"/>
              <w:rPr>
                <w:sz w:val="20"/>
                <w:szCs w:val="20"/>
                <w:color w:val="auto"/>
              </w:rPr>
            </w:pPr>
            <w:r>
              <w:rPr>
                <w:rFonts w:ascii="Arial" w:cs="Arial" w:eastAsia="Arial" w:hAnsi="Arial"/>
                <w:sz w:val="18"/>
                <w:szCs w:val="18"/>
                <w:color w:val="auto"/>
              </w:rPr>
              <w:t xml:space="preserve">average assets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0.95 %</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1.21 %</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178"/>
        </w:trPr>
        <w:tc>
          <w:tcPr>
            <w:tcW w:w="304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5"/>
              </w:rPr>
              <w:t>Adjusted</w:t>
            </w:r>
            <w:r>
              <w:rPr>
                <w:rFonts w:ascii="Arial" w:cs="Arial" w:eastAsia="Arial" w:hAnsi="Arial"/>
                <w:sz w:val="18"/>
                <w:szCs w:val="18"/>
                <w:color w:val="auto"/>
                <w:w w:val="95"/>
              </w:rPr>
              <w:t>: Pre-provision net revenue to</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3040" w:type="dxa"/>
            <w:vAlign w:val="bottom"/>
          </w:tcPr>
          <w:p>
            <w:pPr>
              <w:ind w:left="20"/>
              <w:spacing w:after="0"/>
              <w:rPr>
                <w:sz w:val="20"/>
                <w:szCs w:val="20"/>
                <w:color w:val="auto"/>
              </w:rPr>
            </w:pPr>
            <w:r>
              <w:rPr>
                <w:rFonts w:ascii="Arial" w:cs="Arial" w:eastAsia="Arial" w:hAnsi="Arial"/>
                <w:sz w:val="18"/>
                <w:szCs w:val="18"/>
                <w:color w:val="auto"/>
              </w:rPr>
              <w:t xml:space="preserve">average assets </w:t>
            </w:r>
            <w:r>
              <w:rPr>
                <w:rFonts w:ascii="Arial" w:cs="Arial" w:eastAsia="Arial" w:hAnsi="Arial"/>
                <w:sz w:val="26"/>
                <w:szCs w:val="26"/>
                <w:color w:val="auto"/>
                <w:vertAlign w:val="superscript"/>
              </w:rPr>
              <w:t>(1)</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1"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Diluted Earnings Per Share,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Adjusted Return on Average Assets</w:t>
      </w:r>
    </w:p>
    <w:p>
      <w:pPr>
        <w:jc w:val="center"/>
        <w:ind w:right="1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148"/>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25,941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71,999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net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Acquisition expenses: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Salaries, wages, and employee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Data processing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7"/>
              </w:rPr>
              <w:t>Lease or fixed asset impairment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tcPr>
          <w:p>
            <w:pPr>
              <w:ind w:left="420"/>
              <w:spacing w:after="0" w:line="189" w:lineRule="exact"/>
              <w:rPr>
                <w:sz w:val="20"/>
                <w:szCs w:val="20"/>
                <w:color w:val="auto"/>
              </w:rPr>
            </w:pPr>
            <w:r>
              <w:rPr>
                <w:rFonts w:ascii="Arial" w:cs="Arial" w:eastAsia="Arial" w:hAnsi="Arial"/>
                <w:sz w:val="18"/>
                <w:szCs w:val="18"/>
                <w:color w:val="auto"/>
                <w:w w:val="91"/>
              </w:rPr>
              <w:t>Professional fees, occupancy,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restructuring costs: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tcPr>
          <w:p>
            <w:pPr>
              <w:ind w:left="420"/>
              <w:spacing w:after="0" w:line="189" w:lineRule="exact"/>
              <w:rPr>
                <w:sz w:val="20"/>
                <w:szCs w:val="20"/>
                <w:color w:val="auto"/>
              </w:rPr>
            </w:pPr>
            <w:r>
              <w:rPr>
                <w:rFonts w:ascii="Arial" w:cs="Arial" w:eastAsia="Arial" w:hAnsi="Arial"/>
                <w:sz w:val="18"/>
                <w:szCs w:val="18"/>
                <w:color w:val="auto"/>
                <w:w w:val="99"/>
              </w:rPr>
              <w:t>Salaries, wages, and employee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tcPr>
          <w:p>
            <w:pPr>
              <w:ind w:left="420"/>
              <w:spacing w:after="0"/>
              <w:rPr>
                <w:sz w:val="20"/>
                <w:szCs w:val="20"/>
                <w:color w:val="auto"/>
              </w:rPr>
            </w:pPr>
            <w:r>
              <w:rPr>
                <w:rFonts w:ascii="Arial" w:cs="Arial" w:eastAsia="Arial" w:hAnsi="Arial"/>
                <w:sz w:val="18"/>
                <w:szCs w:val="18"/>
                <w:color w:val="auto"/>
              </w:rPr>
              <w:t>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1"/>
              </w:rPr>
              <w:t>Professional fees, occupancy,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Related tax benefit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net income</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32,845</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32,803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102,831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74,473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Dilutive average common shares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56,832,518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55,730,883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54,737,920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55,872,835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54,796,354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6"/>
              </w:rPr>
              <w:t xml:space="preserve">Reported: </w:t>
            </w:r>
            <w:r>
              <w:rPr>
                <w:rFonts w:ascii="Arial" w:cs="Arial" w:eastAsia="Arial" w:hAnsi="Arial"/>
                <w:sz w:val="18"/>
                <w:szCs w:val="18"/>
                <w:color w:val="auto"/>
                <w:w w:val="96"/>
              </w:rPr>
              <w:t>Diluted earnings per share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7"/>
              </w:rPr>
              <w:t xml:space="preserve">Adjusted: </w:t>
            </w:r>
            <w:r>
              <w:rPr>
                <w:rFonts w:ascii="Arial" w:cs="Arial" w:eastAsia="Arial" w:hAnsi="Arial"/>
                <w:sz w:val="18"/>
                <w:szCs w:val="18"/>
                <w:color w:val="auto"/>
                <w:w w:val="97"/>
              </w:rPr>
              <w:t>Diluted earnings per share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Average total assets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12,697,795</w:t>
            </w:r>
          </w:p>
        </w:tc>
        <w:tc>
          <w:tcPr>
            <w:tcW w:w="1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11,398,655</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10,680,995</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11,571,270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10,249,578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 xml:space="preserve">Reported: </w:t>
            </w:r>
            <w:r>
              <w:rPr>
                <w:rFonts w:ascii="Arial" w:cs="Arial" w:eastAsia="Arial" w:hAnsi="Arial"/>
                <w:sz w:val="16"/>
                <w:szCs w:val="16"/>
                <w:color w:val="auto"/>
              </w:rPr>
              <w:t>Return on average assets</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0.81 %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Return on average assets</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1.22 %</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0.97 %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8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70,755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64,542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69,753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200,190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209,999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6"/>
              </w:rPr>
              <w:t>Adjustments to net interest income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Tax-equivalent adjustment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Acquisition-related purchase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accretion</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40" w:type="dxa"/>
            <w:vAlign w:val="bottom"/>
            <w:gridSpan w:val="2"/>
          </w:tcPr>
          <w:p>
            <w:pPr>
              <w:spacing w:after="0" w:line="196" w:lineRule="exact"/>
              <w:rPr>
                <w:sz w:val="20"/>
                <w:szCs w:val="20"/>
                <w:color w:val="auto"/>
              </w:rPr>
            </w:pPr>
            <w:r>
              <w:rPr>
                <w:rFonts w:ascii="Arial" w:cs="Arial" w:eastAsia="Arial" w:hAnsi="Arial"/>
                <w:sz w:val="18"/>
                <w:szCs w:val="18"/>
                <w:color w:val="auto"/>
              </w:rPr>
              <w:t>Adjusted net interest income</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69,554</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63,395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67,773</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196,286</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204,162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Average interest-earning assets</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88"/>
              </w:rPr>
              <w:t>11,730,637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120" w:type="dxa"/>
            <w:vAlign w:val="bottom"/>
          </w:tcPr>
          <w:p>
            <w:pPr>
              <w:spacing w:after="0"/>
              <w:rPr>
                <w:sz w:val="17"/>
                <w:szCs w:val="17"/>
                <w:color w:val="auto"/>
              </w:rPr>
            </w:pPr>
          </w:p>
        </w:tc>
        <w:tc>
          <w:tcPr>
            <w:tcW w:w="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9,805,948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10,651,386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9,371,157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gridSpan w:val="3"/>
          </w:tcPr>
          <w:p>
            <w:pPr>
              <w:ind w:left="20"/>
              <w:spacing w:after="0" w:line="214"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Net interest margin</w:t>
            </w:r>
            <w:r>
              <w:rPr>
                <w:rFonts w:ascii="Arial" w:cs="Arial" w:eastAsia="Arial" w:hAnsi="Arial"/>
                <w:sz w:val="17"/>
                <w:szCs w:val="17"/>
                <w:b w:val="1"/>
                <w:bCs w:val="1"/>
                <w:color w:val="auto"/>
              </w:rPr>
              <w:t xml:space="preserve"> </w:t>
            </w:r>
            <w:r>
              <w:rPr>
                <w:rFonts w:ascii="Arial" w:cs="Arial" w:eastAsia="Arial" w:hAnsi="Arial"/>
                <w:sz w:val="24"/>
                <w:szCs w:val="24"/>
                <w:color w:val="auto"/>
                <w:vertAlign w:val="superscript"/>
              </w:rPr>
              <w:t>(1)</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2.41 %</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2.50 %</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2.86 %</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2.54 %</w:t>
            </w:r>
          </w:p>
        </w:tc>
        <w:tc>
          <w:tcPr>
            <w:tcW w:w="820" w:type="dxa"/>
            <w:vAlign w:val="bottom"/>
          </w:tcPr>
          <w:p>
            <w:pPr>
              <w:jc w:val="right"/>
              <w:spacing w:after="0"/>
              <w:rPr>
                <w:sz w:val="20"/>
                <w:szCs w:val="20"/>
                <w:color w:val="auto"/>
              </w:rPr>
            </w:pPr>
            <w:r>
              <w:rPr>
                <w:rFonts w:ascii="Arial" w:cs="Arial" w:eastAsia="Arial" w:hAnsi="Arial"/>
                <w:sz w:val="18"/>
                <w:szCs w:val="18"/>
                <w:color w:val="auto"/>
              </w:rPr>
              <w:t>3.02 %</w:t>
            </w: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15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2.35 %</w:t>
            </w:r>
          </w:p>
        </w:tc>
        <w:tc>
          <w:tcPr>
            <w:tcW w:w="1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2.43 %</w:t>
            </w:r>
          </w:p>
        </w:tc>
        <w:tc>
          <w:tcPr>
            <w:tcW w:w="11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2.75 %</w:t>
            </w:r>
          </w:p>
        </w:tc>
        <w:tc>
          <w:tcPr>
            <w:tcW w:w="1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2.46 %</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2.91 %</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8" w:lineRule="exact"/>
        <w:rPr>
          <w:sz w:val="20"/>
          <w:szCs w:val="20"/>
          <w:color w:val="auto"/>
        </w:rPr>
      </w:pPr>
    </w:p>
    <w:p>
      <w:pPr>
        <w:jc w:val="center"/>
        <w:ind w:left="40" w:right="59"/>
        <w:spacing w:after="0" w:line="261" w:lineRule="auto"/>
        <w:rPr>
          <w:sz w:val="20"/>
          <w:szCs w:val="20"/>
          <w:color w:val="auto"/>
        </w:rPr>
      </w:pPr>
      <w:r>
        <w:rPr>
          <w:rFonts w:ascii="Arial" w:cs="Arial" w:eastAsia="Arial" w:hAnsi="Arial"/>
          <w:sz w:val="18"/>
          <w:szCs w:val="18"/>
          <w:u w:val="single" w:color="auto"/>
          <w:color w:val="auto"/>
        </w:rPr>
        <w:t xml:space="preserve">Reconciliation of Non-GAAP Financial Measures — Efficiency Ratio and Adjusted Efficiency Ratio </w:t>
      </w:r>
      <w:r>
        <w:rPr>
          <w:rFonts w:ascii="Arial" w:cs="Arial" w:eastAsia="Arial" w:hAnsi="Arial"/>
          <w:sz w:val="18"/>
          <w:szCs w:val="18"/>
          <w:i w:val="1"/>
          <w:iCs w:val="1"/>
          <w:color w:val="auto"/>
        </w:rPr>
        <w:t>(unaudited, dollars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6"/>
          </w:tcPr>
          <w:p>
            <w:pPr>
              <w:jc w:val="center"/>
              <w:ind w:left="392"/>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84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June 30,</w:t>
            </w:r>
          </w:p>
        </w:tc>
        <w:tc>
          <w:tcPr>
            <w:tcW w:w="90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9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70,755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$ 64,542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69,753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200,190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209,999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598</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Tax-equivalent interest income</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71,353</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$ 65,121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70,391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201,968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212,084</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Noninterest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33,259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87,766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89"/>
              </w:rPr>
              <w:t>Less net (gains) losses on sales of securities and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5"/>
              </w:rPr>
              <w:t>unrealized (gains) losses recognized on equity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securities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noninterest income</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33,202</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$ 32,113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32,711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95,119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Noninterest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73,487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56,542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190,611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170,124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(3,149)</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Non-operating adjustments: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Salaries, wages, and employee benefits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Data processing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Lease or fixed asset impairment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Professional fees and other</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Adjusted noninterest expense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61,661</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$ 57,262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170,701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159,394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67.27 %</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61.68 %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52.42 %</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61.40 %</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54.30 %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58.97 %</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58.89 %</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49.97 %</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57.46 %</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53.24 %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right="79" w:hanging="322"/>
        <w:spacing w:after="0" w:line="250" w:lineRule="auto"/>
        <w:tabs>
          <w:tab w:leader="none" w:pos="480" w:val="left"/>
        </w:tabs>
        <w:numPr>
          <w:ilvl w:val="0"/>
          <w:numId w:val="23"/>
        </w:numPr>
        <w:rPr>
          <w:rFonts w:ascii="Arial" w:cs="Arial" w:eastAsia="Arial" w:hAnsi="Arial"/>
          <w:sz w:val="13"/>
          <w:szCs w:val="13"/>
          <w:color w:val="auto"/>
        </w:rPr>
      </w:pPr>
      <w:r>
        <w:rPr>
          <w:rFonts w:ascii="Arial" w:cs="Arial" w:eastAsia="Arial" w:hAnsi="Arial"/>
          <w:sz w:val="14"/>
          <w:szCs w:val="14"/>
          <w:color w:val="auto"/>
        </w:rPr>
        <w:t>Calculated as total noninterest expense, less amortization charges, as a percentage of tax-equivalent net interest income, plus noninterest income, less security gains and losses.</w:t>
      </w:r>
    </w:p>
    <w:p>
      <w:pPr>
        <w:ind w:left="480" w:right="79" w:hanging="322"/>
        <w:spacing w:after="0" w:line="255" w:lineRule="auto"/>
        <w:tabs>
          <w:tab w:leader="none" w:pos="480" w:val="left"/>
        </w:tabs>
        <w:numPr>
          <w:ilvl w:val="0"/>
          <w:numId w:val="23"/>
        </w:numPr>
        <w:rPr>
          <w:rFonts w:ascii="Arial" w:cs="Arial" w:eastAsia="Arial" w:hAnsi="Arial"/>
          <w:sz w:val="13"/>
          <w:szCs w:val="13"/>
          <w:color w:val="auto"/>
        </w:rPr>
      </w:pPr>
      <w:r>
        <w:rPr>
          <w:rFonts w:ascii="Arial" w:cs="Arial" w:eastAsia="Arial" w:hAnsi="Arial"/>
          <w:sz w:val="14"/>
          <w:szCs w:val="14"/>
          <w:color w:val="auto"/>
        </w:rPr>
        <w:t>Calculated as adjusted noninterest expense, as a percentage of tax-equivalent net interest income plus noninterest income, less security gains and losses.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1500" w:right="180"/>
        <w:spacing w:after="0" w:line="248"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(unaudited, dollars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13"/>
          </w:tcPr>
          <w:p>
            <w:pPr>
              <w:ind w:left="420"/>
              <w:spacing w:after="0"/>
              <w:rPr>
                <w:sz w:val="20"/>
                <w:szCs w:val="20"/>
                <w:color w:val="auto"/>
              </w:rPr>
            </w:pPr>
            <w:r>
              <w:rPr>
                <w:rFonts w:ascii="Arial" w:cs="Arial" w:eastAsia="Arial" w:hAnsi="Arial"/>
                <w:sz w:val="14"/>
                <w:szCs w:val="14"/>
                <w:b w:val="1"/>
                <w:bCs w:val="1"/>
                <w:color w:val="auto"/>
              </w:rPr>
              <w:t>As of and for the 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Borders>
              <w:top w:val="single" w:sz="8" w:color="auto"/>
            </w:tcBorders>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12,899,330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$ 12,415,449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$ 10,539,628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(378,891)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(381,795)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(365,960)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17,115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17,997</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15,239</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Tangible assets</w:t>
            </w:r>
          </w:p>
        </w:tc>
        <w:tc>
          <w:tcPr>
            <w:tcW w:w="5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12,537,554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9"/>
              </w:rPr>
              <w:t>$ 12,051,651</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7"/>
              </w:rPr>
              <w:t>$ 10,188,907</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1,333,076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1,345,691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1,255,705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(378,891)</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(381,795)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(365,960)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17,115</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17,997</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15,239</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Tangible common equity</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971,300</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981,893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904,984</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Ending number of common shares outstanding</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55,826,984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56,330,616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54,522,231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Tangible common equity to tangible assets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7.75 %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8.15 %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Tangible book value per share</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17.09</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Average common equity</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1,351,416</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1,342,771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1,248,448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goodwill and other intangible assets, net</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(380,885)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(368,709)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(367,490)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Average tangible common equity</w:t>
            </w:r>
          </w:p>
        </w:tc>
        <w:tc>
          <w:tcPr>
            <w:tcW w:w="5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970,531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974,062</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880,958</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10.60 %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12.26 %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13.92 %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 (3)</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13.43 %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14.81 %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tcPr>
          <w:p>
            <w:pPr>
              <w:ind w:left="10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color w:val="auto"/>
              </w:rPr>
              <w:t>Tax-effected measure, 28.0% estimated deferred tax rate.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ind w:left="10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4"/>
                <w:szCs w:val="14"/>
                <w:color w:val="auto"/>
              </w:rPr>
              <w:t>Annualized measure.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gridSpan w:val="2"/>
          </w:tcPr>
          <w:p>
            <w:pPr>
              <w:ind w:left="10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4"/>
                <w:szCs w:val="14"/>
                <w:color w:val="auto"/>
              </w:rPr>
              <w:t>Calculated using adjusted net income.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9"/>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top w:val="single" w:sz="8" w:color="auto"/>
            </w:tcBorders>
            <w:gridSpan w:val="4"/>
          </w:tcPr>
          <w:p>
            <w:pPr>
              <w:jc w:val="right"/>
              <w:ind w:right="26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stockholders’ common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1,323,571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1,233,348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Average goodwill and other intangible assets,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(370,829)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(369,801)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tangible stockholders’ common equity</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952,742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863,547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1414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480" w:hanging="322"/>
        <w:spacing w:after="0"/>
        <w:tabs>
          <w:tab w:leader="none" w:pos="480" w:val="left"/>
        </w:tabs>
        <w:numPr>
          <w:ilvl w:val="0"/>
          <w:numId w:val="24"/>
        </w:numPr>
        <w:rPr>
          <w:rFonts w:ascii="Arial" w:cs="Arial" w:eastAsia="Arial" w:hAnsi="Arial"/>
          <w:sz w:val="13"/>
          <w:szCs w:val="13"/>
          <w:color w:val="auto"/>
        </w:rPr>
      </w:pPr>
      <w:r>
        <w:rPr>
          <w:rFonts w:ascii="Arial" w:cs="Arial" w:eastAsia="Arial" w:hAnsi="Arial"/>
          <w:sz w:val="14"/>
          <w:szCs w:val="14"/>
          <w:color w:val="auto"/>
        </w:rPr>
        <w:t>Annualized measure.</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24"/>
        </w:numPr>
        <w:rPr>
          <w:rFonts w:ascii="Arial" w:cs="Arial" w:eastAsia="Arial" w:hAnsi="Arial"/>
          <w:sz w:val="13"/>
          <w:szCs w:val="13"/>
          <w:color w:val="auto"/>
        </w:rPr>
      </w:pPr>
      <w:r>
        <w:rPr>
          <w:rFonts w:ascii="Arial" w:cs="Arial" w:eastAsia="Arial" w:hAnsi="Arial"/>
          <w:sz w:val="14"/>
          <w:szCs w:val="14"/>
          <w:color w:val="auto"/>
        </w:rPr>
        <w:t>Calculated using adjusted 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20"/>
              <w:spacing w:after="0"/>
              <w:rPr>
                <w:sz w:val="20"/>
                <w:szCs w:val="20"/>
                <w:color w:val="auto"/>
              </w:rPr>
            </w:pPr>
            <w:r>
              <w:rPr>
                <w:rFonts w:ascii="Arial" w:cs="Arial" w:eastAsia="Arial" w:hAnsi="Arial"/>
                <w:sz w:val="13"/>
                <w:szCs w:val="13"/>
                <w:color w:val="auto"/>
              </w:rPr>
              <w:t>(1)</w:t>
            </w:r>
          </w:p>
        </w:tc>
        <w:tc>
          <w:tcPr>
            <w:tcW w:w="2260" w:type="dxa"/>
            <w:vAlign w:val="bottom"/>
          </w:tcPr>
          <w:p>
            <w:pPr>
              <w:jc w:val="right"/>
              <w:ind w:right="190"/>
              <w:spacing w:after="0"/>
              <w:rPr>
                <w:sz w:val="20"/>
                <w:szCs w:val="20"/>
                <w:color w:val="auto"/>
              </w:rPr>
            </w:pPr>
            <w:r>
              <w:rPr>
                <w:rFonts w:ascii="Arial" w:cs="Arial" w:eastAsia="Arial" w:hAnsi="Arial"/>
                <w:sz w:val="18"/>
                <w:szCs w:val="18"/>
                <w:color w:val="auto"/>
              </w:rPr>
              <w:t>13.12 %</w:t>
            </w:r>
          </w:p>
        </w:tc>
        <w:tc>
          <w:tcPr>
            <w:tcW w:w="880" w:type="dxa"/>
            <w:vAlign w:val="bottom"/>
          </w:tcPr>
          <w:p>
            <w:pPr>
              <w:jc w:val="right"/>
              <w:spacing w:after="0"/>
              <w:rPr>
                <w:sz w:val="20"/>
                <w:szCs w:val="20"/>
                <w:color w:val="auto"/>
              </w:rPr>
            </w:pPr>
            <w:r>
              <w:rPr>
                <w:rFonts w:ascii="Arial" w:cs="Arial" w:eastAsia="Arial" w:hAnsi="Arial"/>
                <w:sz w:val="18"/>
                <w:szCs w:val="18"/>
                <w:color w:val="auto"/>
              </w:rPr>
              <w:t>11.14 %</w:t>
            </w:r>
          </w:p>
        </w:tc>
      </w:tr>
      <w:tr>
        <w:trPr>
          <w:trHeight w:val="240"/>
        </w:trPr>
        <w:tc>
          <w:tcPr>
            <w:tcW w:w="1760" w:type="dxa"/>
            <w:vAlign w:val="bottom"/>
          </w:tcPr>
          <w:p>
            <w:pPr>
              <w:spacing w:after="0"/>
              <w:rPr>
                <w:sz w:val="20"/>
                <w:szCs w:val="20"/>
                <w:color w:val="auto"/>
              </w:rPr>
            </w:pPr>
            <w:r>
              <w:rPr>
                <w:rFonts w:ascii="Arial" w:cs="Arial" w:eastAsia="Arial" w:hAnsi="Arial"/>
                <w:sz w:val="13"/>
                <w:szCs w:val="13"/>
                <w:color w:val="auto"/>
              </w:rPr>
              <w:t>(1), (2)</w:t>
            </w:r>
          </w:p>
        </w:tc>
        <w:tc>
          <w:tcPr>
            <w:tcW w:w="2260" w:type="dxa"/>
            <w:vAlign w:val="bottom"/>
          </w:tcPr>
          <w:p>
            <w:pPr>
              <w:jc w:val="right"/>
              <w:ind w:right="190"/>
              <w:spacing w:after="0"/>
              <w:rPr>
                <w:sz w:val="20"/>
                <w:szCs w:val="20"/>
                <w:color w:val="auto"/>
              </w:rPr>
            </w:pPr>
            <w:r>
              <w:rPr>
                <w:rFonts w:ascii="Arial" w:cs="Arial" w:eastAsia="Arial" w:hAnsi="Arial"/>
                <w:sz w:val="18"/>
                <w:szCs w:val="18"/>
                <w:color w:val="auto"/>
              </w:rPr>
              <w:t>14.43 %</w:t>
            </w:r>
          </w:p>
        </w:tc>
        <w:tc>
          <w:tcPr>
            <w:tcW w:w="880" w:type="dxa"/>
            <w:vAlign w:val="bottom"/>
          </w:tcPr>
          <w:p>
            <w:pPr>
              <w:jc w:val="right"/>
              <w:spacing w:after="0"/>
              <w:rPr>
                <w:sz w:val="20"/>
                <w:szCs w:val="20"/>
                <w:color w:val="auto"/>
              </w:rPr>
            </w:pPr>
            <w:r>
              <w:rPr>
                <w:rFonts w:ascii="Arial" w:cs="Arial" w:eastAsia="Arial" w:hAnsi="Arial"/>
                <w:sz w:val="18"/>
                <w:szCs w:val="18"/>
                <w:color w:val="auto"/>
              </w:rPr>
              <w:t>11.52 %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-265430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718" w:lineRule="exact"/>
        <w:rPr>
          <w:sz w:val="20"/>
          <w:szCs w:val="20"/>
          <w:color w:val="auto"/>
        </w:rPr>
      </w:pPr>
    </w:p>
    <w:p>
      <w:pPr>
        <w:sectPr>
          <w:pgSz w:w="11900" w:h="16838" w:orient="portrait"/>
          <w:cols w:equalWidth="0" w:num="2">
            <w:col w:w="3980" w:space="20"/>
            <w:col w:w="5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left="60" w:right="79"/>
        <w:spacing w:after="0" w:line="265"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current presidential administration); (ii) the economic impact of any future terrorist threats or attacks, widespread disease or pandemics (including the COVID-19 pandemic), or other adverse external events that could cause economic deterioration or instability in credit markets; (iii) changes in state and federal laws, regulations, and governmental policies concerning the Company’s general business; (iv) changes in accounting policies and practices; (v) changes in interest rates and prepayment rates of the Company’s assets (including the impact of the LIBOR phase-out); (vi) increased competition in the financial services sector and the inability to attract new customers; (vii) 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w:t>
      </w:r>
    </w:p>
    <w:p>
      <w:pPr>
        <w:spacing w:after="0" w:line="3" w:lineRule="exact"/>
        <w:rPr>
          <w:sz w:val="20"/>
          <w:szCs w:val="20"/>
          <w:color w:val="auto"/>
        </w:rPr>
      </w:pPr>
    </w:p>
    <w:p>
      <w:pPr>
        <w:ind w:left="60" w:right="139" w:hanging="10"/>
        <w:spacing w:after="0" w:line="254" w:lineRule="auto"/>
        <w:tabs>
          <w:tab w:leader="none" w:pos="3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60" w:right="579"/>
        <w:spacing w:after="0" w:line="248" w:lineRule="auto"/>
        <w:rPr>
          <w:sz w:val="20"/>
          <w:szCs w:val="20"/>
          <w:color w:val="auto"/>
        </w:rPr>
      </w:pPr>
      <w:r>
        <w:rPr>
          <w:rFonts w:ascii="Arial" w:cs="Arial" w:eastAsia="Arial" w:hAnsi="Arial"/>
          <w:sz w:val="18"/>
          <w:szCs w:val="18"/>
          <w:color w:val="auto"/>
        </w:rPr>
        <w:t>First 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8"/>
          <w:szCs w:val="18"/>
          <w:i w:val="1"/>
          <w:iCs w:val="1"/>
          <w:color w:val="auto"/>
        </w:rPr>
        <w:t>Note 1.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the Company’s 2020 Annual Report.</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ACL balance related to the debt security,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198"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2"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820 as “the price that would be received to sell an asset or paid to transfer a liability in an orderly transaction between market participants at the measurement date.”</w:t>
      </w:r>
    </w:p>
    <w:p>
      <w:pPr>
        <w:spacing w:after="0" w:line="142" w:lineRule="exact"/>
        <w:rPr>
          <w:sz w:val="20"/>
          <w:szCs w:val="20"/>
          <w:color w:val="auto"/>
        </w:rPr>
      </w:pPr>
    </w:p>
    <w:p>
      <w:pPr>
        <w:ind w:left="60" w:right="19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ASC 326-30. However, the offset to record the ACL at the date of acquisition on acquired loans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calculates the ACL at each reporting date. The Company recognizes an ACL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6"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the Company’s credit exposure. The ACL must be determined on a collective (pool) basis when similar risk characteristics exists. On a case-by-case basis, the Company may conclude a loan should be evaluated on an individual basis based on the disparate risk characteristics.</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2"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68"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as of September 30, 2021 or December 31,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96"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0"/>
              </w:rPr>
              <w:t>Year-One: Basis Point Changes</w:t>
            </w:r>
          </w:p>
        </w:tc>
      </w:tr>
      <w:tr>
        <w:trPr>
          <w:trHeight w:val="156"/>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September 30,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8.44</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16.43</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24.32</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7.40 %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14.16 %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20.20 %</w:t>
            </w:r>
          </w:p>
        </w:tc>
      </w:tr>
      <w:tr>
        <w:trPr>
          <w:trHeight w:val="350"/>
        </w:trPr>
        <w:tc>
          <w:tcPr>
            <w:tcW w:w="5680" w:type="dxa"/>
            <w:vAlign w:val="bottom"/>
          </w:tcPr>
          <w:p>
            <w:pPr>
              <w:spacing w:after="0"/>
              <w:rPr>
                <w:sz w:val="24"/>
                <w:szCs w:val="2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1"/>
              </w:rPr>
              <w:t>Year-Two: Basis Point Changes</w:t>
            </w:r>
          </w:p>
        </w:tc>
      </w:tr>
      <w:tr>
        <w:trPr>
          <w:trHeight w:val="155"/>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September 30,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25.45</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9.59 %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17.95 %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25.40 %</w:t>
            </w:r>
          </w:p>
        </w:tc>
      </w:tr>
    </w:tbl>
    <w:p>
      <w:pPr>
        <w:spacing w:after="0" w:line="160"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September 30, 2021, under the supervision and with the participation of our Chief Executive Officer, Chief Financial Officer, and several other members of our senior management. Based on this evaluation, our Chief Executive Officer and Chief Financial Officer concluded that, as of September 30, 2021,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219"/>
        <w:spacing w:after="0" w:line="291" w:lineRule="auto"/>
        <w:rPr>
          <w:sz w:val="20"/>
          <w:szCs w:val="20"/>
          <w:color w:val="auto"/>
        </w:rPr>
      </w:pPr>
      <w:r>
        <w:rPr>
          <w:rFonts w:ascii="Arial" w:cs="Arial" w:eastAsia="Arial" w:hAnsi="Arial"/>
          <w:sz w:val="17"/>
          <w:szCs w:val="17"/>
          <w:color w:val="auto"/>
        </w:rPr>
        <w:t>During the quarter ended September 30, 2021, no change occurred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57"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There have been no material changes to the risk factors disclosed in Item 1A of Part 1 of the Company’s 2020 Annual Report.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third quarter of 2021, the company purchased 625,000 shares under the plan. As of September 30, 2021, the Company had 953,824 shares that may still be purchased under the plan.</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Shares That May Yet</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Price Paid per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Be Purchased Under</w:t>
            </w:r>
          </w:p>
        </w:tc>
      </w:tr>
      <w:tr>
        <w:trPr>
          <w:trHeight w:val="185"/>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 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r>
      <w:tr>
        <w:trPr>
          <w:trHeight w:val="196"/>
        </w:trPr>
        <w:tc>
          <w:tcPr>
            <w:tcW w:w="2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July 1-31, 2021</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23.84</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137,000</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1,441,824</w:t>
            </w:r>
          </w:p>
        </w:tc>
      </w:tr>
      <w:tr>
        <w:trPr>
          <w:trHeight w:val="202"/>
        </w:trPr>
        <w:tc>
          <w:tcPr>
            <w:tcW w:w="2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1-31, 2021</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288,000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23.73</w:t>
            </w: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288,000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1,153,824</w:t>
            </w:r>
          </w:p>
        </w:tc>
      </w:tr>
      <w:tr>
        <w:trPr>
          <w:trHeight w:val="203"/>
        </w:trPr>
        <w:tc>
          <w:tcPr>
            <w:tcW w:w="27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1-30, 2021</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23.45</w:t>
            </w:r>
          </w:p>
        </w:tc>
        <w:tc>
          <w:tcPr>
            <w:tcW w:w="1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953,824</w:t>
            </w:r>
          </w:p>
        </w:tc>
      </w:tr>
      <w:tr>
        <w:trPr>
          <w:trHeight w:val="196"/>
        </w:trPr>
        <w:tc>
          <w:tcPr>
            <w:tcW w:w="27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625,000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23.66</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625,000</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80" w:type="dxa"/>
            <w:vAlign w:val="bottom"/>
            <w:gridSpan w:val="6"/>
          </w:tcPr>
          <w:p>
            <w:pPr>
              <w:ind w:left="2840"/>
              <w:spacing w:after="0"/>
              <w:rPr>
                <w:sz w:val="20"/>
                <w:szCs w:val="20"/>
                <w:color w:val="auto"/>
              </w:rPr>
            </w:pPr>
            <w:r>
              <w:rPr>
                <w:rFonts w:ascii="Arial" w:cs="Arial" w:eastAsia="Arial" w:hAnsi="Arial"/>
                <w:sz w:val="18"/>
                <w:szCs w:val="18"/>
                <w:b w:val="1"/>
                <w:bCs w:val="1"/>
                <w:color w:val="auto"/>
              </w:rPr>
              <w:t>ITEM 6. EXHIBITS</w:t>
            </w:r>
          </w:p>
        </w:tc>
      </w:tr>
      <w:tr>
        <w:trPr>
          <w:trHeight w:val="342"/>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80" w:type="dxa"/>
            <w:vAlign w:val="bottom"/>
            <w:gridSpan w:val="6"/>
          </w:tcPr>
          <w:p>
            <w:pPr>
              <w:ind w:left="336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4"/>
                <w:szCs w:val="14"/>
                <w:color w:val="auto"/>
              </w:rPr>
            </w:pPr>
          </w:p>
        </w:tc>
        <w:tc>
          <w:tcPr>
            <w:tcW w:w="8080" w:type="dxa"/>
            <w:vAlign w:val="bottom"/>
            <w:tcBorders>
              <w:top w:val="single" w:sz="8" w:color="auto"/>
            </w:tcBorders>
            <w:gridSpan w:val="6"/>
          </w:tcPr>
          <w:p>
            <w:pPr>
              <w:spacing w:after="0" w:line="169" w:lineRule="exact"/>
              <w:rPr>
                <w:rFonts w:ascii="Arial" w:cs="Arial" w:eastAsia="Arial" w:hAnsi="Arial"/>
                <w:sz w:val="18"/>
                <w:szCs w:val="18"/>
                <w:color w:val="0000EE"/>
              </w:rPr>
            </w:pPr>
            <w:hyperlink w:anchor="page73">
              <w:r>
                <w:rPr>
                  <w:rFonts w:ascii="Arial" w:cs="Arial" w:eastAsia="Arial" w:hAnsi="Arial"/>
                  <w:sz w:val="18"/>
                  <w:szCs w:val="18"/>
                  <w:color w:val="0000EE"/>
                </w:rPr>
                <w:t>Certification of Principal Executive Officer, pursuant to Rule 13a-14(a) and Rule 15d-14(a)</w:t>
              </w:r>
            </w:hyperlink>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1500" w:type="dxa"/>
            <w:vAlign w:val="bottom"/>
            <w:gridSpan w:val="2"/>
          </w:tcPr>
          <w:p>
            <w:pPr>
              <w:spacing w:after="0"/>
              <w:rPr>
                <w:sz w:val="24"/>
                <w:szCs w:val="24"/>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8080" w:type="dxa"/>
            <w:vAlign w:val="bottom"/>
            <w:gridSpan w:val="6"/>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of 2002, from First Busey’s Chief Executive Officer</w:t>
              </w:r>
            </w:hyperlink>
          </w:p>
        </w:tc>
        <w:tc>
          <w:tcPr>
            <w:tcW w:w="430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8080" w:type="dxa"/>
            <w:vAlign w:val="bottom"/>
            <w:gridSpan w:val="6"/>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of 2002, from First Busey’s Chief Financial Officer</w:t>
              </w:r>
            </w:hyperlink>
          </w:p>
        </w:tc>
        <w:tc>
          <w:tcPr>
            <w:tcW w:w="20" w:type="dxa"/>
            <w:vAlign w:val="bottom"/>
          </w:tcPr>
          <w:p>
            <w:pPr>
              <w:spacing w:after="0"/>
              <w:rPr>
                <w:sz w:val="15"/>
                <w:szCs w:val="15"/>
                <w:color w:val="auto"/>
              </w:rPr>
            </w:pPr>
          </w:p>
        </w:tc>
      </w:tr>
      <w:tr>
        <w:trPr>
          <w:trHeight w:val="426"/>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4380" w:type="dxa"/>
            <w:vAlign w:val="bottom"/>
            <w:gridSpan w:val="5"/>
          </w:tcPr>
          <w:p>
            <w:pPr>
              <w:spacing w:after="0"/>
              <w:rPr>
                <w:sz w:val="24"/>
                <w:szCs w:val="24"/>
                <w:color w:val="auto"/>
              </w:rPr>
            </w:pP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080" w:type="dxa"/>
            <w:vAlign w:val="bottom"/>
            <w:gridSpan w:val="6"/>
          </w:tcPr>
          <w:p>
            <w:pPr>
              <w:spacing w:after="0"/>
              <w:rPr>
                <w:sz w:val="20"/>
                <w:szCs w:val="20"/>
                <w:color w:val="auto"/>
              </w:rPr>
            </w:pPr>
            <w:r>
              <w:rPr>
                <w:rFonts w:ascii="Arial" w:cs="Arial" w:eastAsia="Arial" w:hAnsi="Arial"/>
                <w:sz w:val="18"/>
                <w:szCs w:val="18"/>
                <w:color w:val="auto"/>
              </w:rPr>
              <w:t>iXBRL Taxonomy Extension Schema</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080" w:type="dxa"/>
            <w:vAlign w:val="bottom"/>
            <w:gridSpan w:val="6"/>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080" w:type="dxa"/>
            <w:vAlign w:val="bottom"/>
            <w:gridSpan w:val="6"/>
          </w:tcPr>
          <w:p>
            <w:pPr>
              <w:spacing w:after="0"/>
              <w:rPr>
                <w:sz w:val="20"/>
                <w:szCs w:val="20"/>
                <w:color w:val="auto"/>
              </w:rPr>
            </w:pPr>
            <w:r>
              <w:rPr>
                <w:rFonts w:ascii="Arial" w:cs="Arial" w:eastAsia="Arial" w:hAnsi="Arial"/>
                <w:sz w:val="18"/>
                <w:szCs w:val="18"/>
                <w:color w:val="auto"/>
              </w:rPr>
              <w:t>iXBRL Taxonomy Extension Label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080" w:type="dxa"/>
            <w:vAlign w:val="bottom"/>
            <w:gridSpan w:val="6"/>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080" w:type="dxa"/>
            <w:vAlign w:val="bottom"/>
            <w:gridSpan w:val="6"/>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175" w:lineRule="exact"/>
        <w:rPr>
          <w:sz w:val="20"/>
          <w:szCs w:val="20"/>
          <w:color w:val="auto"/>
        </w:rPr>
      </w:pPr>
    </w:p>
    <w:p>
      <w:pPr>
        <w:ind w:left="860" w:right="279" w:hanging="810"/>
        <w:spacing w:after="0" w:line="261"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ind w:left="4860"/>
        <w:spacing w:after="0" w:line="234" w:lineRule="auto"/>
        <w:rPr>
          <w:sz w:val="20"/>
          <w:szCs w:val="20"/>
          <w:color w:val="auto"/>
        </w:rPr>
      </w:pPr>
      <w:r>
        <w:rPr>
          <w:rFonts w:ascii="Arial" w:cs="Arial" w:eastAsia="Arial" w:hAnsi="Arial"/>
          <w:sz w:val="18"/>
          <w:szCs w:val="18"/>
          <w:color w:val="auto"/>
        </w:rPr>
        <w:t>Chairman, President and Chief Executive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ind w:left="48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ind w:left="486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upperLetter"/>
      <w:start w:val="68"/>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Roman"/>
      <w:start w:val="1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2021-11-04T15:30:05Z</dcterms:created>
  <dcterms:modified xsi:type="dcterms:W3CDTF">2021-11-04T15:30:05Z</dcterms:modified>
</cp:coreProperties>
</file>