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120" w:after="283"/>
        <w:jc w:val="center"/>
        <w:rPr>
          <w:rFonts w:ascii="Proxima Nova;sans-serif" w:hAnsi="Proxima Nova;sans-serif"/>
          <w:b/>
          <w:color w:val="000000"/>
          <w:sz w:val="32"/>
        </w:rPr>
      </w:pPr>
      <w:r>
        <w:rPr>
          <w:rFonts w:ascii="Proxima Nova;sans-serif" w:hAnsi="Proxima Nova;sans-serif"/>
          <w:b/>
          <w:color w:val="000000"/>
          <w:sz w:val="32"/>
        </w:rPr>
        <w:t>UNITED STATES SECURITIES AND EXCHANGE COMMISSION</w:t>
      </w:r>
    </w:p>
    <w:p>
      <w:pPr>
        <w:pStyle w:val="TextBody"/>
        <w:bidi w:val="0"/>
        <w:spacing w:lineRule="auto" w:line="288" w:before="0" w:after="100"/>
        <w:jc w:val="center"/>
        <w:rPr>
          <w:rFonts w:ascii="Proxima Nova;sans-serif" w:hAnsi="Proxima Nova;sans-serif"/>
          <w:b/>
          <w:color w:val="000000"/>
          <w:sz w:val="16"/>
        </w:rPr>
      </w:pPr>
      <w:r>
        <w:rPr>
          <w:rFonts w:ascii="Proxima Nova;sans-serif" w:hAnsi="Proxima Nova;sans-serif"/>
          <w:b/>
          <w:color w:val="000000"/>
          <w:sz w:val="16"/>
        </w:rPr>
        <w:t>WASHINGTON, DC 20549</w:t>
      </w:r>
    </w:p>
    <w:p>
      <w:pPr>
        <w:pStyle w:val="TextBody"/>
        <w:bidi w:val="0"/>
        <w:spacing w:before="120" w:after="283"/>
        <w:jc w:val="center"/>
        <w:rPr/>
      </w:pPr>
      <w:r>
        <w:rPr/>
      </w:r>
    </w:p>
    <w:p>
      <w:pPr>
        <w:pStyle w:val="TextBody"/>
        <w:bidi w:val="0"/>
        <w:spacing w:lineRule="auto" w:line="288" w:before="120" w:after="283"/>
        <w:jc w:val="center"/>
        <w:rPr>
          <w:rFonts w:ascii="Proxima Nova;sans-serif" w:hAnsi="Proxima Nova;sans-serif"/>
          <w:b/>
          <w:color w:val="000000"/>
          <w:sz w:val="32"/>
        </w:rPr>
      </w:pPr>
      <w:r>
        <w:rPr>
          <w:rFonts w:ascii="Proxima Nova;sans-serif" w:hAnsi="Proxima Nova;sans-serif"/>
          <w:b/>
          <w:color w:val="000000"/>
          <w:sz w:val="32"/>
        </w:rPr>
        <w:t>FORM 11-K</w:t>
      </w:r>
    </w:p>
    <w:tbl>
      <w:tblPr>
        <w:tblW w:w="10205" w:type="dxa"/>
        <w:jc w:val="left"/>
        <w:tblInd w:w="0" w:type="dxa"/>
        <w:tblLayout w:type="fixed"/>
        <w:tblCellMar>
          <w:top w:w="28" w:type="dxa"/>
          <w:left w:w="28" w:type="dxa"/>
          <w:bottom w:w="28" w:type="dxa"/>
          <w:right w:w="28" w:type="dxa"/>
        </w:tblCellMar>
      </w:tblPr>
      <w:tblGrid>
        <w:gridCol w:w="124"/>
        <w:gridCol w:w="109"/>
        <w:gridCol w:w="109"/>
        <w:gridCol w:w="972"/>
        <w:gridCol w:w="850"/>
        <w:gridCol w:w="850"/>
        <w:gridCol w:w="849"/>
        <w:gridCol w:w="752"/>
        <w:gridCol w:w="752"/>
        <w:gridCol w:w="752"/>
        <w:gridCol w:w="752"/>
        <w:gridCol w:w="752"/>
        <w:gridCol w:w="752"/>
        <w:gridCol w:w="752"/>
        <w:gridCol w:w="1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5" w:before="0" w:after="283"/>
              <w:jc w:val="center"/>
              <w:rPr>
                <w:color w:val="000000"/>
              </w:rPr>
            </w:pPr>
            <w:r>
              <w:rPr>
                <w:color w:val="000000"/>
              </w:rPr>
              <w:t>☑</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ANNUAL REPORT PURSUANT TO SECTION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For the fiscal year ended</w:t>
            </w:r>
          </w:p>
        </w:tc>
        <w:tc>
          <w:tcPr>
            <w:tcW w:w="719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December 31,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5" w:before="0" w:after="0"/>
              <w:jc w:val="center"/>
              <w:rPr>
                <w:rFonts w:ascii="Verdana;sans-serif" w:hAnsi="Verdana;sans-serif"/>
                <w:b w:val="false"/>
                <w:color w:val="000000"/>
                <w:sz w:val="20"/>
              </w:rPr>
            </w:pPr>
            <w:r>
              <w:rPr>
                <w:rFonts w:ascii="Verdana;sans-serif" w:hAnsi="Verdana;sans-serif"/>
                <w:b w:val="false"/>
                <w:color w:val="000000"/>
                <w:sz w:val="20"/>
              </w:rPr>
              <w: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Wingdings;sans-serif" w:hAnsi="Wingdings;sans-serif"/>
                <w:b/>
                <w:color w:val="000000"/>
                <w:sz w:val="20"/>
              </w:rPr>
            </w:pPr>
            <w:r>
              <w:rPr>
                <w:rFonts w:ascii="Wingdings;sans-serif" w:hAnsi="Wingdings;sans-serif"/>
                <w:b/>
                <w:color w:val="000000"/>
                <w:sz w:val="20"/>
              </w:rPr>
              <w:t>o</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TRANSITION REPORT PURSUANT TO SECTION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cMar>
              <w:top w:w="0" w:type="dxa"/>
              <w:left w:w="0" w:type="dxa"/>
              <w:bottom w:w="0" w:type="dxa"/>
              <w:right w:w="0" w:type="dxa"/>
            </w:tcMar>
            <w:vAlign w:val="center"/>
          </w:tcPr>
          <w:p>
            <w:pPr>
              <w:pStyle w:val="TableContents"/>
              <w:bidi w:val="0"/>
              <w:spacing w:lineRule="auto" w:line="288" w:before="100" w:after="100"/>
              <w:jc w:val="left"/>
              <w:rPr>
                <w:rFonts w:ascii="Proxima Nova;sans-serif" w:hAnsi="Proxima Nova;sans-serif"/>
                <w:b w:val="false"/>
                <w:color w:val="000000"/>
                <w:sz w:val="20"/>
              </w:rPr>
            </w:pPr>
            <w:r>
              <w:rPr>
                <w:rFonts w:ascii="Proxima Nova;sans-serif" w:hAnsi="Proxima Nova;sans-serif"/>
                <w:b w:val="false"/>
                <w:color w:val="000000"/>
                <w:sz w:val="20"/>
              </w:rPr>
              <w:t>For the transition period from</w:t>
            </w:r>
          </w:p>
        </w:tc>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Proxima Nova;sans-serif" w:hAnsi="Proxima Nova;sans-serif"/>
                <w:b w:val="false"/>
                <w:color w:val="000000"/>
                <w:sz w:val="20"/>
              </w:rPr>
            </w:pPr>
            <w:r>
              <w:rPr>
                <w:rFonts w:ascii="Proxima Nova;sans-serif" w:hAnsi="Proxima Nova;sans-serif"/>
                <w:b w:val="false"/>
                <w:color w:val="000000"/>
                <w:sz w:val="20"/>
              </w:rPr>
              <w:t>to</w:t>
            </w:r>
          </w:p>
        </w:tc>
        <w:tc>
          <w:tcPr>
            <w:tcW w:w="2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Commission file number</w:t>
            </w:r>
          </w:p>
        </w:tc>
        <w:tc>
          <w:tcPr>
            <w:tcW w:w="235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001-42677</w:t>
            </w:r>
          </w:p>
        </w:tc>
        <w:tc>
          <w:tcPr>
            <w:tcW w:w="48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672" w:type="dxa"/>
            <w:gridSpan w:val="3"/>
            <w:tcBorders/>
            <w:vAlign w:val="center"/>
          </w:tcPr>
          <w:p>
            <w:pPr>
              <w:pStyle w:val="TableContents"/>
              <w:bidi w:val="0"/>
              <w:spacing w:before="0" w:after="283"/>
              <w:jc w:val="left"/>
              <w:rPr>
                <w:sz w:val="4"/>
                <w:szCs w:val="4"/>
              </w:rPr>
            </w:pPr>
            <w:r>
              <w:rPr>
                <w:sz w:val="4"/>
                <w:szCs w:val="4"/>
              </w:rPr>
            </w:r>
          </w:p>
        </w:tc>
        <w:tc>
          <w:tcPr>
            <w:tcW w:w="2353" w:type="dxa"/>
            <w:gridSpan w:val="3"/>
            <w:tcBorders/>
            <w:vAlign w:val="center"/>
          </w:tcPr>
          <w:p>
            <w:pPr>
              <w:pStyle w:val="TableContents"/>
              <w:bidi w:val="0"/>
              <w:spacing w:before="0" w:after="283"/>
              <w:jc w:val="left"/>
              <w:rPr>
                <w:sz w:val="4"/>
                <w:szCs w:val="4"/>
              </w:rPr>
            </w:pPr>
            <w:r>
              <w:rPr>
                <w:sz w:val="4"/>
                <w:szCs w:val="4"/>
              </w:rPr>
            </w:r>
          </w:p>
        </w:tc>
        <w:tc>
          <w:tcPr>
            <w:tcW w:w="2256" w:type="dxa"/>
            <w:gridSpan w:val="3"/>
            <w:tcBorders/>
            <w:vAlign w:val="center"/>
          </w:tcPr>
          <w:p>
            <w:pPr>
              <w:pStyle w:val="TableContents"/>
              <w:bidi w:val="0"/>
              <w:spacing w:before="0" w:after="283"/>
              <w:jc w:val="left"/>
              <w:rPr>
                <w:sz w:val="4"/>
                <w:szCs w:val="4"/>
              </w:rPr>
            </w:pPr>
            <w:r>
              <w:rPr>
                <w:sz w:val="4"/>
                <w:szCs w:val="4"/>
              </w:rPr>
            </w:r>
          </w:p>
        </w:tc>
        <w:tc>
          <w:tcPr>
            <w:tcW w:w="2582"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    Full title of the plan and the address of the plan, if different from that of the issuer named below:</w:t>
      </w:r>
    </w:p>
    <w:p>
      <w:pPr>
        <w:pStyle w:val="TextBody"/>
        <w:bidi w:val="0"/>
        <w:spacing w:lineRule="auto" w:line="288" w:before="120" w:after="283"/>
        <w:jc w:val="center"/>
        <w:rPr>
          <w:rFonts w:ascii="Proxima Nova;sans-serif" w:hAnsi="Proxima Nova;sans-serif"/>
          <w:b/>
          <w:color w:val="000000"/>
          <w:sz w:val="28"/>
        </w:rPr>
      </w:pPr>
      <w:r>
        <w:rPr>
          <w:rFonts w:ascii="Proxima Nova;sans-serif" w:hAnsi="Proxima Nova;sans-serif"/>
          <w:b/>
          <w:color w:val="000000"/>
          <w:sz w:val="28"/>
        </w:rPr>
        <w:t>FIRST BUSEY CORPORATION PROFIT SHARING PLAN AND TRUST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    Name of issuer of the securities held pursuant to the plan and the address of its principal executive office:</w:t>
      </w:r>
    </w:p>
    <w:p>
      <w:pPr>
        <w:pStyle w:val="TextBody"/>
        <w:bidi w:val="0"/>
        <w:spacing w:before="120" w:after="283"/>
        <w:jc w:val="center"/>
        <w:rPr/>
      </w:pPr>
      <w:r>
        <w:rPr/>
        <w:drawing>
          <wp:inline distT="0" distB="0" distL="0" distR="0">
            <wp:extent cx="13906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0650" cy="457200"/>
                    </a:xfrm>
                    <a:prstGeom prst="rect">
                      <a:avLst/>
                    </a:prstGeom>
                  </pic:spPr>
                </pic:pic>
              </a:graphicData>
            </a:graphic>
          </wp:inline>
        </w:drawing>
      </w:r>
      <w:bookmarkStart w:id="0" w:name="i-1"/>
      <w:bookmarkEnd w:id="0"/>
    </w:p>
    <w:p>
      <w:pPr>
        <w:pStyle w:val="TextBody"/>
        <w:bidi w:val="0"/>
        <w:spacing w:lineRule="auto" w:line="288" w:before="120" w:after="283"/>
        <w:jc w:val="center"/>
        <w:rPr>
          <w:rFonts w:ascii="Proxima Nova;sans-serif" w:hAnsi="Proxima Nova;sans-serif"/>
          <w:b/>
          <w:color w:val="000000"/>
          <w:sz w:val="28"/>
        </w:rPr>
      </w:pPr>
      <w:r>
        <w:rPr>
          <w:rFonts w:ascii="Proxima Nova;sans-serif" w:hAnsi="Proxima Nova;sans-serif"/>
          <w:b/>
          <w:color w:val="000000"/>
          <w:sz w:val="28"/>
        </w:rPr>
        <w:t>FIRST BUSEY CORPORATION</w:t>
      </w:r>
    </w:p>
    <w:p>
      <w:pPr>
        <w:pStyle w:val="TextBody"/>
        <w:bidi w:val="0"/>
        <w:spacing w:lineRule="auto" w:line="288" w:before="0" w:after="0"/>
        <w:jc w:val="center"/>
        <w:rPr>
          <w:rFonts w:ascii="Proxima Nova;sans-serif" w:hAnsi="Proxima Nova;sans-serif"/>
          <w:b w:val="false"/>
          <w:color w:val="000000"/>
          <w:sz w:val="20"/>
        </w:rPr>
      </w:pPr>
      <w:r>
        <w:rPr>
          <w:rFonts w:ascii="Proxima Nova;sans-serif" w:hAnsi="Proxima Nova;sans-serif"/>
          <w:b w:val="false"/>
          <w:color w:val="000000"/>
          <w:sz w:val="20"/>
        </w:rPr>
        <w:t>11440 Tomahawk Creek Parkway</w:t>
      </w:r>
    </w:p>
    <w:p>
      <w:pPr>
        <w:pStyle w:val="TextBody"/>
        <w:bidi w:val="0"/>
        <w:spacing w:lineRule="auto" w:line="288" w:before="0" w:after="0"/>
        <w:jc w:val="center"/>
        <w:rPr/>
      </w:pPr>
      <w:r>
        <w:rPr>
          <w:rFonts w:ascii="Proxima Nova;sans-serif" w:hAnsi="Proxima Nova;sans-serif"/>
          <w:b w:val="false"/>
          <w:color w:val="000000"/>
          <w:sz w:val="20"/>
        </w:rPr>
        <w:t>Leawood</w:t>
      </w:r>
      <w:r>
        <w:rPr>
          <w:rFonts w:ascii="Proxima Nova;sans-serif" w:hAnsi="Proxima Nova;sans-serif"/>
          <w:b w:val="false"/>
          <w:color w:val="000000"/>
          <w:sz w:val="18"/>
        </w:rPr>
        <w:t xml:space="preserve">, </w:t>
      </w:r>
      <w:r>
        <w:rPr>
          <w:rFonts w:ascii="Proxima Nova;sans-serif" w:hAnsi="Proxima Nova;sans-serif"/>
          <w:b w:val="false"/>
          <w:color w:val="000000"/>
          <w:sz w:val="20"/>
        </w:rPr>
        <w:t>Kansas</w:t>
      </w:r>
      <w:r>
        <w:rPr>
          <w:color w:val="000000"/>
        </w:rPr>
        <w:t xml:space="preserve"> </w:t>
      </w:r>
      <w:r>
        <w:rPr>
          <w:rFonts w:ascii="Proxima Nova;sans-serif" w:hAnsi="Proxima Nova;sans-serif"/>
          <w:b w:val="false"/>
          <w:color w:val="000000"/>
          <w:sz w:val="20"/>
        </w:rPr>
        <w:t>66211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84530"/>
                <wp:effectExtent l="0" t="0" r="0" b="0"/>
                <wp:wrapNone/>
                <wp:docPr id="2"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200" w:after="283"/>
        <w:jc w:val="center"/>
        <w:rPr/>
      </w:pPr>
      <w:r>
        <w:rPr/>
      </w:r>
    </w:p>
    <w:p>
      <w:pPr>
        <w:pStyle w:val="TextBody"/>
        <w:bidi w:val="0"/>
        <w:spacing w:lineRule="auto" w:line="288" w:before="200" w:after="283"/>
        <w:jc w:val="center"/>
        <w:rPr>
          <w:rFonts w:ascii="Proxima Nova;sans-serif" w:hAnsi="Proxima Nova;sans-serif"/>
          <w:b/>
          <w:color w:val="000000"/>
          <w:sz w:val="20"/>
        </w:rPr>
      </w:pPr>
      <w:r>
        <w:rPr>
          <w:rFonts w:ascii="Proxima Nova;sans-serif" w:hAnsi="Proxima Nova;sans-serif"/>
          <w:b/>
          <w:color w:val="000000"/>
          <w:sz w:val="20"/>
        </w:rPr>
        <w:t>FIRST BUSEY CORPORATION PROFIT SHARING PLAN AND TRUST</w:t>
      </w:r>
    </w:p>
    <w:p>
      <w:pPr>
        <w:pStyle w:val="TextBody"/>
        <w:bidi w:val="0"/>
        <w:spacing w:lineRule="auto" w:line="288" w:before="200" w:after="283"/>
        <w:jc w:val="center"/>
        <w:rPr>
          <w:rFonts w:ascii="Proxima Nova;sans-serif" w:hAnsi="Proxima Nova;sans-serif"/>
          <w:b/>
          <w:color w:val="000000"/>
          <w:sz w:val="20"/>
        </w:rPr>
      </w:pPr>
      <w:r>
        <w:rPr>
          <w:rFonts w:ascii="Proxima Nova;sans-serif" w:hAnsi="Proxima Nova;sans-serif"/>
          <w:b/>
          <w:color w:val="000000"/>
          <w:sz w:val="20"/>
        </w:rPr>
        <w:t>FINANCIAL STATEMENTS</w:t>
      </w:r>
    </w:p>
    <w:p>
      <w:pPr>
        <w:pStyle w:val="TextBody"/>
        <w:bidi w:val="0"/>
        <w:spacing w:lineRule="auto" w:line="288" w:before="0" w:after="200"/>
        <w:jc w:val="center"/>
        <w:rPr>
          <w:rFonts w:ascii="Proxima Nova;sans-serif" w:hAnsi="Proxima Nova;sans-serif"/>
          <w:b/>
          <w:color w:val="000000"/>
          <w:sz w:val="20"/>
        </w:rPr>
      </w:pPr>
      <w:r>
        <w:rPr>
          <w:rFonts w:ascii="Proxima Nova;sans-serif" w:hAnsi="Proxima Nova;sans-serif"/>
          <w:b/>
          <w:color w:val="000000"/>
          <w:sz w:val="20"/>
        </w:rPr>
        <w:t>DECEMBER 31, 2025</w:t>
      </w:r>
    </w:p>
    <w:tbl>
      <w:tblPr>
        <w:tblW w:w="9272" w:type="dxa"/>
        <w:jc w:val="center"/>
        <w:tblInd w:w="0" w:type="dxa"/>
        <w:tblLayout w:type="fixed"/>
        <w:tblCellMar>
          <w:top w:w="28" w:type="dxa"/>
          <w:left w:w="28" w:type="dxa"/>
          <w:bottom w:w="28" w:type="dxa"/>
          <w:right w:w="28" w:type="dxa"/>
        </w:tblCellMar>
      </w:tblPr>
      <w:tblGrid>
        <w:gridCol w:w="2953"/>
        <w:gridCol w:w="2601"/>
        <w:gridCol w:w="2606"/>
        <w:gridCol w:w="324"/>
        <w:gridCol w:w="324"/>
        <w:gridCol w:w="464"/>
      </w:tblGrid>
      <w:tr>
        <w:trPr/>
        <w:tc>
          <w:tcPr>
            <w:tcW w:w="2953"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927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20"/>
              </w:rPr>
            </w:pPr>
            <w:r>
              <w:rPr>
                <w:rFonts w:ascii="Proxima Nova;sans-serif" w:hAnsi="Proxima Nova;sans-serif"/>
                <w:b/>
                <w:color w:val="000000"/>
                <w:sz w:val="20"/>
              </w:rPr>
              <w:t>Table of Contents</w:t>
            </w:r>
          </w:p>
        </w:tc>
      </w:tr>
      <w:tr>
        <w:trPr/>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7c2eea901944a881e622da056d841d_10">
              <w:r>
                <w:rPr>
                  <w:rStyle w:val="InternetLink"/>
                  <w:rFonts w:ascii="Proxima Nova;sans-serif" w:hAnsi="Proxima Nova;sans-serif"/>
                  <w:b w:val="false"/>
                  <w:strike w:val="false"/>
                  <w:dstrike w:val="false"/>
                  <w:color w:val="000000"/>
                  <w:sz w:val="20"/>
                  <w:u w:val="none"/>
                  <w:effect w:val="none"/>
                </w:rPr>
                <w:t>REPORT OF INDEPENDENT REGISTERED PUBLIC ACCOUNTING FIRM</w:t>
              </w:r>
            </w:hyperlink>
          </w:p>
        </w:tc>
        <w:tc>
          <w:tcPr>
            <w:tcW w:w="111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7c2eea901944a881e622da056d841d_10">
              <w:r>
                <w:rPr>
                  <w:rStyle w:val="InternetLink"/>
                  <w:rFonts w:ascii="Proxima Nova;sans-serif" w:hAnsi="Proxima Nova;sans-serif"/>
                  <w:b w:val="false"/>
                  <w:strike w:val="false"/>
                  <w:dstrike w:val="false"/>
                  <w:color w:val="000000"/>
                  <w:sz w:val="20"/>
                  <w:u w:val="none"/>
                  <w:effect w:val="none"/>
                </w:rPr>
                <w:t>1</w:t>
              </w:r>
            </w:hyperlink>
          </w:p>
        </w:tc>
      </w:tr>
      <w:tr>
        <w:trPr/>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7c2eea901944a881e622da056d841d_13">
              <w:r>
                <w:rPr>
                  <w:rStyle w:val="InternetLink"/>
                  <w:rFonts w:ascii="Proxima Nova;sans-serif" w:hAnsi="Proxima Nova;sans-serif"/>
                  <w:b w:val="false"/>
                  <w:strike w:val="false"/>
                  <w:dstrike w:val="false"/>
                  <w:color w:val="000000"/>
                  <w:sz w:val="20"/>
                  <w:u w:val="none"/>
                  <w:effect w:val="none"/>
                </w:rPr>
                <w:t>FINANCIAL STATEMENTS</w:t>
              </w:r>
            </w:hyperlink>
          </w:p>
        </w:tc>
        <w:tc>
          <w:tcPr>
            <w:tcW w:w="111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7c2eea901944a881e622da056d841d_13">
              <w:r>
                <w:rPr>
                  <w:rStyle w:val="InternetLink"/>
                  <w:rFonts w:ascii="Proxima Nova;sans-serif" w:hAnsi="Proxima Nova;sans-serif"/>
                  <w:b w:val="false"/>
                  <w:strike w:val="false"/>
                  <w:dstrike w:val="false"/>
                  <w:color w:val="000000"/>
                  <w:sz w:val="20"/>
                  <w:u w:val="none"/>
                  <w:effect w:val="none"/>
                </w:rPr>
                <w:t>2</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7c2eea901944a881e622da056d841d_13">
              <w:r>
                <w:rPr>
                  <w:rStyle w:val="InternetLink"/>
                  <w:rFonts w:ascii="Proxima Nova;sans-serif" w:hAnsi="Proxima Nova;sans-serif"/>
                  <w:b w:val="false"/>
                  <w:strike w:val="false"/>
                  <w:dstrike w:val="false"/>
                  <w:color w:val="000000"/>
                  <w:sz w:val="20"/>
                  <w:u w:val="none"/>
                  <w:effect w:val="none"/>
                </w:rPr>
                <w:t>STATEMENTS OF NET ASSETS AVAILABLE FOR BENEFITS</w:t>
              </w:r>
            </w:hyperlink>
          </w:p>
        </w:tc>
        <w:tc>
          <w:tcPr>
            <w:tcW w:w="111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7c2eea901944a881e622da056d841d_13">
              <w:r>
                <w:rPr>
                  <w:rStyle w:val="InternetLink"/>
                  <w:rFonts w:ascii="Proxima Nova;sans-serif" w:hAnsi="Proxima Nova;sans-serif"/>
                  <w:b w:val="false"/>
                  <w:strike w:val="false"/>
                  <w:dstrike w:val="false"/>
                  <w:color w:val="000000"/>
                  <w:sz w:val="20"/>
                  <w:u w:val="none"/>
                  <w:effect w:val="none"/>
                </w:rPr>
                <w:t>2</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7c2eea901944a881e622da056d841d_16">
              <w:r>
                <w:rPr>
                  <w:rStyle w:val="InternetLink"/>
                  <w:rFonts w:ascii="Proxima Nova;sans-serif" w:hAnsi="Proxima Nova;sans-serif"/>
                  <w:b w:val="false"/>
                  <w:strike w:val="false"/>
                  <w:dstrike w:val="false"/>
                  <w:color w:val="000000"/>
                  <w:sz w:val="20"/>
                  <w:u w:val="none"/>
                  <w:effect w:val="none"/>
                </w:rPr>
                <w:t>STATEMENT OF CHANGES IN NET ASSETS AVAILABLE FOR BENEFITS</w:t>
              </w:r>
            </w:hyperlink>
          </w:p>
        </w:tc>
        <w:tc>
          <w:tcPr>
            <w:tcW w:w="111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7c2eea901944a881e622da056d841d_16">
              <w:r>
                <w:rPr>
                  <w:rStyle w:val="InternetLink"/>
                  <w:rFonts w:ascii="Proxima Nova;sans-serif" w:hAnsi="Proxima Nova;sans-serif"/>
                  <w:b w:val="false"/>
                  <w:strike w:val="false"/>
                  <w:dstrike w:val="false"/>
                  <w:color w:val="000000"/>
                  <w:sz w:val="20"/>
                  <w:u w:val="none"/>
                  <w:effect w:val="none"/>
                </w:rPr>
                <w:t>3</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7c2eea901944a881e622da056d841d_22">
              <w:r>
                <w:rPr>
                  <w:rStyle w:val="InternetLink"/>
                  <w:rFonts w:ascii="Proxima Nova;sans-serif" w:hAnsi="Proxima Nova;sans-serif"/>
                  <w:b w:val="false"/>
                  <w:strike w:val="false"/>
                  <w:dstrike w:val="false"/>
                  <w:color w:val="000000"/>
                  <w:sz w:val="20"/>
                  <w:u w:val="none"/>
                  <w:effect w:val="none"/>
                </w:rPr>
                <w:t>NOTES TO FINANCIAL STATEMENTS</w:t>
              </w:r>
            </w:hyperlink>
          </w:p>
        </w:tc>
        <w:tc>
          <w:tcPr>
            <w:tcW w:w="111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7c2eea901944a881e622da056d841d_22">
              <w:r>
                <w:rPr>
                  <w:rStyle w:val="InternetLink"/>
                  <w:rFonts w:ascii="Proxima Nova;sans-serif" w:hAnsi="Proxima Nova;sans-serif"/>
                  <w:b w:val="false"/>
                  <w:strike w:val="false"/>
                  <w:dstrike w:val="false"/>
                  <w:color w:val="000000"/>
                  <w:sz w:val="20"/>
                  <w:u w:val="none"/>
                  <w:effect w:val="none"/>
                </w:rPr>
                <w:t>4</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7c2eea901944a881e622da056d841d_22">
              <w:r>
                <w:rPr>
                  <w:rStyle w:val="InternetLink"/>
                  <w:rFonts w:ascii="Proxima Nova;sans-serif" w:hAnsi="Proxima Nova;sans-serif"/>
                  <w:b w:val="false"/>
                  <w:strike w:val="false"/>
                  <w:dstrike w:val="false"/>
                  <w:color w:val="000000"/>
                  <w:sz w:val="20"/>
                  <w:u w:val="none"/>
                  <w:effect w:val="none"/>
                </w:rPr>
                <w:t>Note 1. Plan Description</w:t>
              </w:r>
            </w:hyperlink>
          </w:p>
        </w:tc>
        <w:tc>
          <w:tcPr>
            <w:tcW w:w="111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7c2eea901944a881e622da056d841d_22">
              <w:r>
                <w:rPr>
                  <w:rStyle w:val="InternetLink"/>
                  <w:rFonts w:ascii="Proxima Nova;sans-serif" w:hAnsi="Proxima Nova;sans-serif"/>
                  <w:b w:val="false"/>
                  <w:strike w:val="false"/>
                  <w:dstrike w:val="false"/>
                  <w:color w:val="000000"/>
                  <w:sz w:val="20"/>
                  <w:u w:val="none"/>
                  <w:effect w:val="none"/>
                </w:rPr>
                <w:t>4</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7c2eea901944a881e622da056d841d_25">
              <w:r>
                <w:rPr>
                  <w:rStyle w:val="InternetLink"/>
                  <w:rFonts w:ascii="Proxima Nova;sans-serif" w:hAnsi="Proxima Nova;sans-serif"/>
                  <w:b w:val="false"/>
                  <w:strike w:val="false"/>
                  <w:dstrike w:val="false"/>
                  <w:color w:val="000000"/>
                  <w:sz w:val="20"/>
                  <w:u w:val="none"/>
                  <w:effect w:val="none"/>
                </w:rPr>
                <w:t>Note 2. Significant Accounting Policies</w:t>
              </w:r>
            </w:hyperlink>
          </w:p>
        </w:tc>
        <w:tc>
          <w:tcPr>
            <w:tcW w:w="111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7c2eea901944a881e622da056d841d_25">
              <w:r>
                <w:rPr>
                  <w:rStyle w:val="InternetLink"/>
                  <w:rFonts w:ascii="Proxima Nova;sans-serif" w:hAnsi="Proxima Nova;sans-serif"/>
                  <w:b w:val="false"/>
                  <w:strike w:val="false"/>
                  <w:dstrike w:val="false"/>
                  <w:color w:val="000000"/>
                  <w:sz w:val="20"/>
                  <w:u w:val="none"/>
                  <w:effect w:val="none"/>
                </w:rPr>
                <w:t>6</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7c2eea901944a881e622da056d841d_28">
              <w:r>
                <w:rPr>
                  <w:rStyle w:val="InternetLink"/>
                  <w:rFonts w:ascii="Proxima Nova;sans-serif" w:hAnsi="Proxima Nova;sans-serif"/>
                  <w:b w:val="false"/>
                  <w:strike w:val="false"/>
                  <w:dstrike w:val="false"/>
                  <w:color w:val="000000"/>
                  <w:sz w:val="20"/>
                  <w:u w:val="none"/>
                  <w:effect w:val="none"/>
                </w:rPr>
                <w:t>Note 3. Fair Value Measurements</w:t>
              </w:r>
            </w:hyperlink>
          </w:p>
        </w:tc>
        <w:tc>
          <w:tcPr>
            <w:tcW w:w="111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7c2eea901944a881e622da056d841d_28">
              <w:r>
                <w:rPr>
                  <w:rStyle w:val="InternetLink"/>
                  <w:rFonts w:ascii="Proxima Nova;sans-serif" w:hAnsi="Proxima Nova;sans-serif"/>
                  <w:b w:val="false"/>
                  <w:strike w:val="false"/>
                  <w:dstrike w:val="false"/>
                  <w:color w:val="000000"/>
                  <w:sz w:val="20"/>
                  <w:u w:val="none"/>
                  <w:effect w:val="none"/>
                </w:rPr>
                <w:t>7</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7c2eea901944a881e622da056d841d_31">
              <w:r>
                <w:rPr>
                  <w:rStyle w:val="InternetLink"/>
                  <w:rFonts w:ascii="Proxima Nova;sans-serif" w:hAnsi="Proxima Nova;sans-serif"/>
                  <w:b w:val="false"/>
                  <w:strike w:val="false"/>
                  <w:dstrike w:val="false"/>
                  <w:color w:val="000000"/>
                  <w:sz w:val="20"/>
                  <w:u w:val="none"/>
                  <w:effect w:val="none"/>
                </w:rPr>
                <w:t>Note 4. Party-in-Interest Transactions</w:t>
              </w:r>
            </w:hyperlink>
          </w:p>
        </w:tc>
        <w:tc>
          <w:tcPr>
            <w:tcW w:w="111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7c2eea901944a881e622da056d841d_31">
              <w:r>
                <w:rPr>
                  <w:rStyle w:val="InternetLink"/>
                  <w:rFonts w:ascii="Proxima Nova;sans-serif" w:hAnsi="Proxima Nova;sans-serif"/>
                  <w:b w:val="false"/>
                  <w:strike w:val="false"/>
                  <w:dstrike w:val="false"/>
                  <w:color w:val="000000"/>
                  <w:sz w:val="20"/>
                  <w:u w:val="none"/>
                  <w:effect w:val="none"/>
                </w:rPr>
                <w:t>8</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7c2eea901944a881e622da056d841d_34">
              <w:r>
                <w:rPr>
                  <w:rStyle w:val="InternetLink"/>
                  <w:rFonts w:ascii="Proxima Nova;sans-serif" w:hAnsi="Proxima Nova;sans-serif"/>
                  <w:b w:val="false"/>
                  <w:strike w:val="false"/>
                  <w:dstrike w:val="false"/>
                  <w:color w:val="000000"/>
                  <w:sz w:val="20"/>
                  <w:u w:val="none"/>
                  <w:effect w:val="none"/>
                </w:rPr>
                <w:t>Note 5. Income Tax Status</w:t>
              </w:r>
            </w:hyperlink>
          </w:p>
        </w:tc>
        <w:tc>
          <w:tcPr>
            <w:tcW w:w="111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7c2eea901944a881e622da056d841d_34">
              <w:r>
                <w:rPr>
                  <w:rStyle w:val="InternetLink"/>
                  <w:rFonts w:ascii="Proxima Nova;sans-serif" w:hAnsi="Proxima Nova;sans-serif"/>
                  <w:b w:val="false"/>
                  <w:strike w:val="false"/>
                  <w:dstrike w:val="false"/>
                  <w:color w:val="000000"/>
                  <w:sz w:val="20"/>
                  <w:u w:val="none"/>
                  <w:effect w:val="none"/>
                </w:rPr>
                <w:t>9</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7c2eea901944a881e622da056d841d_37">
              <w:r>
                <w:rPr>
                  <w:rStyle w:val="InternetLink"/>
                  <w:rFonts w:ascii="Proxima Nova;sans-serif" w:hAnsi="Proxima Nova;sans-serif"/>
                  <w:b w:val="false"/>
                  <w:strike w:val="false"/>
                  <w:dstrike w:val="false"/>
                  <w:color w:val="000000"/>
                  <w:sz w:val="20"/>
                  <w:u w:val="none"/>
                  <w:effect w:val="none"/>
                </w:rPr>
                <w:t>Note 6. Plan Termination</w:t>
              </w:r>
            </w:hyperlink>
          </w:p>
        </w:tc>
        <w:tc>
          <w:tcPr>
            <w:tcW w:w="111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7c2eea901944a881e622da056d841d_37">
              <w:r>
                <w:rPr>
                  <w:rStyle w:val="InternetLink"/>
                  <w:rFonts w:ascii="Proxima Nova;sans-serif" w:hAnsi="Proxima Nova;sans-serif"/>
                  <w:b w:val="false"/>
                  <w:strike w:val="false"/>
                  <w:dstrike w:val="false"/>
                  <w:color w:val="000000"/>
                  <w:sz w:val="20"/>
                  <w:u w:val="none"/>
                  <w:effect w:val="none"/>
                </w:rPr>
                <w:t>9</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7c2eea901944a881e622da056d841d_40">
              <w:r>
                <w:rPr>
                  <w:rStyle w:val="InternetLink"/>
                  <w:rFonts w:ascii="Proxima Nova;sans-serif" w:hAnsi="Proxima Nova;sans-serif"/>
                  <w:b w:val="false"/>
                  <w:strike w:val="false"/>
                  <w:dstrike w:val="false"/>
                  <w:color w:val="000000"/>
                  <w:sz w:val="20"/>
                  <w:u w:val="none"/>
                  <w:effect w:val="none"/>
                </w:rPr>
                <w:t>Note 7. Recent Legislation</w:t>
              </w:r>
            </w:hyperlink>
          </w:p>
        </w:tc>
        <w:tc>
          <w:tcPr>
            <w:tcW w:w="111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7c2eea901944a881e622da056d841d_40">
              <w:r>
                <w:rPr>
                  <w:rStyle w:val="InternetLink"/>
                  <w:rFonts w:ascii="Proxima Nova;sans-serif" w:hAnsi="Proxima Nova;sans-serif"/>
                  <w:b w:val="false"/>
                  <w:strike w:val="false"/>
                  <w:dstrike w:val="false"/>
                  <w:color w:val="000000"/>
                  <w:sz w:val="20"/>
                  <w:u w:val="none"/>
                  <w:effect w:val="none"/>
                </w:rPr>
                <w:t>9</w:t>
              </w:r>
            </w:hyperlink>
          </w:p>
        </w:tc>
      </w:tr>
      <w:tr>
        <w:trPr/>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7c2eea901944a881e622da056d841d_43">
              <w:r>
                <w:rPr>
                  <w:rStyle w:val="InternetLink"/>
                  <w:rFonts w:ascii="Proxima Nova;sans-serif" w:hAnsi="Proxima Nova;sans-serif"/>
                  <w:b w:val="false"/>
                  <w:strike w:val="false"/>
                  <w:dstrike w:val="false"/>
                  <w:color w:val="000000"/>
                  <w:sz w:val="20"/>
                  <w:u w:val="none"/>
                  <w:effect w:val="none"/>
                </w:rPr>
                <w:t>SUPPLEMENTAL SCHEDULE</w:t>
              </w:r>
            </w:hyperlink>
          </w:p>
        </w:tc>
        <w:tc>
          <w:tcPr>
            <w:tcW w:w="111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7c2eea901944a881e622da056d841d_43">
              <w:r>
                <w:rPr>
                  <w:rStyle w:val="InternetLink"/>
                  <w:rFonts w:ascii="Proxima Nova;sans-serif" w:hAnsi="Proxima Nova;sans-serif"/>
                  <w:b w:val="false"/>
                  <w:strike w:val="false"/>
                  <w:dstrike w:val="false"/>
                  <w:color w:val="000000"/>
                  <w:sz w:val="20"/>
                  <w:u w:val="none"/>
                  <w:effect w:val="none"/>
                </w:rPr>
                <w:t>10</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7c2eea901944a881e622da056d841d_46">
              <w:r>
                <w:rPr>
                  <w:rStyle w:val="InternetLink"/>
                  <w:rFonts w:ascii="Proxima Nova;sans-serif" w:hAnsi="Proxima Nova;sans-serif"/>
                  <w:b w:val="false"/>
                  <w:strike w:val="false"/>
                  <w:dstrike w:val="false"/>
                  <w:color w:val="000000"/>
                  <w:sz w:val="20"/>
                  <w:u w:val="none"/>
                  <w:effect w:val="none"/>
                </w:rPr>
                <w:t>FORM 5500, SCHEDULE H, LINE 4i—SCHEDULE OF ASSETS (HELD AT END OF YEAR)</w:t>
              </w:r>
            </w:hyperlink>
          </w:p>
        </w:tc>
        <w:tc>
          <w:tcPr>
            <w:tcW w:w="111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7c2eea901944a881e622da056d841d_46">
              <w:r>
                <w:rPr>
                  <w:rStyle w:val="InternetLink"/>
                  <w:rFonts w:ascii="Proxima Nova;sans-serif" w:hAnsi="Proxima Nova;sans-serif"/>
                  <w:b w:val="false"/>
                  <w:strike w:val="false"/>
                  <w:dstrike w:val="false"/>
                  <w:color w:val="000000"/>
                  <w:sz w:val="20"/>
                  <w:u w:val="none"/>
                  <w:effect w:val="none"/>
                </w:rPr>
                <w:t>11</w:t>
              </w:r>
            </w:hyperlink>
          </w:p>
        </w:tc>
      </w:tr>
      <w:tr>
        <w:trPr/>
        <w:tc>
          <w:tcPr>
            <w:tcW w:w="8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7c2eea901944a881e622da056d841d_55">
              <w:r>
                <w:rPr>
                  <w:rStyle w:val="InternetLink"/>
                  <w:rFonts w:ascii="Proxima Nova;sans-serif" w:hAnsi="Proxima Nova;sans-serif"/>
                  <w:b w:val="false"/>
                  <w:strike w:val="false"/>
                  <w:dstrike w:val="false"/>
                  <w:color w:val="000000"/>
                  <w:sz w:val="20"/>
                  <w:u w:val="none"/>
                  <w:effect w:val="none"/>
                </w:rPr>
                <w:t>SIGNATURE</w:t>
              </w:r>
            </w:hyperlink>
          </w:p>
        </w:tc>
        <w:tc>
          <w:tcPr>
            <w:tcW w:w="111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7c2eea901944a881e622da056d841d_55">
              <w:r>
                <w:rPr>
                  <w:rStyle w:val="InternetLink"/>
                  <w:rFonts w:ascii="Proxima Nova;sans-serif" w:hAnsi="Proxima Nova;sans-serif"/>
                  <w:b w:val="false"/>
                  <w:strike w:val="false"/>
                  <w:dstrike w:val="false"/>
                  <w:color w:val="000000"/>
                  <w:sz w:val="20"/>
                  <w:u w:val="none"/>
                  <w:effect w:val="none"/>
                </w:rPr>
                <w:t>16</w:t>
              </w:r>
            </w:hyperlink>
          </w:p>
        </w:tc>
      </w:tr>
      <w:tr>
        <w:trPr/>
        <w:tc>
          <w:tcPr>
            <w:tcW w:w="81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7c2eea901944a881e622da056d841d_58">
              <w:r>
                <w:rPr>
                  <w:rStyle w:val="InternetLink"/>
                  <w:rFonts w:ascii="Proxima Nova;sans-serif" w:hAnsi="Proxima Nova;sans-serif"/>
                  <w:b w:val="false"/>
                  <w:strike w:val="false"/>
                  <w:dstrike w:val="false"/>
                  <w:color w:val="000000"/>
                  <w:sz w:val="20"/>
                  <w:u w:val="none"/>
                  <w:effect w:val="none"/>
                </w:rPr>
                <w:t>EXHIBIT INDEX</w:t>
              </w:r>
            </w:hyperlink>
          </w:p>
        </w:tc>
        <w:tc>
          <w:tcPr>
            <w:tcW w:w="111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7c2eea901944a881e622da056d841d_58">
              <w:r>
                <w:rPr>
                  <w:rStyle w:val="InternetLink"/>
                  <w:rFonts w:ascii="Proxima Nova;sans-serif" w:hAnsi="Proxima Nova;sans-serif"/>
                  <w:b w:val="false"/>
                  <w:strike w:val="false"/>
                  <w:dstrike w:val="false"/>
                  <w:color w:val="000000"/>
                  <w:sz w:val="20"/>
                  <w:u w:val="none"/>
                  <w:effect w:val="none"/>
                </w:rPr>
                <w:t>17</w:t>
              </w:r>
            </w:hyperlink>
          </w:p>
        </w:tc>
      </w:tr>
    </w:tbl>
    <w:p>
      <w:pPr>
        <w:pStyle w:val="TextBody"/>
        <w:bidi w:val="0"/>
        <w:spacing w:before="20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02260"/>
                <wp:effectExtent l="0" t="0" r="0" b="0"/>
                <wp:wrapNone/>
                <wp:docPr id="3"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88" w:before="0" w:after="0"/>
        <w:jc w:val="left"/>
        <w:rPr/>
      </w:pPr>
      <w:hyperlink w:anchor="ica7c2eea901944a881e622da056d841d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Proxima Nova;sans-serif" w:hAnsi="Proxima Nova;sans-serif"/>
          <w:b w:val="false"/>
          <w:color w:val="000000"/>
          <w:sz w:val="19"/>
        </w:rPr>
      </w:pPr>
      <w:r>
        <w:rPr>
          <w:rFonts w:ascii="Proxima Nova;sans-serif" w:hAnsi="Proxima Nova;sans-serif"/>
          <w:b w:val="false"/>
          <w:color w:val="000000"/>
          <w:sz w:val="19"/>
        </w:rPr>
        <w:t>To the Employee Benefits and Compensation Committee and Plan Participants of</w:t>
        <w:br/>
        <w:t>the First Busey Corporation Profit Sharing Plan and Trust</w:t>
      </w:r>
    </w:p>
    <w:p>
      <w:pPr>
        <w:pStyle w:val="TextBody"/>
        <w:bidi w:val="0"/>
        <w:spacing w:lineRule="auto" w:line="288" w:before="0" w:after="0"/>
        <w:jc w:val="both"/>
        <w:rPr>
          <w:rFonts w:ascii="Proxima Nova;sans-serif" w:hAnsi="Proxima Nova;sans-serif"/>
          <w:b w:val="false"/>
          <w:color w:val="000000"/>
          <w:sz w:val="19"/>
        </w:rPr>
      </w:pPr>
      <w:r>
        <w:rPr>
          <w:rFonts w:ascii="Proxima Nova;sans-serif" w:hAnsi="Proxima Nova;sans-serif"/>
          <w:b w:val="false"/>
          <w:color w:val="000000"/>
          <w:sz w:val="19"/>
        </w:rPr>
        <w:t>Leawood, Kansas</w:t>
      </w:r>
    </w:p>
    <w:p>
      <w:pPr>
        <w:pStyle w:val="TextBody"/>
        <w:bidi w:val="0"/>
        <w:spacing w:before="0" w:after="0"/>
        <w:jc w:val="both"/>
        <w:rPr/>
      </w:pPr>
      <w:r>
        <w:rPr/>
      </w:r>
    </w:p>
    <w:p>
      <w:pPr>
        <w:pStyle w:val="TextBody"/>
        <w:bidi w:val="0"/>
        <w:spacing w:lineRule="auto" w:line="288" w:before="0" w:after="0"/>
        <w:jc w:val="left"/>
        <w:rPr>
          <w:rFonts w:ascii="Proxima Nova;sans-serif" w:hAnsi="Proxima Nova;sans-serif"/>
          <w:b/>
          <w:i/>
          <w:color w:val="000000"/>
          <w:sz w:val="19"/>
        </w:rPr>
      </w:pPr>
      <w:r>
        <w:rPr>
          <w:rFonts w:ascii="Proxima Nova;sans-serif" w:hAnsi="Proxima Nova;sans-serif"/>
          <w:b/>
          <w:i/>
          <w:color w:val="000000"/>
          <w:sz w:val="19"/>
        </w:rPr>
        <w:t>Opinion on the Financial Statements</w:t>
      </w:r>
    </w:p>
    <w:p>
      <w:pPr>
        <w:pStyle w:val="TextBody"/>
        <w:bidi w:val="0"/>
        <w:spacing w:lineRule="auto" w:line="288" w:before="0" w:after="0"/>
        <w:jc w:val="both"/>
        <w:rPr>
          <w:rFonts w:ascii="Proxima Nova;sans-serif" w:hAnsi="Proxima Nova;sans-serif"/>
          <w:b w:val="false"/>
          <w:color w:val="000000"/>
          <w:sz w:val="19"/>
        </w:rPr>
      </w:pPr>
      <w:r>
        <w:rPr>
          <w:rFonts w:ascii="Proxima Nova;sans-serif" w:hAnsi="Proxima Nova;sans-serif"/>
          <w:b w:val="false"/>
          <w:color w:val="000000"/>
          <w:sz w:val="19"/>
        </w:rPr>
        <w:t>We have audited the accompanying statements of net assets available for benefits of the First Busey Corporation Profit Sharing Plan and Trust (the “Plan”) as of December 31, 2025 and 2024, and the related statement of changes in net assets available for benefits for the year ended December 31, 2025, and the related notes and schedules (collectively referred to as the “financial statements”). In our opinion, the financial statements present fairly, in all material respects, the net assets available for benefits of First Busey Corporation Profit Sharing Plan and Trust as of December 31, 2025 and 2024, and the changes in net assets available for benefits for the year ended December 31, 2025,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left"/>
        <w:rPr>
          <w:rFonts w:ascii="Proxima Nova;sans-serif" w:hAnsi="Proxima Nova;sans-serif"/>
          <w:b/>
          <w:i/>
          <w:color w:val="000000"/>
          <w:sz w:val="19"/>
        </w:rPr>
      </w:pPr>
      <w:r>
        <w:rPr>
          <w:rFonts w:ascii="Proxima Nova;sans-serif" w:hAnsi="Proxima Nova;sans-serif"/>
          <w:b/>
          <w:i/>
          <w:color w:val="000000"/>
          <w:sz w:val="19"/>
        </w:rPr>
        <w:t>Basis for Opinion</w:t>
      </w:r>
    </w:p>
    <w:p>
      <w:pPr>
        <w:pStyle w:val="TextBody"/>
        <w:bidi w:val="0"/>
        <w:spacing w:lineRule="auto" w:line="288" w:before="0" w:after="0"/>
        <w:jc w:val="both"/>
        <w:rPr>
          <w:rFonts w:ascii="Proxima Nova;sans-serif" w:hAnsi="Proxima Nova;sans-serif"/>
          <w:b w:val="false"/>
          <w:color w:val="000000"/>
          <w:sz w:val="19"/>
        </w:rPr>
      </w:pPr>
      <w:r>
        <w:rPr>
          <w:rFonts w:ascii="Proxima Nova;sans-serif" w:hAnsi="Proxima Nova;sans-serif"/>
          <w:b w:val="false"/>
          <w:color w:val="000000"/>
          <w:sz w:val="19"/>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Proxima Nova;sans-serif" w:hAnsi="Proxima Nova;sans-serif"/>
          <w:b w:val="false"/>
          <w:color w:val="000000"/>
          <w:sz w:val="19"/>
        </w:rPr>
      </w:pPr>
      <w:r>
        <w:rPr>
          <w:rFonts w:ascii="Proxima Nova;sans-serif" w:hAnsi="Proxima Nova;sans-serif"/>
          <w:b w:val="false"/>
          <w:color w:val="000000"/>
          <w:sz w:val="19"/>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pStyle w:val="TextBody"/>
        <w:bidi w:val="0"/>
        <w:spacing w:before="0" w:after="0"/>
        <w:jc w:val="both"/>
        <w:rPr/>
      </w:pPr>
      <w:r>
        <w:rPr/>
      </w:r>
    </w:p>
    <w:p>
      <w:pPr>
        <w:pStyle w:val="TextBody"/>
        <w:bidi w:val="0"/>
        <w:spacing w:lineRule="auto" w:line="288" w:before="0" w:after="0"/>
        <w:jc w:val="both"/>
        <w:rPr>
          <w:rFonts w:ascii="Proxima Nova;sans-serif" w:hAnsi="Proxima Nova;sans-serif"/>
          <w:b w:val="false"/>
          <w:color w:val="000000"/>
          <w:sz w:val="19"/>
        </w:rPr>
      </w:pPr>
      <w:r>
        <w:rPr>
          <w:rFonts w:ascii="Proxima Nova;sans-serif" w:hAnsi="Proxima Nova;sans-serif"/>
          <w:b w:val="false"/>
          <w:color w:val="000000"/>
          <w:sz w:val="19"/>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left"/>
        <w:rPr>
          <w:rFonts w:ascii="Proxima Nova;sans-serif" w:hAnsi="Proxima Nova;sans-serif"/>
          <w:b/>
          <w:i/>
          <w:color w:val="000000"/>
          <w:sz w:val="19"/>
        </w:rPr>
      </w:pPr>
      <w:r>
        <w:rPr>
          <w:rFonts w:ascii="Proxima Nova;sans-serif" w:hAnsi="Proxima Nova;sans-serif"/>
          <w:b/>
          <w:i/>
          <w:color w:val="000000"/>
          <w:sz w:val="19"/>
        </w:rPr>
        <w:t>Supplemental Information</w:t>
      </w:r>
    </w:p>
    <w:p>
      <w:pPr>
        <w:pStyle w:val="TextBody"/>
        <w:bidi w:val="0"/>
        <w:spacing w:lineRule="auto" w:line="288" w:before="0" w:after="0"/>
        <w:jc w:val="both"/>
        <w:rPr>
          <w:rFonts w:ascii="Proxima Nova;sans-serif" w:hAnsi="Proxima Nova;sans-serif"/>
          <w:b w:val="false"/>
          <w:color w:val="000000"/>
          <w:sz w:val="19"/>
        </w:rPr>
      </w:pPr>
      <w:r>
        <w:rPr>
          <w:rFonts w:ascii="Proxima Nova;sans-serif" w:hAnsi="Proxima Nova;sans-serif"/>
          <w:b w:val="false"/>
          <w:color w:val="000000"/>
          <w:sz w:val="19"/>
        </w:rPr>
        <w:t>The supplemental information contained in Form 5500, Schedule H, Line 4i –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pStyle w:val="TextBody"/>
        <w:bidi w:val="0"/>
        <w:spacing w:before="0" w:after="0"/>
        <w:jc w:val="both"/>
        <w:rPr/>
      </w:pPr>
      <w:r>
        <w:rPr/>
      </w:r>
    </w:p>
    <w:p>
      <w:pPr>
        <w:pStyle w:val="TextBody"/>
        <w:bidi w:val="0"/>
        <w:spacing w:lineRule="auto" w:line="288" w:before="0" w:after="0"/>
        <w:jc w:val="both"/>
        <w:rPr>
          <w:rFonts w:ascii="Proxima Nova;sans-serif" w:hAnsi="Proxima Nova;sans-serif"/>
          <w:b w:val="false"/>
          <w:color w:val="000000"/>
          <w:sz w:val="19"/>
        </w:rPr>
      </w:pPr>
      <w:r>
        <w:rPr>
          <w:rFonts w:ascii="Proxima Nova;sans-serif" w:hAnsi="Proxima Nova;sans-serif"/>
          <w:b w:val="false"/>
          <w:color w:val="000000"/>
          <w:sz w:val="19"/>
        </w:rPr>
        <w:t>/s/ FGMK, LLC</w:t>
      </w:r>
    </w:p>
    <w:p>
      <w:pPr>
        <w:pStyle w:val="TextBody"/>
        <w:bidi w:val="0"/>
        <w:spacing w:before="0" w:after="0"/>
        <w:jc w:val="both"/>
        <w:rPr/>
      </w:pPr>
      <w:r>
        <w:rPr/>
      </w:r>
    </w:p>
    <w:p>
      <w:pPr>
        <w:pStyle w:val="TextBody"/>
        <w:bidi w:val="0"/>
        <w:spacing w:lineRule="auto" w:line="288" w:before="0" w:after="0"/>
        <w:jc w:val="both"/>
        <w:rPr>
          <w:rFonts w:ascii="Proxima Nova;sans-serif" w:hAnsi="Proxima Nova;sans-serif"/>
          <w:b w:val="false"/>
          <w:color w:val="000000"/>
          <w:sz w:val="19"/>
        </w:rPr>
      </w:pPr>
      <w:r>
        <w:rPr>
          <w:rFonts w:ascii="Proxima Nova;sans-serif" w:hAnsi="Proxima Nova;sans-serif"/>
          <w:b w:val="false"/>
          <w:color w:val="000000"/>
          <w:sz w:val="19"/>
        </w:rPr>
        <w:t>We have served as the Company’s auditor since 2023.</w:t>
      </w:r>
    </w:p>
    <w:p>
      <w:pPr>
        <w:pStyle w:val="TextBody"/>
        <w:bidi w:val="0"/>
        <w:spacing w:before="0" w:after="0"/>
        <w:jc w:val="both"/>
        <w:rPr/>
      </w:pPr>
      <w:r>
        <w:rPr/>
      </w:r>
    </w:p>
    <w:p>
      <w:pPr>
        <w:pStyle w:val="TextBody"/>
        <w:bidi w:val="0"/>
        <w:spacing w:lineRule="auto" w:line="288" w:before="0" w:after="0"/>
        <w:jc w:val="both"/>
        <w:rPr>
          <w:rFonts w:ascii="Proxima Nova;sans-serif" w:hAnsi="Proxima Nova;sans-serif"/>
          <w:b w:val="false"/>
          <w:color w:val="000000"/>
          <w:sz w:val="19"/>
        </w:rPr>
      </w:pPr>
      <w:r>
        <w:rPr>
          <w:rFonts w:ascii="Proxima Nova;sans-serif" w:hAnsi="Proxima Nova;sans-serif"/>
          <w:b w:val="false"/>
          <w:color w:val="000000"/>
          <w:sz w:val="19"/>
        </w:rPr>
        <w:t xml:space="preserve">Bannockburn, Illinois </w:t>
      </w:r>
    </w:p>
    <w:p>
      <w:pPr>
        <w:pStyle w:val="TextBody"/>
        <w:bidi w:val="0"/>
        <w:spacing w:lineRule="auto" w:line="288" w:before="0" w:after="0"/>
        <w:jc w:val="both"/>
        <w:rPr>
          <w:rFonts w:ascii="Proxima Nova;sans-serif" w:hAnsi="Proxima Nova;sans-serif"/>
          <w:b w:val="false"/>
          <w:color w:val="000000"/>
          <w:sz w:val="19"/>
        </w:rPr>
      </w:pPr>
      <w:r>
        <w:rPr>
          <w:rFonts w:ascii="Proxima Nova;sans-serif" w:hAnsi="Proxima Nova;sans-serif"/>
          <w:b w:val="false"/>
          <w:color w:val="000000"/>
          <w:sz w:val="19"/>
        </w:rPr>
        <w:t>June 29,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4955"/>
                <wp:effectExtent l="0" t="0" r="0" b="0"/>
                <wp:wrapNone/>
                <wp:docPr id="4" name="Frame3"/>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1</w:t>
                      </w:r>
                    </w:p>
                  </w:txbxContent>
                </v:textbox>
                <w10:wrap type="none"/>
              </v:rect>
            </w:pict>
          </mc:Fallback>
        </mc:AlternateContent>
      </w:r>
    </w:p>
    <w:p>
      <w:pPr>
        <w:pStyle w:val="TextBody"/>
        <w:bidi w:val="0"/>
        <w:spacing w:lineRule="auto" w:line="288" w:before="0" w:after="0"/>
        <w:jc w:val="left"/>
        <w:rPr/>
      </w:pPr>
      <w:hyperlink w:anchor="ica7c2eea901944a881e622da056d841d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400" w:after="283"/>
        <w:jc w:val="center"/>
        <w:rPr>
          <w:rFonts w:ascii="Proxima Nova;sans-serif" w:hAnsi="Proxima Nova;sans-serif"/>
          <w:b/>
          <w:color w:val="000000"/>
          <w:sz w:val="20"/>
        </w:rPr>
      </w:pPr>
      <w:r>
        <w:rPr>
          <w:rFonts w:ascii="Proxima Nova;sans-serif" w:hAnsi="Proxima Nova;sans-serif"/>
          <w:b/>
          <w:color w:val="000000"/>
          <w:sz w:val="20"/>
        </w:rPr>
        <w:t>FIRST BUSEY CORPORATION PROFIT SHARING PLAN AND TRUST</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 xml:space="preserve">STATEMENTS OF NET ASSETS AVAILABLE FOR BENEFITS </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DECEMBER 31, 2025 AND 2024</w:t>
      </w:r>
    </w:p>
    <w:p>
      <w:pPr>
        <w:pStyle w:val="TextBody"/>
        <w:bidi w:val="0"/>
        <w:spacing w:before="200" w:after="200"/>
        <w:jc w:val="both"/>
        <w:rPr/>
      </w:pPr>
      <w:r>
        <w:rPr/>
      </w:r>
    </w:p>
    <w:p>
      <w:pPr>
        <w:pStyle w:val="TextBody"/>
        <w:bidi w:val="0"/>
        <w:spacing w:before="200" w:after="200"/>
        <w:jc w:val="center"/>
        <w:rPr/>
      </w:pPr>
      <w:r>
        <w:rPr/>
      </w:r>
    </w:p>
    <w:tbl>
      <w:tblPr>
        <w:tblW w:w="8379" w:type="dxa"/>
        <w:jc w:val="left"/>
        <w:tblInd w:w="0" w:type="dxa"/>
        <w:tblLayout w:type="fixed"/>
        <w:tblCellMar>
          <w:top w:w="28" w:type="dxa"/>
          <w:left w:w="28" w:type="dxa"/>
          <w:bottom w:w="28" w:type="dxa"/>
          <w:right w:w="28" w:type="dxa"/>
        </w:tblCellMar>
      </w:tblPr>
      <w:tblGrid>
        <w:gridCol w:w="1666"/>
        <w:gridCol w:w="1461"/>
        <w:gridCol w:w="1478"/>
        <w:gridCol w:w="226"/>
        <w:gridCol w:w="1366"/>
        <w:gridCol w:w="109"/>
        <w:gridCol w:w="109"/>
        <w:gridCol w:w="109"/>
        <w:gridCol w:w="109"/>
        <w:gridCol w:w="226"/>
        <w:gridCol w:w="1366"/>
        <w:gridCol w:w="154"/>
      </w:tblGrid>
      <w:tr>
        <w:trPr/>
        <w:tc>
          <w:tcPr>
            <w:tcW w:w="166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2024</w:t>
            </w:r>
          </w:p>
        </w:tc>
      </w:tr>
      <w:tr>
        <w:trPr/>
        <w:tc>
          <w:tcPr>
            <w:tcW w:w="460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ASSETS</w:t>
            </w:r>
          </w:p>
        </w:tc>
        <w:tc>
          <w:tcPr>
            <w:tcW w:w="1701" w:type="dxa"/>
            <w:gridSpan w:val="3"/>
            <w:tcBorders>
              <w:top w:val="single" w:sz="4"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4"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Participant directed investments, at fair value</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328,149,763 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262,267,135 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Cash</w:t>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9,424 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21,855 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Receivables:</w:t>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Employers’ contributions</w:t>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4,565,687 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3,378,294 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Employees’ contributions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Notes receivable from participants</w:t>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2,894,127 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2,496,253 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receivables</w:t>
            </w:r>
          </w:p>
        </w:tc>
        <w:tc>
          <w:tcPr>
            <w:tcW w:w="15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7,461,427 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5,874,547 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NET ASSETS AVAILABLE FOR BENEFITS</w:t>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335,620,614 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268,163,537 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4955"/>
                <wp:effectExtent l="0" t="0" r="0" b="0"/>
                <wp:wrapNone/>
                <wp:docPr id="5" name="Frame4"/>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2</w:t>
                      </w:r>
                    </w:p>
                  </w:txbxContent>
                </v:textbox>
                <w10:wrap type="none"/>
              </v:rect>
            </w:pict>
          </mc:Fallback>
        </mc:AlternateContent>
      </w:r>
    </w:p>
    <w:p>
      <w:pPr>
        <w:pStyle w:val="TextBody"/>
        <w:bidi w:val="0"/>
        <w:spacing w:lineRule="auto" w:line="288" w:before="0" w:after="0"/>
        <w:jc w:val="left"/>
        <w:rPr/>
      </w:pPr>
      <w:hyperlink w:anchor="ica7c2eea901944a881e622da056d841d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400" w:after="283"/>
        <w:jc w:val="center"/>
        <w:rPr>
          <w:rFonts w:ascii="Proxima Nova;sans-serif" w:hAnsi="Proxima Nova;sans-serif"/>
          <w:b/>
          <w:color w:val="000000"/>
          <w:sz w:val="20"/>
        </w:rPr>
      </w:pPr>
      <w:r>
        <w:rPr>
          <w:rFonts w:ascii="Proxima Nova;sans-serif" w:hAnsi="Proxima Nova;sans-serif"/>
          <w:b/>
          <w:color w:val="000000"/>
          <w:sz w:val="20"/>
        </w:rPr>
        <w:t>FIRST BUSEY CORPORATION PROFIT SHARING PLAN AND TRUST</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 xml:space="preserve">STATEMENT OF CHANGES IN NET ASSETS AVAILABLE FOR BENEFITS </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YEAR ENDED DECEMBER 31, 2025</w:t>
      </w:r>
    </w:p>
    <w:p>
      <w:pPr>
        <w:pStyle w:val="TextBody"/>
        <w:bidi w:val="0"/>
        <w:spacing w:before="200" w:after="200"/>
        <w:jc w:val="both"/>
        <w:rPr/>
      </w:pPr>
      <w:r>
        <w:rPr/>
      </w:r>
    </w:p>
    <w:p>
      <w:pPr>
        <w:pStyle w:val="TextBody"/>
        <w:bidi w:val="0"/>
        <w:spacing w:before="200" w:after="200"/>
        <w:jc w:val="center"/>
        <w:rPr/>
      </w:pPr>
      <w:r>
        <w:rPr/>
      </w:r>
    </w:p>
    <w:tbl>
      <w:tblPr>
        <w:tblW w:w="6561" w:type="dxa"/>
        <w:jc w:val="left"/>
        <w:tblInd w:w="0" w:type="dxa"/>
        <w:tblLayout w:type="fixed"/>
        <w:tblCellMar>
          <w:top w:w="28" w:type="dxa"/>
          <w:left w:w="28" w:type="dxa"/>
          <w:bottom w:w="28" w:type="dxa"/>
          <w:right w:w="28" w:type="dxa"/>
        </w:tblCellMar>
      </w:tblPr>
      <w:tblGrid>
        <w:gridCol w:w="1742"/>
        <w:gridCol w:w="1533"/>
        <w:gridCol w:w="1540"/>
        <w:gridCol w:w="226"/>
        <w:gridCol w:w="1366"/>
        <w:gridCol w:w="154"/>
      </w:tblGrid>
      <w:tr>
        <w:trPr/>
        <w:tc>
          <w:tcPr>
            <w:tcW w:w="174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ADDITIONS TO NET ASSETS</w:t>
            </w:r>
          </w:p>
        </w:tc>
        <w:tc>
          <w:tcPr>
            <w:tcW w:w="17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Investment income:</w:t>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Net appreciation in fair value of investments</w:t>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32,082,873 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Interest and dividends on investments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12,253,165 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investment income</w:t>
            </w:r>
          </w:p>
        </w:tc>
        <w:tc>
          <w:tcPr>
            <w:tcW w:w="1592" w:type="dxa"/>
            <w:gridSpan w:val="2"/>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44,336,038 </w:t>
            </w:r>
          </w:p>
        </w:tc>
        <w:tc>
          <w:tcPr>
            <w:tcW w:w="154" w:type="dxa"/>
            <w:tcBorders>
              <w:top w:val="single" w:sz="4"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Interest from notes receivable from participants</w:t>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198,031 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Contributions:</w:t>
            </w:r>
          </w:p>
        </w:tc>
        <w:tc>
          <w:tcPr>
            <w:tcW w:w="17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Employers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10,401,052 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Participants</w:t>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12,602,809 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Participant rollovers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21,232,081 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contributions</w:t>
            </w:r>
          </w:p>
        </w:tc>
        <w:tc>
          <w:tcPr>
            <w:tcW w:w="1592" w:type="dxa"/>
            <w:gridSpan w:val="2"/>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44,235,942 </w:t>
            </w:r>
          </w:p>
        </w:tc>
        <w:tc>
          <w:tcPr>
            <w:tcW w:w="154" w:type="dxa"/>
            <w:tcBorders>
              <w:top w:val="single" w:sz="4"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additions</w:t>
            </w:r>
          </w:p>
        </w:tc>
        <w:tc>
          <w:tcPr>
            <w:tcW w:w="1592" w:type="dxa"/>
            <w:gridSpan w:val="2"/>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88,770,011 </w:t>
            </w:r>
          </w:p>
        </w:tc>
        <w:tc>
          <w:tcPr>
            <w:tcW w:w="154" w:type="dxa"/>
            <w:tcBorders>
              <w:top w:val="single" w:sz="4"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DEDUCTIONS FROM NET ASSETS</w:t>
            </w:r>
          </w:p>
        </w:tc>
        <w:tc>
          <w:tcPr>
            <w:tcW w:w="17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Benefits paid to participants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20,880,349 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Administrative expenses</w:t>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432,585 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deductions</w:t>
            </w:r>
          </w:p>
        </w:tc>
        <w:tc>
          <w:tcPr>
            <w:tcW w:w="15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21,312,934 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4"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NET INCREASE</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67,457,077 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NET ASSETS AVAILABLE FOR BENEFITS</w:t>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Beginning of year</w:t>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268,163,537 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End of year</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335,620,614 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4955"/>
                <wp:effectExtent l="0" t="0" r="0" b="0"/>
                <wp:wrapNone/>
                <wp:docPr id="6" name="Frame5"/>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3</w:t>
                      </w:r>
                    </w:p>
                  </w:txbxContent>
                </v:textbox>
                <w10:wrap type="none"/>
              </v:rect>
            </w:pict>
          </mc:Fallback>
        </mc:AlternateContent>
      </w:r>
    </w:p>
    <w:p>
      <w:pPr>
        <w:pStyle w:val="TextBody"/>
        <w:bidi w:val="0"/>
        <w:spacing w:lineRule="auto" w:line="288" w:before="0" w:after="0"/>
        <w:jc w:val="left"/>
        <w:rPr/>
      </w:pPr>
      <w:hyperlink w:anchor="ica7c2eea901944a881e622da056d841d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400" w:after="283"/>
        <w:jc w:val="center"/>
        <w:rPr>
          <w:rFonts w:ascii="Proxima Nova;sans-serif" w:hAnsi="Proxima Nova;sans-serif"/>
          <w:b/>
          <w:color w:val="000000"/>
          <w:sz w:val="20"/>
        </w:rPr>
      </w:pPr>
      <w:r>
        <w:rPr>
          <w:rFonts w:ascii="Proxima Nova;sans-serif" w:hAnsi="Proxima Nova;sans-serif"/>
          <w:b/>
          <w:color w:val="000000"/>
          <w:sz w:val="20"/>
        </w:rPr>
        <w:t>FIRST BUSEY CORPORATION PROFIT SHARING PLAN AND TRUST</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 xml:space="preserve">NOTES TO FINANCIAL STATEMENTS </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DECEMBER 31, 2025</w:t>
      </w:r>
    </w:p>
    <w:p>
      <w:pPr>
        <w:pStyle w:val="TextBody"/>
        <w:bidi w:val="0"/>
        <w:spacing w:before="20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r>
        <w:rPr>
          <w:rFonts w:ascii="Proxima Nova;sans-serif" w:hAnsi="Proxima Nova;sans-serif"/>
          <w:b/>
          <w:color w:val="000000"/>
          <w:sz w:val="20"/>
        </w:rPr>
        <w:t>NOTE 1. PLAN DESCRIPTION</w:t>
      </w:r>
    </w:p>
    <w:p>
      <w:pPr>
        <w:pStyle w:val="TextBody"/>
        <w:bidi w:val="0"/>
        <w:spacing w:lineRule="auto" w:line="288" w:before="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description of the First Busey Corporation Profit Sharing Plan and Trust ("the Plan") provides only general information. Participants should refer to the Plan agreement for a more complete description of the Plan's provisions.</w:t>
      </w:r>
    </w:p>
    <w:p>
      <w:pPr>
        <w:pStyle w:val="TextBody"/>
        <w:bidi w:val="0"/>
        <w:spacing w:lineRule="auto" w:line="288" w:before="200" w:after="200"/>
        <w:jc w:val="both"/>
        <w:rPr>
          <w:rFonts w:ascii="Proxima Nova;sans-serif" w:hAnsi="Proxima Nova;sans-serif"/>
          <w:b/>
          <w:i/>
          <w:color w:val="000000"/>
          <w:sz w:val="20"/>
        </w:rPr>
      </w:pPr>
      <w:r>
        <w:rPr>
          <w:rFonts w:ascii="Proxima Nova;sans-serif" w:hAnsi="Proxima Nova;sans-serif"/>
          <w:b/>
          <w:i/>
          <w:color w:val="000000"/>
          <w:sz w:val="20"/>
        </w:rPr>
        <w:t>General</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Plan is a defined contribution plan covering substantially all employees of First Busey Corporation and its subsidiaries ("the Employers" or “the Company”). Employees are eligible at age 21 to make salary deferrals and receive matching contributions. Employees are eligible for the discretionary employer profit sharing contribution at age 21 and after completion of one year of service and working 1,000 hours. It is subject to the provisions of the Employee Retirement Income Security Act of 1974 ("ERISA").</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 xml:space="preserve">On March 1, 2025, the Company completed its acquisition of CrossFirst Bankshares, Inc. ("CrossFirst Bank"). CrossFirst Bank elected to terminate the CrossFirst Bankshares, Inc. 401(k) Plan as of the closing date, subject to the provisions of ERISA and implement a plan liquidation. Participants had the option to roll their account balances, including any notes receivable from participants, into their First Busey Corporation Profit sharing Plan and Trust, receive a payment of their benefits or elect to rollover their balance to another qualified plan or individual retirement account. </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 xml:space="preserve">The Plan’s assets are administered under an agreement with Busey Bank, the trustee of the Plan. Charles Schwab (the “Custodian”) serves as the custodian of the Plan’s assets. </w:t>
      </w:r>
    </w:p>
    <w:p>
      <w:pPr>
        <w:pStyle w:val="TextBody"/>
        <w:bidi w:val="0"/>
        <w:spacing w:lineRule="auto" w:line="288" w:before="200" w:after="200"/>
        <w:jc w:val="both"/>
        <w:rPr>
          <w:rFonts w:ascii="Proxima Nova;sans-serif" w:hAnsi="Proxima Nova;sans-serif"/>
          <w:b/>
          <w:i/>
          <w:color w:val="000000"/>
          <w:sz w:val="20"/>
        </w:rPr>
      </w:pPr>
      <w:r>
        <w:rPr>
          <w:rFonts w:ascii="Proxima Nova;sans-serif" w:hAnsi="Proxima Nova;sans-serif"/>
          <w:b/>
          <w:i/>
          <w:color w:val="000000"/>
          <w:sz w:val="20"/>
        </w:rPr>
        <w:t>Contributions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Each year, participants may contribute a percentage and or a flat dollar amount of their pretax and after tax annual compensation, as defined in the Plan, subject to limitations of the Internal Revenue Code. Participants may also contribute amounts representing distributions from other qualified plans. Eligible participants may also make catch-up contributions to the Plan.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Employers make safe harbor matching contributions to the Plan equal to a percentage of the first 5% (100% on the first 3% and 50% on the next 2%) of total eligible compensation that a participant contributes to the Plan. The Employers may also make a discretionary profit sharing contribution as determined and approved by the Board of Directors each year. For the year ended December 31, 2025, the Employer made a profit sharing contribution of approximately 3% of eligible compensation. Contributions are subject to certain limitations.</w:t>
      </w:r>
    </w:p>
    <w:p>
      <w:pPr>
        <w:pStyle w:val="TextBody"/>
        <w:bidi w:val="0"/>
        <w:spacing w:lineRule="auto" w:line="288" w:before="200" w:after="200"/>
        <w:jc w:val="both"/>
        <w:rPr>
          <w:rFonts w:ascii="Proxima Nova;sans-serif" w:hAnsi="Proxima Nova;sans-serif"/>
          <w:b/>
          <w:i/>
          <w:color w:val="000000"/>
          <w:sz w:val="20"/>
        </w:rPr>
      </w:pPr>
      <w:r>
        <w:rPr>
          <w:rFonts w:ascii="Proxima Nova;sans-serif" w:hAnsi="Proxima Nova;sans-serif"/>
          <w:b/>
          <w:i/>
          <w:color w:val="000000"/>
          <w:sz w:val="20"/>
        </w:rPr>
        <w:t>Investment Options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Participants may direct the investment of their account balances into the various investment options offered by the Plan, which include a First Busey Corporation Stock Fund.</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Investment Committee determines the appropriateness of the Plan’s investment offerings by monitoring investment performance and making recommendations to the Employee Benefit and Compensation Committee.</w:t>
      </w:r>
    </w:p>
    <w:p>
      <w:pPr>
        <w:pStyle w:val="TextBody"/>
        <w:bidi w:val="0"/>
        <w:spacing w:lineRule="auto" w:line="288" w:before="200" w:after="200"/>
        <w:jc w:val="both"/>
        <w:rPr>
          <w:rFonts w:ascii="Proxima Nova;sans-serif" w:hAnsi="Proxima Nova;sans-serif"/>
          <w:b/>
          <w:i/>
          <w:color w:val="000000"/>
          <w:sz w:val="20"/>
        </w:rPr>
      </w:pPr>
      <w:r>
        <w:rPr>
          <w:rFonts w:ascii="Proxima Nova;sans-serif" w:hAnsi="Proxima Nova;sans-serif"/>
          <w:b/>
          <w:i/>
          <w:color w:val="000000"/>
          <w:sz w:val="20"/>
        </w:rPr>
        <w:t>Participant Accounts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Each participant's account is credited with the participant's contributions and an allocation of the Employers' contributions and the Plan's earnings and is charged with an allocation of administrative expenses. Allocations are based on participant earnings, participant contributions, or account balances, as defined. The benefit to which a participant is entitled is the benefit that can be provided from the participant's vested account. Any discretionary profit sharing contributions will be allocated to the Plan in the following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4955"/>
                <wp:effectExtent l="0" t="0" r="0" b="0"/>
                <wp:wrapNone/>
                <wp:docPr id="7" name="Frame6"/>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4</w:t>
                      </w:r>
                    </w:p>
                  </w:txbxContent>
                </v:textbox>
                <w10:wrap type="none"/>
              </v:rect>
            </w:pict>
          </mc:Fallback>
        </mc:AlternateContent>
      </w:r>
    </w:p>
    <w:p>
      <w:pPr>
        <w:pStyle w:val="TextBody"/>
        <w:bidi w:val="0"/>
        <w:spacing w:lineRule="auto" w:line="288" w:before="0" w:after="0"/>
        <w:jc w:val="left"/>
        <w:rPr/>
      </w:pPr>
      <w:hyperlink w:anchor="ica7c2eea901944a881e622da056d841d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400" w:after="283"/>
        <w:jc w:val="center"/>
        <w:rPr>
          <w:rFonts w:ascii="Proxima Nova;sans-serif" w:hAnsi="Proxima Nova;sans-serif"/>
          <w:b/>
          <w:color w:val="000000"/>
          <w:sz w:val="20"/>
        </w:rPr>
      </w:pPr>
      <w:r>
        <w:rPr>
          <w:rFonts w:ascii="Proxima Nova;sans-serif" w:hAnsi="Proxima Nova;sans-serif"/>
          <w:b/>
          <w:color w:val="000000"/>
          <w:sz w:val="20"/>
        </w:rPr>
        <w:t>FIRST BUSEY CORPORATION PROFIT SHARING PLAN AND TRUST</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 xml:space="preserve">NOTES TO FINANCIAL STATEMENTS </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DECEMBER 31, 2025</w:t>
      </w:r>
    </w:p>
    <w:p>
      <w:pPr>
        <w:pStyle w:val="TextBody"/>
        <w:bidi w:val="0"/>
        <w:spacing w:before="200" w:after="200"/>
        <w:jc w:val="both"/>
        <w:rPr/>
      </w:pPr>
      <w:r>
        <w:rPr/>
      </w:r>
    </w:p>
    <w:p>
      <w:pPr>
        <w:pStyle w:val="TextBody"/>
        <w:bidi w:val="0"/>
        <w:spacing w:lineRule="auto" w:line="288" w:before="200" w:after="200"/>
        <w:jc w:val="both"/>
        <w:rPr>
          <w:rFonts w:ascii="Proxima Nova;sans-serif" w:hAnsi="Proxima Nova;sans-serif"/>
          <w:b/>
          <w:i/>
          <w:color w:val="000000"/>
          <w:sz w:val="20"/>
        </w:rPr>
      </w:pPr>
      <w:r>
        <w:rPr>
          <w:rFonts w:ascii="Proxima Nova;sans-serif" w:hAnsi="Proxima Nova;sans-serif"/>
          <w:b/>
          <w:i/>
          <w:color w:val="000000"/>
          <w:sz w:val="20"/>
        </w:rPr>
        <w:t>Vesting</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Participants are immediately vested in their voluntary contributions, the Employers' safe harbor matching contributions, rollover contributions and the respective plan earnings on those contributions.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Vesting in the Employers' profit sharing contributions portion of their accounts is based on years of service. A participant is 100% vested after five years of credited service. A participant is 100% vested upon reaching normal retirement age, death, or disability regardless of years of service.</w:t>
      </w:r>
    </w:p>
    <w:p>
      <w:pPr>
        <w:pStyle w:val="TextBody"/>
        <w:bidi w:val="0"/>
        <w:spacing w:lineRule="auto" w:line="288" w:before="200" w:after="200"/>
        <w:jc w:val="both"/>
        <w:rPr>
          <w:rFonts w:ascii="Proxima Nova;sans-serif" w:hAnsi="Proxima Nova;sans-serif"/>
          <w:b/>
          <w:i/>
          <w:color w:val="000000"/>
          <w:sz w:val="20"/>
        </w:rPr>
      </w:pPr>
      <w:r>
        <w:rPr>
          <w:rFonts w:ascii="Proxima Nova;sans-serif" w:hAnsi="Proxima Nova;sans-serif"/>
          <w:b/>
          <w:i/>
          <w:color w:val="000000"/>
          <w:sz w:val="20"/>
        </w:rPr>
        <w:t>Notes Receivable from Participants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Plan provides loans to participants from their vested account balance up to $50,000, subject to a limitation of 50% of their vested account balance. Interest is charged on the loans and is fixed at the time of issuance at a rate of prime (6.75% as of December 31, 2025). Interest payments are immediately reinvested in the individual participant’s funds. The loans are collateralized by the vested account balance of the participant receiving the loan. Participants may have no more than one loan outstanding at any time. Loans are repayable in periods up to five years, or ten years if entire loan proceeds are used to acquire a principal residence. Should a participant default on a Plan loan, as defined by the Plan loan policy, the loan would then be considered a distribution.</w:t>
      </w:r>
    </w:p>
    <w:p>
      <w:pPr>
        <w:pStyle w:val="TextBody"/>
        <w:bidi w:val="0"/>
        <w:spacing w:lineRule="auto" w:line="288" w:before="200" w:after="200"/>
        <w:jc w:val="both"/>
        <w:rPr>
          <w:rFonts w:ascii="Proxima Nova;sans-serif" w:hAnsi="Proxima Nova;sans-serif"/>
          <w:b/>
          <w:color w:val="000000"/>
          <w:sz w:val="20"/>
        </w:rPr>
      </w:pPr>
      <w:r>
        <w:rPr>
          <w:rFonts w:ascii="Proxima Nova;sans-serif" w:hAnsi="Proxima Nova;sans-serif"/>
          <w:b/>
          <w:color w:val="000000"/>
          <w:sz w:val="20"/>
        </w:rPr>
        <w:t>Payment of Benefits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During employment, distributions are allowed upon age 59.5 or due to financial hardship. Upon termination of service, a participant is entitled to receive an amount representing the vested interest in their account. Participants whose vested account balance, excluding rollover, is under $7,000 are paid their entire balance, through a single lump sum amount or a rollover into an IRA. Participants whose vested account balance, excluding rollover, is over $7,000 may elect to receive their payment, including rollover, either as a lump-sum amount, partial withdrawal or if eligible, a required minimum distribution.</w:t>
      </w:r>
    </w:p>
    <w:p>
      <w:pPr>
        <w:pStyle w:val="TextBody"/>
        <w:bidi w:val="0"/>
        <w:spacing w:lineRule="auto" w:line="288" w:before="200" w:after="200"/>
        <w:jc w:val="both"/>
        <w:rPr>
          <w:rFonts w:ascii="Proxima Nova;sans-serif" w:hAnsi="Proxima Nova;sans-serif"/>
          <w:b/>
          <w:color w:val="000000"/>
          <w:sz w:val="20"/>
        </w:rPr>
      </w:pPr>
      <w:r>
        <w:rPr>
          <w:rFonts w:ascii="Proxima Nova;sans-serif" w:hAnsi="Proxima Nova;sans-serif"/>
          <w:b/>
          <w:color w:val="000000"/>
          <w:sz w:val="20"/>
        </w:rPr>
        <w:t>Forfeitures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unvested portion of terminated participants’ accounts plus earnings thereon are forfeited. Forfeitures are used to reduce non-elective employer contributions or to pay Plan expenses. During the year ended December 31, 2025, forfeitures of $50,964 were used to pay Plan expenses. Forfeitures for unvested account balances as of December 31, 2025 and 2024, were $16,072 and $10,138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4955"/>
                <wp:effectExtent l="0" t="0" r="0" b="0"/>
                <wp:wrapNone/>
                <wp:docPr id="8" name="Frame7"/>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5</w:t>
                      </w:r>
                    </w:p>
                  </w:txbxContent>
                </v:textbox>
                <w10:wrap type="none"/>
              </v:rect>
            </w:pict>
          </mc:Fallback>
        </mc:AlternateContent>
      </w:r>
    </w:p>
    <w:p>
      <w:pPr>
        <w:pStyle w:val="TextBody"/>
        <w:bidi w:val="0"/>
        <w:spacing w:lineRule="auto" w:line="288" w:before="0" w:after="0"/>
        <w:jc w:val="left"/>
        <w:rPr/>
      </w:pPr>
      <w:hyperlink w:anchor="ica7c2eea901944a881e622da056d841d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400" w:after="283"/>
        <w:jc w:val="center"/>
        <w:rPr>
          <w:rFonts w:ascii="Proxima Nova;sans-serif" w:hAnsi="Proxima Nova;sans-serif"/>
          <w:b/>
          <w:color w:val="000000"/>
          <w:sz w:val="20"/>
        </w:rPr>
      </w:pPr>
      <w:r>
        <w:rPr>
          <w:rFonts w:ascii="Proxima Nova;sans-serif" w:hAnsi="Proxima Nova;sans-serif"/>
          <w:b/>
          <w:color w:val="000000"/>
          <w:sz w:val="20"/>
        </w:rPr>
        <w:t>FIRST BUSEY CORPORATION PROFIT SHARING PLAN AND TRUST</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 xml:space="preserve">NOTES TO FINANCIAL STATEMENTS </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DECEMBER 31, 2025</w:t>
      </w:r>
    </w:p>
    <w:p>
      <w:pPr>
        <w:pStyle w:val="TextBody"/>
        <w:bidi w:val="0"/>
        <w:spacing w:before="200" w:after="200"/>
        <w:jc w:val="both"/>
        <w:rPr/>
      </w:pPr>
      <w:r>
        <w:rPr/>
      </w:r>
    </w:p>
    <w:p>
      <w:pPr>
        <w:pStyle w:val="TextBody"/>
        <w:bidi w:val="0"/>
        <w:spacing w:lineRule="auto" w:line="288" w:before="200" w:after="200"/>
        <w:jc w:val="both"/>
        <w:rPr>
          <w:rFonts w:ascii="Proxima Nova;sans-serif" w:hAnsi="Proxima Nova;sans-serif"/>
          <w:b/>
          <w:color w:val="000000"/>
          <w:sz w:val="20"/>
        </w:rPr>
      </w:pPr>
      <w:r>
        <w:rPr>
          <w:rFonts w:ascii="Proxima Nova;sans-serif" w:hAnsi="Proxima Nova;sans-serif"/>
          <w:b/>
          <w:color w:val="000000"/>
          <w:sz w:val="20"/>
        </w:rPr>
        <w:t>NOTE 2. SIGNIFICANT ACCOUNTING POLICIES</w:t>
      </w:r>
    </w:p>
    <w:p>
      <w:pPr>
        <w:pStyle w:val="TextBody"/>
        <w:bidi w:val="0"/>
        <w:spacing w:lineRule="auto" w:line="288" w:before="200" w:after="200"/>
        <w:jc w:val="both"/>
        <w:rPr>
          <w:rFonts w:ascii="Proxima Nova;sans-serif" w:hAnsi="Proxima Nova;sans-serif"/>
          <w:b/>
          <w:i/>
          <w:color w:val="000000"/>
          <w:sz w:val="20"/>
        </w:rPr>
      </w:pPr>
      <w:r>
        <w:rPr>
          <w:rFonts w:ascii="Proxima Nova;sans-serif" w:hAnsi="Proxima Nova;sans-serif"/>
          <w:b/>
          <w:i/>
          <w:color w:val="000000"/>
          <w:sz w:val="20"/>
        </w:rPr>
        <w:t>Basis of Accounting</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financial statements of the Plan have been prepared using the accrual basis of accounting, a method in accordance with accounting principles generally accepted in the United States of America (“US GAAP”).</w:t>
      </w:r>
    </w:p>
    <w:p>
      <w:pPr>
        <w:pStyle w:val="TextBody"/>
        <w:bidi w:val="0"/>
        <w:spacing w:lineRule="auto" w:line="288" w:before="200" w:after="200"/>
        <w:jc w:val="both"/>
        <w:rPr>
          <w:rFonts w:ascii="Proxima Nova;sans-serif" w:hAnsi="Proxima Nova;sans-serif"/>
          <w:b/>
          <w:i/>
          <w:color w:val="000000"/>
          <w:sz w:val="20"/>
        </w:rPr>
      </w:pPr>
      <w:r>
        <w:rPr>
          <w:rFonts w:ascii="Proxima Nova;sans-serif" w:hAnsi="Proxima Nova;sans-serif"/>
          <w:b/>
          <w:i/>
          <w:color w:val="000000"/>
          <w:sz w:val="20"/>
        </w:rPr>
        <w:t>Use of Estimates and Assumptions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preparation of financial statements in conformity with U.S. GAAP requires management to make estimates and assumptions that affect the reported amounts and disclosures. Actual results may differ from those estimates.</w:t>
      </w:r>
    </w:p>
    <w:p>
      <w:pPr>
        <w:pStyle w:val="TextBody"/>
        <w:bidi w:val="0"/>
        <w:spacing w:lineRule="auto" w:line="288" w:before="200" w:after="200"/>
        <w:jc w:val="both"/>
        <w:rPr>
          <w:rFonts w:ascii="Proxima Nova;sans-serif" w:hAnsi="Proxima Nova;sans-serif"/>
          <w:b/>
          <w:i/>
          <w:color w:val="000000"/>
          <w:sz w:val="20"/>
        </w:rPr>
      </w:pPr>
      <w:r>
        <w:rPr>
          <w:rFonts w:ascii="Proxima Nova;sans-serif" w:hAnsi="Proxima Nova;sans-serif"/>
          <w:b/>
          <w:i/>
          <w:color w:val="000000"/>
          <w:sz w:val="20"/>
        </w:rPr>
        <w:t>Investment Valuation and Income Recognition</w:t>
      </w:r>
    </w:p>
    <w:p>
      <w:pPr>
        <w:pStyle w:val="TextBody"/>
        <w:bidi w:val="0"/>
        <w:spacing w:lineRule="auto" w:line="288" w:before="200" w:after="200"/>
        <w:jc w:val="both"/>
        <w:rPr/>
      </w:pPr>
      <w:r>
        <w:rPr>
          <w:rFonts w:ascii="Proxima Nova;sans-serif" w:hAnsi="Proxima Nova;sans-serif"/>
          <w:b w:val="false"/>
          <w:color w:val="000000"/>
          <w:sz w:val="20"/>
        </w:rPr>
        <w:t xml:space="preserve">The Plan's investments are stated at estimated fair value. Fair value is defined as the price that would be received to sell an asset or paid to transfer a liability in an orderly transaction between market participants at the measurement date. The Employee Benefit and Compensation Committee determines the Plan’s valuation policies utilizing information provided by the investment advisors, trustee, and collective fund managers. See </w:t>
      </w:r>
      <w:r>
        <w:rPr>
          <w:color w:val="000000"/>
        </w:rPr>
        <w:t>“</w:t>
      </w:r>
      <w:hyperlink w:anchor="ica7c2eea901944a881e622da056d841d_28">
        <w:r>
          <w:rPr>
            <w:rStyle w:val="InternetLink"/>
            <w:rFonts w:ascii="Proxima Nova;sans-serif" w:hAnsi="Proxima Nova;sans-serif"/>
            <w:b w:val="false"/>
            <w:i/>
            <w:color w:val="0000FF"/>
            <w:sz w:val="20"/>
            <w:u w:val="single"/>
          </w:rPr>
          <w:t>Note 3. Fair Value Measurements</w:t>
        </w:r>
      </w:hyperlink>
      <w:r>
        <w:rPr>
          <w:color w:val="000000"/>
        </w:rPr>
        <w:t xml:space="preserve">” </w:t>
      </w:r>
      <w:r>
        <w:rPr>
          <w:rFonts w:ascii="Proxima Nova;sans-serif" w:hAnsi="Proxima Nova;sans-serif"/>
          <w:b w:val="false"/>
          <w:color w:val="000000"/>
          <w:sz w:val="20"/>
        </w:rPr>
        <w:t>for further discussion of fair value measurements.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Purchases and sales of securities are recorded on a trade-date basis. Interest income is recorded on the accrual basis. Dividends are recorded on the ex-dividend date. Net appreciation includes the Plan’s gains and losses on investments bought and sold, as well as held during the year.</w:t>
      </w:r>
    </w:p>
    <w:p>
      <w:pPr>
        <w:pStyle w:val="TextBody"/>
        <w:bidi w:val="0"/>
        <w:spacing w:lineRule="auto" w:line="288" w:before="200" w:after="200"/>
        <w:jc w:val="both"/>
        <w:rPr>
          <w:rFonts w:ascii="Proxima Nova;sans-serif" w:hAnsi="Proxima Nova;sans-serif"/>
          <w:b/>
          <w:i/>
          <w:color w:val="000000"/>
          <w:sz w:val="20"/>
        </w:rPr>
      </w:pPr>
      <w:r>
        <w:rPr>
          <w:rFonts w:ascii="Proxima Nova;sans-serif" w:hAnsi="Proxima Nova;sans-serif"/>
          <w:b/>
          <w:i/>
          <w:color w:val="000000"/>
          <w:sz w:val="20"/>
        </w:rPr>
        <w:t>Payment of Benefits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Benefits are recorded when paid.</w:t>
      </w:r>
    </w:p>
    <w:p>
      <w:pPr>
        <w:pStyle w:val="TextBody"/>
        <w:bidi w:val="0"/>
        <w:spacing w:lineRule="auto" w:line="288" w:before="200" w:after="200"/>
        <w:jc w:val="both"/>
        <w:rPr>
          <w:rFonts w:ascii="Proxima Nova;sans-serif" w:hAnsi="Proxima Nova;sans-serif"/>
          <w:b/>
          <w:i/>
          <w:color w:val="000000"/>
          <w:sz w:val="20"/>
        </w:rPr>
      </w:pPr>
      <w:r>
        <w:rPr>
          <w:rFonts w:ascii="Proxima Nova;sans-serif" w:hAnsi="Proxima Nova;sans-serif"/>
          <w:b/>
          <w:i/>
          <w:color w:val="000000"/>
          <w:sz w:val="20"/>
        </w:rPr>
        <w:t>Expenses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Expenses of maintaining the Plan were deducted from the Plan assets. Fees related to the administration of notes receivable from participants and fees related to Qualified Domestic Relations Orders are charged directly to the participant’s account and are included in administrative expenses. Investment related expenses are included in net appreciation in fair value of investments.</w:t>
      </w:r>
    </w:p>
    <w:p>
      <w:pPr>
        <w:pStyle w:val="TextBody"/>
        <w:bidi w:val="0"/>
        <w:spacing w:lineRule="auto" w:line="288" w:before="200" w:after="200"/>
        <w:jc w:val="both"/>
        <w:rPr>
          <w:rFonts w:ascii="Proxima Nova;sans-serif" w:hAnsi="Proxima Nova;sans-serif"/>
          <w:b/>
          <w:color w:val="000000"/>
          <w:sz w:val="20"/>
        </w:rPr>
      </w:pPr>
      <w:r>
        <w:rPr>
          <w:rFonts w:ascii="Proxima Nova;sans-serif" w:hAnsi="Proxima Nova;sans-serif"/>
          <w:b/>
          <w:color w:val="000000"/>
          <w:sz w:val="20"/>
        </w:rPr>
        <w:t>Concentration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As of December 31, 2025, approximately 3% of the Plan's investment assets were invested in First Busey Corporation Common Stock and First Busey Corporation's Stock Fund.</w:t>
      </w:r>
    </w:p>
    <w:p>
      <w:pPr>
        <w:pStyle w:val="TextBody"/>
        <w:bidi w:val="0"/>
        <w:spacing w:lineRule="auto" w:line="288" w:before="200" w:after="200"/>
        <w:jc w:val="both"/>
        <w:rPr>
          <w:rFonts w:ascii="Proxima Nova;sans-serif" w:hAnsi="Proxima Nova;sans-serif"/>
          <w:b/>
          <w:color w:val="000000"/>
          <w:sz w:val="20"/>
        </w:rPr>
      </w:pPr>
      <w:r>
        <w:rPr>
          <w:rFonts w:ascii="Proxima Nova;sans-serif" w:hAnsi="Proxima Nova;sans-serif"/>
          <w:b/>
          <w:color w:val="000000"/>
          <w:sz w:val="20"/>
        </w:rPr>
        <w:t>Notes Receivable from Participants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Notes receivable from participants are measured at their unpaid principal balance plus any accrued but unpaid interest. Interest income is recorded on the accrual basis. Related fees are recorded as administrative expenses and are expensed when they are incurred. No allowance for credit losses has been recorded as of December 31, 2025 and 2024. Delinquent participant loans are reclassified as distributions based upon the terms of the Plan document.</w:t>
      </w:r>
    </w:p>
    <w:p>
      <w:pPr>
        <w:pStyle w:val="TextBody"/>
        <w:bidi w:val="0"/>
        <w:spacing w:lineRule="auto" w:line="288" w:before="200" w:after="200"/>
        <w:jc w:val="both"/>
        <w:rPr>
          <w:rFonts w:ascii="Proxima Nova;sans-serif" w:hAnsi="Proxima Nova;sans-serif"/>
          <w:b/>
          <w:color w:val="000000"/>
          <w:sz w:val="20"/>
        </w:rPr>
      </w:pPr>
      <w:r>
        <w:rPr>
          <w:rFonts w:ascii="Proxima Nova;sans-serif" w:hAnsi="Proxima Nova;sans-serif"/>
          <w:b/>
          <w:color w:val="000000"/>
          <w:sz w:val="20"/>
        </w:rPr>
        <w:t>Risks and Uncertainties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Plan provides for various investment options. The underlying investment securities are exposed to various risks, such as interest rate, market, and credit risks. Due to the level of risk associated with certain investment securities and the level of uncertainty related to changes in the value of investment securities, it is at least reasonably possible that changes in risks in the near term could materially affect participants' account balances and the amounts reported in the statement of net assets available for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4955"/>
                <wp:effectExtent l="0" t="0" r="0" b="0"/>
                <wp:wrapNone/>
                <wp:docPr id="9" name="Frame8"/>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6</w:t>
                      </w:r>
                    </w:p>
                  </w:txbxContent>
                </v:textbox>
                <w10:wrap type="none"/>
              </v:rect>
            </w:pict>
          </mc:Fallback>
        </mc:AlternateContent>
      </w:r>
    </w:p>
    <w:p>
      <w:pPr>
        <w:pStyle w:val="TextBody"/>
        <w:bidi w:val="0"/>
        <w:spacing w:lineRule="auto" w:line="288" w:before="0" w:after="0"/>
        <w:jc w:val="left"/>
        <w:rPr/>
      </w:pPr>
      <w:hyperlink w:anchor="ica7c2eea901944a881e622da056d841d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400" w:after="283"/>
        <w:jc w:val="center"/>
        <w:rPr>
          <w:rFonts w:ascii="Proxima Nova;sans-serif" w:hAnsi="Proxima Nova;sans-serif"/>
          <w:b/>
          <w:color w:val="000000"/>
          <w:sz w:val="20"/>
        </w:rPr>
      </w:pPr>
      <w:r>
        <w:rPr>
          <w:rFonts w:ascii="Proxima Nova;sans-serif" w:hAnsi="Proxima Nova;sans-serif"/>
          <w:b/>
          <w:color w:val="000000"/>
          <w:sz w:val="20"/>
        </w:rPr>
        <w:t>FIRST BUSEY CORPORATION PROFIT SHARING PLAN AND TRUST</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 xml:space="preserve">NOTES TO FINANCIAL STATEMENTS </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DECEMBER 31, 2025</w:t>
      </w:r>
    </w:p>
    <w:p>
      <w:pPr>
        <w:pStyle w:val="TextBody"/>
        <w:bidi w:val="0"/>
        <w:spacing w:before="200" w:after="200"/>
        <w:jc w:val="both"/>
        <w:rPr/>
      </w:pPr>
      <w:r>
        <w:rPr/>
      </w:r>
    </w:p>
    <w:p>
      <w:pPr>
        <w:pStyle w:val="TextBody"/>
        <w:bidi w:val="0"/>
        <w:spacing w:lineRule="auto" w:line="288" w:before="200" w:after="200"/>
        <w:jc w:val="both"/>
        <w:rPr>
          <w:rFonts w:ascii="Proxima Nova;sans-serif" w:hAnsi="Proxima Nova;sans-serif"/>
          <w:b/>
          <w:color w:val="000000"/>
          <w:sz w:val="20"/>
        </w:rPr>
      </w:pPr>
      <w:r>
        <w:rPr>
          <w:rFonts w:ascii="Proxima Nova;sans-serif" w:hAnsi="Proxima Nova;sans-serif"/>
          <w:b/>
          <w:color w:val="000000"/>
          <w:sz w:val="20"/>
        </w:rPr>
        <w:t>Subsequent Events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Plan has evaluated subsequent events through the date that the financial statements were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r>
        <w:rPr>
          <w:rFonts w:ascii="Proxima Nova;sans-serif" w:hAnsi="Proxima Nova;sans-serif"/>
          <w:b/>
          <w:color w:val="000000"/>
          <w:sz w:val="20"/>
        </w:rPr>
        <w:t>NOTE 3. FAIR VALUE MEASUREMENTS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framework for measuring fair value provides a fair value hierarchy that prioritizes the inputs to valuation techniques used to measure fair value.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Level 1—Inputs to the valuation methodology are unadjusted quoted prices for identical assets or liabilities in active markets that the Plan has the ability to access at the measurement date.</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Level 2—Inputs to the valuation methodology include:</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Quoted prices for similar assets or liabilities in active markets;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Quoted prices for identical or similar assets or liabilities in inactive markets;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Inputs other than quoted prices that are observable for the asset or liability;</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Inputs that are derived principally from or corroborated by observable market data by correlation or other means.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If the asset or liability has a specified (contractual) term, the Level 2 input must be observable for substantially the full term of the asset or liability.</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Level 3—Inputs to the valuation methodology are unobservable and significant to the fair value measurement.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There have been no changes in the valuation methodologies used as of December 31, 2025 and 2024. Following is a description of the valuation methodologies used for assets measured at fair value:</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Mutual funds—Valued at the closing price reported on the active market on which the individual securities are traded.</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Stock fund—Valued at a “unitized” value which moves in nearly direct relationship to First Busey Corporation stock, which is on the active market on which that security is traded.</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Managed funds—Investments in the managed accounts, which comprised of mutual funds, are valued using a readily determinable fair value, which approximates NAV which are based on observable market prices for the underlying assets, held by the plan at year-end. The managed funds are not direct filing entities and the Plan owns the underlying assets of the funds.</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Common stock—Valued at the closing price reported on the active market on which the individual securities are traded.</w:t>
      </w:r>
    </w:p>
    <w:p>
      <w:pPr>
        <w:pStyle w:val="TextBody"/>
        <w:bidi w:val="0"/>
        <w:spacing w:lineRule="auto" w:line="288" w:before="200" w:after="200"/>
        <w:ind w:left="0" w:right="0" w:hanging="360"/>
        <w:jc w:val="both"/>
        <w:rPr/>
      </w:pPr>
      <w:r>
        <w:rPr>
          <w:color w:val="000000"/>
        </w:rPr>
        <w:t>•</w:t>
      </w:r>
      <w:r>
        <w:rPr>
          <w:rFonts w:ascii="Proxima Nova;sans-serif" w:hAnsi="Proxima Nova;sans-serif"/>
          <w:b w:val="false"/>
          <w:color w:val="000000"/>
          <w:sz w:val="20"/>
        </w:rPr>
        <w:t>Money market account—Valued at the fair value of the units held by the Plan at year end. Fair value is equal to $1.00, and individual participant accounts are Federal Deposit Insurance Corporation (“FDIC”)-insured up to $250,000.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74955"/>
                <wp:effectExtent l="0" t="0" r="0" b="0"/>
                <wp:wrapNone/>
                <wp:docPr id="10" name="Frame9"/>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7</w:t>
                      </w:r>
                    </w:p>
                  </w:txbxContent>
                </v:textbox>
                <w10:wrap type="none"/>
              </v:rect>
            </w:pict>
          </mc:Fallback>
        </mc:AlternateContent>
      </w:r>
    </w:p>
    <w:p>
      <w:pPr>
        <w:pStyle w:val="TextBody"/>
        <w:bidi w:val="0"/>
        <w:spacing w:lineRule="auto" w:line="288" w:before="0" w:after="0"/>
        <w:jc w:val="left"/>
        <w:rPr/>
      </w:pPr>
      <w:hyperlink w:anchor="ica7c2eea901944a881e622da056d841d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400" w:after="283"/>
        <w:jc w:val="center"/>
        <w:rPr>
          <w:rFonts w:ascii="Proxima Nova;sans-serif" w:hAnsi="Proxima Nova;sans-serif"/>
          <w:b/>
          <w:color w:val="000000"/>
          <w:sz w:val="20"/>
        </w:rPr>
      </w:pPr>
      <w:r>
        <w:rPr>
          <w:rFonts w:ascii="Proxima Nova;sans-serif" w:hAnsi="Proxima Nova;sans-serif"/>
          <w:b/>
          <w:color w:val="000000"/>
          <w:sz w:val="20"/>
        </w:rPr>
        <w:t>FIRST BUSEY CORPORATION PROFIT SHARING PLAN AND TRUST</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 xml:space="preserve">NOTES TO FINANCIAL STATEMENTS </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DECEMBER 31, 2025</w:t>
      </w:r>
    </w:p>
    <w:p>
      <w:pPr>
        <w:pStyle w:val="TextBody"/>
        <w:bidi w:val="0"/>
        <w:spacing w:before="200" w:after="200"/>
        <w:jc w:val="both"/>
        <w:rPr/>
      </w:pPr>
      <w:r>
        <w:rPr/>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following tables set forth, by level within the fair value hierarchy, the Plan’s assets at fair value:</w:t>
      </w:r>
    </w:p>
    <w:tbl>
      <w:tblPr>
        <w:tblW w:w="9050" w:type="dxa"/>
        <w:jc w:val="left"/>
        <w:tblInd w:w="0" w:type="dxa"/>
        <w:tblLayout w:type="fixed"/>
        <w:tblCellMar>
          <w:top w:w="28" w:type="dxa"/>
          <w:left w:w="28" w:type="dxa"/>
          <w:bottom w:w="28" w:type="dxa"/>
          <w:right w:w="28" w:type="dxa"/>
        </w:tblCellMar>
      </w:tblPr>
      <w:tblGrid>
        <w:gridCol w:w="1119"/>
        <w:gridCol w:w="981"/>
        <w:gridCol w:w="990"/>
        <w:gridCol w:w="226"/>
        <w:gridCol w:w="1366"/>
        <w:gridCol w:w="109"/>
        <w:gridCol w:w="109"/>
        <w:gridCol w:w="109"/>
        <w:gridCol w:w="109"/>
        <w:gridCol w:w="233"/>
        <w:gridCol w:w="419"/>
        <w:gridCol w:w="114"/>
        <w:gridCol w:w="109"/>
        <w:gridCol w:w="109"/>
        <w:gridCol w:w="109"/>
        <w:gridCol w:w="233"/>
        <w:gridCol w:w="419"/>
        <w:gridCol w:w="114"/>
        <w:gridCol w:w="109"/>
        <w:gridCol w:w="109"/>
        <w:gridCol w:w="109"/>
        <w:gridCol w:w="226"/>
        <w:gridCol w:w="136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As of December 31, 2025</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Total</w:t>
            </w:r>
          </w:p>
        </w:tc>
      </w:tr>
      <w:tr>
        <w:trPr/>
        <w:tc>
          <w:tcPr>
            <w:tcW w:w="30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Mutual funds</w:t>
            </w:r>
          </w:p>
        </w:tc>
        <w:tc>
          <w:tcPr>
            <w:tcW w:w="226"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227,528,576 </w:t>
            </w:r>
          </w:p>
        </w:tc>
        <w:tc>
          <w:tcPr>
            <w:tcW w:w="109" w:type="dxa"/>
            <w:tcBorders>
              <w:top w:val="single" w:sz="4"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19"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19"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227,528,576 </w:t>
            </w:r>
          </w:p>
        </w:tc>
        <w:tc>
          <w:tcPr>
            <w:tcW w:w="154" w:type="dxa"/>
            <w:tcBorders>
              <w:top w:val="single" w:sz="4"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Managed funds—mutual funds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83,054,745 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83,054,745 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Common stock and stock fund</w:t>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10,114,425 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10,114,425 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Money market account</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7,452,017 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7,452,017 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assets at fair value</w:t>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328,149,763 </w:t>
            </w:r>
          </w:p>
        </w:tc>
        <w:tc>
          <w:tcPr>
            <w:tcW w:w="10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1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1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328,149,763 </w:t>
            </w:r>
          </w:p>
        </w:tc>
        <w:tc>
          <w:tcPr>
            <w:tcW w:w="154"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50" w:type="dxa"/>
        <w:jc w:val="left"/>
        <w:tblInd w:w="0" w:type="dxa"/>
        <w:tblLayout w:type="fixed"/>
        <w:tblCellMar>
          <w:top w:w="28" w:type="dxa"/>
          <w:left w:w="28" w:type="dxa"/>
          <w:bottom w:w="28" w:type="dxa"/>
          <w:right w:w="28" w:type="dxa"/>
        </w:tblCellMar>
      </w:tblPr>
      <w:tblGrid>
        <w:gridCol w:w="1119"/>
        <w:gridCol w:w="981"/>
        <w:gridCol w:w="990"/>
        <w:gridCol w:w="226"/>
        <w:gridCol w:w="1366"/>
        <w:gridCol w:w="109"/>
        <w:gridCol w:w="109"/>
        <w:gridCol w:w="109"/>
        <w:gridCol w:w="109"/>
        <w:gridCol w:w="233"/>
        <w:gridCol w:w="419"/>
        <w:gridCol w:w="114"/>
        <w:gridCol w:w="109"/>
        <w:gridCol w:w="109"/>
        <w:gridCol w:w="109"/>
        <w:gridCol w:w="233"/>
        <w:gridCol w:w="419"/>
        <w:gridCol w:w="114"/>
        <w:gridCol w:w="109"/>
        <w:gridCol w:w="109"/>
        <w:gridCol w:w="109"/>
        <w:gridCol w:w="226"/>
        <w:gridCol w:w="136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As of December 31, 2024</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Total</w:t>
            </w:r>
          </w:p>
        </w:tc>
      </w:tr>
      <w:tr>
        <w:trPr/>
        <w:tc>
          <w:tcPr>
            <w:tcW w:w="30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Mutual funds</w:t>
            </w:r>
          </w:p>
        </w:tc>
        <w:tc>
          <w:tcPr>
            <w:tcW w:w="226"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176,646,506 </w:t>
            </w:r>
          </w:p>
        </w:tc>
        <w:tc>
          <w:tcPr>
            <w:tcW w:w="109" w:type="dxa"/>
            <w:tcBorders>
              <w:top w:val="single" w:sz="4"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19"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19"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176,646,506 </w:t>
            </w:r>
          </w:p>
        </w:tc>
        <w:tc>
          <w:tcPr>
            <w:tcW w:w="154" w:type="dxa"/>
            <w:tcBorders>
              <w:top w:val="single" w:sz="4"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Managed funds—mutual funds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69,852,148 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69,852,148 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Common stock and stock fund</w:t>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9,423,721 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9,423,721 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Money market account</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6,344,760 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6,344,760 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assets at fair value</w:t>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262,267,135 </w:t>
            </w:r>
          </w:p>
        </w:tc>
        <w:tc>
          <w:tcPr>
            <w:tcW w:w="10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1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41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262,267,135 </w:t>
            </w:r>
          </w:p>
        </w:tc>
        <w:tc>
          <w:tcPr>
            <w:tcW w:w="154"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r>
        <w:rPr>
          <w:rFonts w:ascii="Proxima Nova;sans-serif" w:hAnsi="Proxima Nova;sans-serif"/>
          <w:b/>
          <w:color w:val="000000"/>
          <w:sz w:val="20"/>
        </w:rPr>
        <w:t>NOTE 4. PARTY-IN-INTEREST TRANSACTIONS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Parties-in-interest are defined under Department of Labor regulations as any fiduciary of the Plan, any party rendering service to the Plan, the employers, and certain others. Fees related to the administration of notes receivable from participants and fees related to Qualified Domestic Relations Orders are paid to parties-in-interest. Other fees to parties-in-interest were paid from revenue sharing and plan assets.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Plan held the following assets with parties-in-interest:</w:t>
      </w:r>
    </w:p>
    <w:tbl>
      <w:tblPr>
        <w:tblW w:w="8669" w:type="dxa"/>
        <w:jc w:val="left"/>
        <w:tblInd w:w="0" w:type="dxa"/>
        <w:tblLayout w:type="fixed"/>
        <w:tblCellMar>
          <w:top w:w="28" w:type="dxa"/>
          <w:left w:w="28" w:type="dxa"/>
          <w:bottom w:w="28" w:type="dxa"/>
          <w:right w:w="28" w:type="dxa"/>
        </w:tblCellMar>
      </w:tblPr>
      <w:tblGrid>
        <w:gridCol w:w="869"/>
        <w:gridCol w:w="764"/>
        <w:gridCol w:w="766"/>
        <w:gridCol w:w="109"/>
        <w:gridCol w:w="109"/>
        <w:gridCol w:w="109"/>
        <w:gridCol w:w="844"/>
        <w:gridCol w:w="844"/>
        <w:gridCol w:w="846"/>
        <w:gridCol w:w="109"/>
        <w:gridCol w:w="109"/>
        <w:gridCol w:w="109"/>
        <w:gridCol w:w="302"/>
        <w:gridCol w:w="944"/>
        <w:gridCol w:w="109"/>
        <w:gridCol w:w="109"/>
        <w:gridCol w:w="109"/>
        <w:gridCol w:w="109"/>
        <w:gridCol w:w="266"/>
        <w:gridCol w:w="980"/>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As of December 31,</w:t>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Party-in-Interest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Description of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2024</w:t>
            </w:r>
          </w:p>
        </w:tc>
      </w:tr>
      <w:tr>
        <w:trPr/>
        <w:tc>
          <w:tcPr>
            <w:tcW w:w="2399" w:type="dxa"/>
            <w:gridSpan w:val="3"/>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Charles Schwab Bank</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Cash</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44"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9,424 </w:t>
            </w:r>
          </w:p>
        </w:tc>
        <w:tc>
          <w:tcPr>
            <w:tcW w:w="109" w:type="dxa"/>
            <w:tcBorders>
              <w:top w:val="single" w:sz="4"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980"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21,855 </w:t>
            </w:r>
          </w:p>
        </w:tc>
        <w:tc>
          <w:tcPr>
            <w:tcW w:w="154" w:type="dxa"/>
            <w:tcBorders>
              <w:top w:val="single" w:sz="4"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Charles Schwab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Money market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7,452,017 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6,344,760 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Busey Corporation</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Common stock</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603,695 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610,675 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Busey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Stock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9,510,730 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8,813,046 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Busey Corporation</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Managed funds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83,054,745 </w:t>
            </w:r>
          </w:p>
        </w:tc>
        <w:tc>
          <w:tcPr>
            <w:tcW w:w="10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69,852,148 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Participants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Notes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2,894,127 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2,496,253 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Proxima Nova;sans-serif" w:hAnsi="Proxima Nova;sans-serif"/>
          <w:b w:val="false"/>
          <w:color w:val="000000"/>
          <w:sz w:val="20"/>
          <w:shd w:fill="FFFFFF" w:val="clear"/>
        </w:rPr>
      </w:pPr>
      <w:r>
        <w:rPr>
          <w:rFonts w:ascii="Proxima Nova;sans-serif" w:hAnsi="Proxima Nova;sans-serif"/>
          <w:b w:val="false"/>
          <w:color w:val="000000"/>
          <w:sz w:val="20"/>
          <w:shd w:fill="FFFFFF" w:val="clear"/>
        </w:rPr>
        <w:t>Certain administrative functions are performed by officers or employees of the Employers. No such officer or employee receives compensation from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74955"/>
                <wp:effectExtent l="0" t="0" r="0" b="0"/>
                <wp:wrapNone/>
                <wp:docPr id="11" name="Frame10"/>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8</w:t>
                      </w:r>
                    </w:p>
                  </w:txbxContent>
                </v:textbox>
                <w10:wrap type="none"/>
              </v:rect>
            </w:pict>
          </mc:Fallback>
        </mc:AlternateContent>
      </w:r>
    </w:p>
    <w:p>
      <w:pPr>
        <w:pStyle w:val="TextBody"/>
        <w:bidi w:val="0"/>
        <w:spacing w:lineRule="auto" w:line="288" w:before="0" w:after="0"/>
        <w:jc w:val="left"/>
        <w:rPr/>
      </w:pPr>
      <w:hyperlink w:anchor="ica7c2eea901944a881e622da056d841d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400" w:after="283"/>
        <w:jc w:val="center"/>
        <w:rPr>
          <w:rFonts w:ascii="Proxima Nova;sans-serif" w:hAnsi="Proxima Nova;sans-serif"/>
          <w:b/>
          <w:color w:val="000000"/>
          <w:sz w:val="20"/>
        </w:rPr>
      </w:pPr>
      <w:r>
        <w:rPr>
          <w:rFonts w:ascii="Proxima Nova;sans-serif" w:hAnsi="Proxima Nova;sans-serif"/>
          <w:b/>
          <w:color w:val="000000"/>
          <w:sz w:val="20"/>
        </w:rPr>
        <w:t>FIRST BUSEY CORPORATION PROFIT SHARING PLAN AND TRUST</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 xml:space="preserve">NOTES TO FINANCIAL STATEMENTS </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DECEMBER 31, 2025</w:t>
      </w:r>
    </w:p>
    <w:p>
      <w:pPr>
        <w:pStyle w:val="TextBody"/>
        <w:bidi w:val="0"/>
        <w:spacing w:before="200" w:after="200"/>
        <w:jc w:val="both"/>
        <w:rPr/>
      </w:pPr>
      <w:r>
        <w:rPr/>
      </w:r>
    </w:p>
    <w:p>
      <w:pPr>
        <w:pStyle w:val="TextBody"/>
        <w:bidi w:val="0"/>
        <w:spacing w:lineRule="auto" w:line="288" w:before="200" w:after="200"/>
        <w:jc w:val="both"/>
        <w:rPr>
          <w:rFonts w:ascii="Proxima Nova;sans-serif" w:hAnsi="Proxima Nova;sans-serif"/>
          <w:b/>
          <w:color w:val="000000"/>
          <w:sz w:val="20"/>
          <w:shd w:fill="FFFFFF" w:val="clear"/>
        </w:rPr>
      </w:pPr>
      <w:r>
        <w:rPr>
          <w:rFonts w:ascii="Proxima Nova;sans-serif" w:hAnsi="Proxima Nova;sans-serif"/>
          <w:b/>
          <w:color w:val="000000"/>
          <w:sz w:val="20"/>
          <w:shd w:fill="FFFFFF" w:val="clear"/>
        </w:rPr>
        <w:t>NOTE 5. INCOME TAX STATUS</w:t>
      </w:r>
    </w:p>
    <w:p>
      <w:pPr>
        <w:pStyle w:val="TextBody"/>
        <w:bidi w:val="0"/>
        <w:spacing w:lineRule="auto" w:line="288" w:before="200" w:after="200"/>
        <w:jc w:val="both"/>
        <w:rPr>
          <w:rFonts w:ascii="Proxima Nova;sans-serif" w:hAnsi="Proxima Nova;sans-serif"/>
          <w:b w:val="false"/>
          <w:color w:val="000000"/>
          <w:sz w:val="20"/>
          <w:shd w:fill="FFFFFF" w:val="clear"/>
        </w:rPr>
      </w:pPr>
      <w:r>
        <w:rPr>
          <w:rFonts w:ascii="Proxima Nova;sans-serif" w:hAnsi="Proxima Nova;sans-serif"/>
          <w:b w:val="false"/>
          <w:color w:val="000000"/>
          <w:sz w:val="20"/>
          <w:shd w:fill="FFFFFF" w:val="clear"/>
        </w:rPr>
        <w:t>The Employer has adopted a pre-approved plan designed by EPIC Advisors Inc. The Internal Revenue Service (“IRS”) has determined and informed EPIC Advisors Inc by a letter dated June 30, 2020, that the pre-approved plan is designed in accordance with applicable sections of the Internal Revenue Code (“IRC”). The Plan has not requested its own determination letter from the IRS. The Plan Administrator and the Plan’s tax counsel believe that the Plan is designed and is currently being operated in compliance with the applicable provisions of the IRC. Therefore, no provision for income taxes is included in the accompanying financial statements.</w:t>
      </w:r>
    </w:p>
    <w:p>
      <w:pPr>
        <w:pStyle w:val="TextBody"/>
        <w:bidi w:val="0"/>
        <w:spacing w:lineRule="auto" w:line="288" w:before="200" w:after="200"/>
        <w:jc w:val="both"/>
        <w:rPr/>
      </w:pPr>
      <w:r>
        <w:rPr>
          <w:rFonts w:ascii="Proxima Nova;sans-serif" w:hAnsi="Proxima Nova;sans-serif"/>
          <w:b w:val="false"/>
          <w:color w:val="000000"/>
          <w:sz w:val="20"/>
          <w:shd w:fill="FFFFFF" w:val="clear"/>
        </w:rPr>
        <w:t xml:space="preserve">U.S. GAAP requires Plan management to evaluate tax positions taken by the Plan and recognize a tax liability if the organization has taken an uncertain position that more likely than not would not be sustained upon examination by the IRS. The Plan Administrator has analyzed the tax positions taken by the Plan and has concluded that as of </w:t>
      </w:r>
      <w:r>
        <w:rPr>
          <w:rFonts w:ascii="Proxima Nova;sans-serif" w:hAnsi="Proxima Nova;sans-serif"/>
          <w:b w:val="false"/>
          <w:color w:val="000000"/>
          <w:sz w:val="20"/>
        </w:rPr>
        <w:t>December 31, 2025</w:t>
      </w:r>
      <w:r>
        <w:rPr>
          <w:color w:val="000000"/>
          <w:shd w:fill="FFFFFF" w:val="clear"/>
        </w:rPr>
        <w:t xml:space="preserve"> </w:t>
      </w:r>
      <w:r>
        <w:rPr>
          <w:rFonts w:ascii="Proxima Nova;sans-serif" w:hAnsi="Proxima Nova;sans-serif"/>
          <w:b w:val="false"/>
          <w:color w:val="000000"/>
          <w:sz w:val="20"/>
          <w:shd w:fill="FFFFFF" w:val="clear"/>
        </w:rPr>
        <w:t xml:space="preserve">and </w:t>
      </w:r>
      <w:r>
        <w:rPr>
          <w:rFonts w:ascii="Proxima Nova;sans-serif" w:hAnsi="Proxima Nova;sans-serif"/>
          <w:b w:val="false"/>
          <w:color w:val="000000"/>
          <w:sz w:val="20"/>
        </w:rPr>
        <w:t>2024</w:t>
      </w:r>
      <w:r>
        <w:rPr>
          <w:rFonts w:ascii="Proxima Nova;sans-serif" w:hAnsi="Proxima Nova;sans-serif"/>
          <w:b w:val="false"/>
          <w:color w:val="000000"/>
          <w:sz w:val="20"/>
          <w:shd w:fill="FFFFFF" w:val="clear"/>
        </w:rPr>
        <w:t>, there are no uncertain positions taken or expected to be taken that would require recognition of a liability or disclosure in the financial statements. The Plan is subject to routine audits by taxing jurisdictions; however, there are currently no audits for any tax periods in progress.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shd w:fill="FFFFFF" w:val="clear"/>
        </w:rPr>
      </w:pPr>
      <w:r>
        <w:rPr>
          <w:rFonts w:ascii="Proxima Nova;sans-serif" w:hAnsi="Proxima Nova;sans-serif"/>
          <w:b/>
          <w:color w:val="000000"/>
          <w:sz w:val="20"/>
          <w:shd w:fill="FFFFFF" w:val="clear"/>
        </w:rPr>
        <w:t>NOTE 6. PLAN TERMINATION</w:t>
      </w:r>
    </w:p>
    <w:p>
      <w:pPr>
        <w:pStyle w:val="TextBody"/>
        <w:bidi w:val="0"/>
        <w:spacing w:lineRule="auto" w:line="288" w:before="200" w:after="200"/>
        <w:jc w:val="both"/>
        <w:rPr/>
      </w:pPr>
      <w:r>
        <w:rPr>
          <w:rFonts w:ascii="Proxima Nova;sans-serif" w:hAnsi="Proxima Nova;sans-serif"/>
          <w:b w:val="false"/>
          <w:color w:val="000000"/>
          <w:sz w:val="20"/>
          <w:shd w:fill="FFFFFF" w:val="clear"/>
        </w:rPr>
        <w:t xml:space="preserve">Although it has not expressed any intent to do so, the Employer has the right under the Plan to discontinue their contributions at any time and to terminate the Plan subject to the provisions of ERISA. In the event of the Plan's termination, participants will become </w:t>
      </w:r>
      <w:r>
        <w:rPr>
          <w:rFonts w:ascii="Proxima Nova;sans-serif" w:hAnsi="Proxima Nova;sans-serif"/>
          <w:b w:val="false"/>
          <w:color w:val="000000"/>
          <w:sz w:val="20"/>
        </w:rPr>
        <w:t>100%</w:t>
      </w:r>
      <w:r>
        <w:rPr>
          <w:color w:val="000000"/>
          <w:shd w:fill="FFFFFF" w:val="clear"/>
        </w:rPr>
        <w:t xml:space="preserve"> </w:t>
      </w:r>
      <w:r>
        <w:rPr>
          <w:rFonts w:ascii="Proxima Nova;sans-serif" w:hAnsi="Proxima Nova;sans-serif"/>
          <w:b w:val="false"/>
          <w:color w:val="000000"/>
          <w:sz w:val="20"/>
          <w:shd w:fill="FFFFFF" w:val="clear"/>
        </w:rPr>
        <w:t>vested in their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Proxima Nova;sans-serif" w:hAnsi="Proxima Nova;sans-serif"/>
          <w:b/>
          <w:color w:val="000000"/>
          <w:sz w:val="20"/>
        </w:rPr>
      </w:pPr>
      <w:r>
        <w:rPr>
          <w:rFonts w:ascii="Proxima Nova;sans-serif" w:hAnsi="Proxima Nova;sans-serif"/>
          <w:b/>
          <w:color w:val="000000"/>
          <w:sz w:val="20"/>
        </w:rPr>
        <w:t>NOTE 7. RECENT LEGISLATION</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SECURE Act 2.0 was signed into law on December 23, 2022. The SECURE Act 2.0 allows more part-time workers to participate, increases the age for required minimum distributions and reduces the penalty for missed minimum distributions, permits plan participants to elect to receive vested employer contributions on an after-tax basis, and allows penalty free withdrawal for terminal illness, effective January 1, 2023. Additionally, it will allow for higher catch-up contributions, allow for matching contributions on student loan payments, permit plan sponsors to add an emergency savings account to their retirement plans, increase the availability of penalty-free withdrawals, and add automatic enrollment error relief provisions, effective January 1, 2024. Many of the provisions in SECURE 2.0 went effective in 2023, but SECURE 2.0 will not be completely implemented until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4955"/>
                <wp:effectExtent l="0" t="0" r="0" b="0"/>
                <wp:wrapNone/>
                <wp:docPr id="12" name="Frame11"/>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9</w:t>
                      </w:r>
                    </w:p>
                  </w:txbxContent>
                </v:textbox>
                <w10:wrap type="none"/>
              </v:rect>
            </w:pict>
          </mc:Fallback>
        </mc:AlternateContent>
      </w:r>
    </w:p>
    <w:p>
      <w:pPr>
        <w:pStyle w:val="TextBody"/>
        <w:bidi w:val="0"/>
        <w:spacing w:lineRule="auto" w:line="288" w:before="0" w:after="0"/>
        <w:jc w:val="left"/>
        <w:rPr/>
      </w:pPr>
      <w:hyperlink w:anchor="ica7c2eea901944a881e622da056d841d_7">
        <w:r>
          <w:rPr>
            <w:rStyle w:val="InternetLink"/>
            <w:rFonts w:ascii="Proxima Nova;sans-serif" w:hAnsi="Proxima Nova;sans-serif"/>
            <w:b w:val="false"/>
            <w:color w:val="0000FF"/>
            <w:sz w:val="16"/>
            <w:u w:val="single"/>
          </w:rPr>
          <w:t>TABLE OF CONTENTS</w:t>
        </w:r>
      </w:hyperlink>
    </w:p>
    <w:p>
      <w:pPr>
        <w:pStyle w:val="TextBody"/>
        <w:bidi w:val="0"/>
        <w:spacing w:before="200" w:after="200"/>
        <w:jc w:val="both"/>
        <w:rPr/>
      </w:pPr>
      <w:r>
        <w:rPr/>
      </w:r>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SUPPLEMENTAL SCHEDULE</w:t>
      </w:r>
    </w:p>
    <w:p>
      <w:pPr>
        <w:pStyle w:val="TextBody"/>
        <w:bidi w:val="0"/>
        <w:spacing w:before="200" w:after="200"/>
        <w:jc w:val="both"/>
        <w:rPr/>
      </w:pPr>
      <w:r>
        <w:rPr/>
      </w:r>
    </w:p>
    <w:p>
      <w:pPr>
        <w:pStyle w:val="TextBody"/>
        <w:bidi w:val="0"/>
        <w:spacing w:before="20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4955"/>
                <wp:effectExtent l="0" t="0" r="0" b="0"/>
                <wp:wrapNone/>
                <wp:docPr id="13" name="Frame12"/>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10</w:t>
                      </w:r>
                    </w:p>
                  </w:txbxContent>
                </v:textbox>
                <w10:wrap type="none"/>
              </v:rect>
            </w:pict>
          </mc:Fallback>
        </mc:AlternateContent>
      </w:r>
    </w:p>
    <w:p>
      <w:pPr>
        <w:pStyle w:val="TextBody"/>
        <w:bidi w:val="0"/>
        <w:spacing w:lineRule="auto" w:line="288" w:before="0" w:after="0"/>
        <w:jc w:val="left"/>
        <w:rPr/>
      </w:pPr>
      <w:hyperlink w:anchor="ica7c2eea901944a881e622da056d841d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83"/>
        <w:jc w:val="center"/>
        <w:rPr>
          <w:rFonts w:ascii="Proxima Nova;sans-serif" w:hAnsi="Proxima Nova;sans-serif"/>
          <w:b/>
          <w:color w:val="000000"/>
          <w:sz w:val="20"/>
        </w:rPr>
      </w:pPr>
      <w:r>
        <w:rPr>
          <w:rFonts w:ascii="Proxima Nova;sans-serif" w:hAnsi="Proxima Nova;sans-serif"/>
          <w:b/>
          <w:color w:val="000000"/>
          <w:sz w:val="20"/>
        </w:rPr>
        <w:t>FIRST BUSEY CORPORATION PROFIT SHARING PLAN AND TRUST</w:t>
      </w:r>
    </w:p>
    <w:p>
      <w:pPr>
        <w:pStyle w:val="TextBody"/>
        <w:bidi w:val="0"/>
        <w:spacing w:lineRule="auto" w:line="288" w:before="0" w:after="0"/>
        <w:jc w:val="center"/>
        <w:rPr/>
      </w:pPr>
      <w:r>
        <w:rPr>
          <w:rFonts w:ascii="Proxima Nova;sans-serif" w:hAnsi="Proxima Nova;sans-serif"/>
          <w:b/>
          <w:color w:val="000000"/>
          <w:sz w:val="20"/>
        </w:rPr>
        <w:t>FORM 5500, SCHEDULE H, LINE 4I</w:t>
      </w:r>
      <w:r>
        <w:rPr>
          <w:color w:val="000000"/>
        </w:rPr>
        <w:t>—</w:t>
      </w:r>
      <w:r>
        <w:rPr>
          <w:rFonts w:ascii="Proxima Nova;sans-serif" w:hAnsi="Proxima Nova;sans-serif"/>
          <w:b/>
          <w:color w:val="000000"/>
          <w:sz w:val="20"/>
        </w:rPr>
        <w:t>SCHEDULE OF ASSETS (HELD AT END OF YEAR)</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DECEMBER 31, 2025</w:t>
      </w:r>
    </w:p>
    <w:tbl>
      <w:tblPr>
        <w:tblW w:w="5714" w:type="dxa"/>
        <w:jc w:val="left"/>
        <w:tblInd w:w="0" w:type="dxa"/>
        <w:tblLayout w:type="fixed"/>
        <w:tblCellMar>
          <w:top w:w="28" w:type="dxa"/>
          <w:left w:w="28" w:type="dxa"/>
          <w:bottom w:w="28" w:type="dxa"/>
          <w:right w:w="28" w:type="dxa"/>
        </w:tblCellMar>
      </w:tblPr>
      <w:tblGrid>
        <w:gridCol w:w="1189"/>
        <w:gridCol w:w="1046"/>
        <w:gridCol w:w="1050"/>
        <w:gridCol w:w="711"/>
        <w:gridCol w:w="711"/>
        <w:gridCol w:w="1007"/>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Name of Plan Sponsor:</w:t>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Busey Corporation</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Employer Identification Number:</w:t>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37-1078406</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Three-digit Plan Number:</w:t>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002</w:t>
            </w:r>
          </w:p>
        </w:tc>
      </w:tr>
    </w:tbl>
    <w:tbl>
      <w:tblPr>
        <w:tblW w:w="10205" w:type="dxa"/>
        <w:jc w:val="left"/>
        <w:tblInd w:w="0" w:type="dxa"/>
        <w:tblLayout w:type="fixed"/>
        <w:tblCellMar>
          <w:top w:w="28" w:type="dxa"/>
          <w:left w:w="28" w:type="dxa"/>
          <w:bottom w:w="28" w:type="dxa"/>
          <w:right w:w="28" w:type="dxa"/>
        </w:tblCellMar>
      </w:tblPr>
      <w:tblGrid>
        <w:gridCol w:w="125"/>
        <w:gridCol w:w="110"/>
        <w:gridCol w:w="110"/>
        <w:gridCol w:w="109"/>
        <w:gridCol w:w="109"/>
        <w:gridCol w:w="109"/>
        <w:gridCol w:w="618"/>
        <w:gridCol w:w="618"/>
        <w:gridCol w:w="619"/>
        <w:gridCol w:w="109"/>
        <w:gridCol w:w="109"/>
        <w:gridCol w:w="109"/>
        <w:gridCol w:w="1473"/>
        <w:gridCol w:w="1473"/>
        <w:gridCol w:w="1474"/>
        <w:gridCol w:w="109"/>
        <w:gridCol w:w="109"/>
        <w:gridCol w:w="109"/>
        <w:gridCol w:w="175"/>
        <w:gridCol w:w="175"/>
        <w:gridCol w:w="176"/>
        <w:gridCol w:w="109"/>
        <w:gridCol w:w="109"/>
        <w:gridCol w:w="109"/>
        <w:gridCol w:w="226"/>
        <w:gridCol w:w="1366"/>
        <w:gridCol w:w="159"/>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(b)</w:t>
              <w:br/>
              <w:t>Identity of Issue, Borrower, Lessor, or Similar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(c)</w:t>
              <w:br/>
              <w:t>Description of Investment Including Maturity Date, Rate of Interest, Collateral, Par or Maturity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(e)</w:t>
              <w:br/>
              <w:t>Current Value</w:t>
            </w:r>
          </w:p>
        </w:tc>
      </w:tr>
      <w:tr>
        <w:trPr/>
        <w:tc>
          <w:tcPr>
            <w:tcW w:w="345" w:type="dxa"/>
            <w:gridSpan w:val="3"/>
            <w:tcBorders>
              <w:top w:val="single" w:sz="4"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single" w:sz="4"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Common stock and stock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4"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Busey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Stock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9,510,730 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Busey Corporation</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Common stock</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603,695 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10,114,425 </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Mutual funds: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American Century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Mid Cap Value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658,900 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American Funds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The Growth Fund of America</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26,559,026 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American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The Income Fund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7,071,885 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American Funds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EuroPacific Growth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1,819,383 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AQR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Emerging Multi-Style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2,654,880 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Congress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Mid Cap Growth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4,322,445 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DFA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US Targeted Value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4,212,441 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Dodge and Cox</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Dodge and Cox Stock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9,388,031 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DoubleLine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Core Fixed Income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10,870,826 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Federated Hermes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Ultrashort Bond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2,042,178 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GMO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Trust International Developed Equity Allocation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12,759,906 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 Rowe Price</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Retirement Fund 2010</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54,083 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 Rowe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Retirement Fund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16,550 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 Rowe Price</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Retirement Fund 2020</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5,178,788 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 Rowe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Retirement Fund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3,781,266 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 Rowe Price</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Retirement Fund 2030</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26,684,949 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 Rowe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Retirement Fund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7,912,530 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 Rowe Price</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Retirement Fund 2040</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19,944,506 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 Rowe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Retirement Fund 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8,300,663 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 Rowe Price</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Retirement Fund 2050</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16,071,006 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 Rowe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Retirement Fund 2055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3,552,395 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 Rowe Price</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Retirement Fund 2060</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6,642,262 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 Rowe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Retirement Fund 2065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1,647,215 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500 Index Fund Admiral</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40,087,009 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Mid-Cap Index Admiral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2,635,733 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Small-Cap Index Admiral</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2,659,720 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227,528,576 </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E0E7ED" w:val="clear"/>
            <w:tcMar>
              <w:top w:w="0" w:type="dxa"/>
              <w:left w:w="0" w:type="dxa"/>
              <w:bottom w:w="0" w:type="dxa"/>
              <w:right w:w="0" w:type="dxa"/>
            </w:tcMar>
            <w:vAlign w:val="center"/>
          </w:tcPr>
          <w:p>
            <w:pPr>
              <w:pStyle w:val="TableContents"/>
              <w:bidi w:val="0"/>
              <w:spacing w:lineRule="auto" w:line="288" w:before="0" w:after="0"/>
              <w:jc w:val="left"/>
              <w:rPr/>
            </w:pPr>
            <w:r>
              <w:rPr>
                <w:rFonts w:ascii="Proxima Nova;sans-serif" w:hAnsi="Proxima Nova;sans-serif"/>
                <w:b/>
                <w:color w:val="000000"/>
                <w:sz w:val="20"/>
              </w:rPr>
              <w:t xml:space="preserve">Managed funds </w:t>
            </w:r>
            <w:r>
              <w:rPr>
                <w:rFonts w:ascii="Proxima Nova;sans-serif" w:hAnsi="Proxima Nova;sans-serif"/>
                <w:b w:val="false"/>
                <w:i/>
                <w:color w:val="000000"/>
                <w:sz w:val="20"/>
              </w:rPr>
              <w:t>(see attachment)</w:t>
            </w:r>
            <w:r>
              <w:rPr>
                <w:rFonts w:ascii="Proxima Nova;sans-serif" w:hAnsi="Proxima Nova;sans-serif"/>
                <w:b/>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Busey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Aggressive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19,357,704 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Busey Corporation</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Balanced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29,115,862 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Busey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Conservative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2,804,482 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Busey Corporation</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Growth</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19,579,962 </w:t>
            </w:r>
          </w:p>
        </w:tc>
        <w:tc>
          <w:tcPr>
            <w:tcW w:w="159"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First Busey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Moderate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12,196,735 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83,054,745 </w:t>
            </w:r>
          </w:p>
        </w:tc>
        <w:tc>
          <w:tcPr>
            <w:tcW w:w="159" w:type="dxa"/>
            <w:tcBorders>
              <w:top w:val="single" w:sz="4"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06120"/>
                <wp:effectExtent l="0" t="0" r="0" b="0"/>
                <wp:wrapNone/>
                <wp:docPr id="14" name="Frame13"/>
                <a:graphic xmlns:a="http://schemas.openxmlformats.org/drawingml/2006/main">
                  <a:graphicData uri="http://schemas.microsoft.com/office/word/2010/wordprocessingShape">
                    <wps:wsp>
                      <wps:cNvSpPr txBox="1"/>
                      <wps:spPr>
                        <a:xfrm>
                          <a:off x="0" y="0"/>
                          <a:ext cx="6480175" cy="706120"/>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See accompanying Report of Independent Registered Public Accounting Firm</w:t>
                            </w:r>
                          </w:p>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See accompanying Report of Independent Registered Public Accounting Firm</w:t>
                      </w:r>
                    </w:p>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11</w:t>
                      </w:r>
                    </w:p>
                  </w:txbxContent>
                </v:textbox>
                <w10:wrap type="none"/>
              </v:rect>
            </w:pict>
          </mc:Fallback>
        </mc:AlternateContent>
      </w:r>
    </w:p>
    <w:p>
      <w:pPr>
        <w:pStyle w:val="TextBody"/>
        <w:bidi w:val="0"/>
        <w:spacing w:lineRule="auto" w:line="288" w:before="0" w:after="0"/>
        <w:jc w:val="left"/>
        <w:rPr/>
      </w:pPr>
      <w:hyperlink w:anchor="ica7c2eea901944a881e622da056d841d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83"/>
        <w:jc w:val="center"/>
        <w:rPr>
          <w:rFonts w:ascii="Proxima Nova;sans-serif" w:hAnsi="Proxima Nova;sans-serif"/>
          <w:b/>
          <w:color w:val="000000"/>
          <w:sz w:val="20"/>
        </w:rPr>
      </w:pPr>
      <w:r>
        <w:rPr>
          <w:rFonts w:ascii="Proxima Nova;sans-serif" w:hAnsi="Proxima Nova;sans-serif"/>
          <w:b/>
          <w:color w:val="000000"/>
          <w:sz w:val="20"/>
        </w:rPr>
        <w:t>FIRST BUSEY CORPORATION PROFIT SHARING PLAN AND TRUST</w:t>
      </w:r>
    </w:p>
    <w:p>
      <w:pPr>
        <w:pStyle w:val="TextBody"/>
        <w:bidi w:val="0"/>
        <w:spacing w:lineRule="auto" w:line="288" w:before="0" w:after="0"/>
        <w:jc w:val="center"/>
        <w:rPr/>
      </w:pPr>
      <w:r>
        <w:rPr>
          <w:rFonts w:ascii="Proxima Nova;sans-serif" w:hAnsi="Proxima Nova;sans-serif"/>
          <w:b/>
          <w:color w:val="000000"/>
          <w:sz w:val="20"/>
        </w:rPr>
        <w:t>FORM 5500, SCHEDULE H, LINE 4I</w:t>
      </w:r>
      <w:r>
        <w:rPr>
          <w:color w:val="000000"/>
        </w:rPr>
        <w:t>—</w:t>
      </w:r>
      <w:r>
        <w:rPr>
          <w:rFonts w:ascii="Proxima Nova;sans-serif" w:hAnsi="Proxima Nova;sans-serif"/>
          <w:b/>
          <w:color w:val="000000"/>
          <w:sz w:val="20"/>
        </w:rPr>
        <w:t>SCHEDULE OF ASSETS (HELD AT END OF YEAR)</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DECEMBER 31, 2025</w:t>
      </w:r>
    </w:p>
    <w:tbl>
      <w:tblPr>
        <w:tblW w:w="10205" w:type="dxa"/>
        <w:jc w:val="left"/>
        <w:tblInd w:w="0" w:type="dxa"/>
        <w:tblLayout w:type="fixed"/>
        <w:tblCellMar>
          <w:top w:w="28" w:type="dxa"/>
          <w:left w:w="28" w:type="dxa"/>
          <w:bottom w:w="28" w:type="dxa"/>
          <w:right w:w="28" w:type="dxa"/>
        </w:tblCellMar>
      </w:tblPr>
      <w:tblGrid>
        <w:gridCol w:w="125"/>
        <w:gridCol w:w="110"/>
        <w:gridCol w:w="110"/>
        <w:gridCol w:w="109"/>
        <w:gridCol w:w="109"/>
        <w:gridCol w:w="109"/>
        <w:gridCol w:w="614"/>
        <w:gridCol w:w="614"/>
        <w:gridCol w:w="615"/>
        <w:gridCol w:w="109"/>
        <w:gridCol w:w="109"/>
        <w:gridCol w:w="109"/>
        <w:gridCol w:w="1477"/>
        <w:gridCol w:w="1477"/>
        <w:gridCol w:w="1478"/>
        <w:gridCol w:w="109"/>
        <w:gridCol w:w="109"/>
        <w:gridCol w:w="109"/>
        <w:gridCol w:w="175"/>
        <w:gridCol w:w="175"/>
        <w:gridCol w:w="176"/>
        <w:gridCol w:w="109"/>
        <w:gridCol w:w="109"/>
        <w:gridCol w:w="109"/>
        <w:gridCol w:w="226"/>
        <w:gridCol w:w="1366"/>
        <w:gridCol w:w="159"/>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(b)</w:t>
              <w:br/>
              <w:t>Identity of Issue, Borrower, Lessor, or Similar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(c)</w:t>
              <w:br/>
              <w:t>Description of Investment Including Maturity Date, Rate of Interest, Collateral, Par or Maturity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(e)</w:t>
              <w:br/>
              <w:t>Current Value</w:t>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Money market accounts: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Charles Schwab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Schwab Value Advantage Money Fund (Ultra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7,452,017 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4" w:space="0" w:color="000000"/>
            </w:tcBorders>
            <w:shd w:fill="E0E7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Notes receivable from participants: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val="false"/>
                <w:color w:val="000000"/>
                <w:sz w:val="20"/>
              </w:rPr>
            </w:pPr>
            <w:r>
              <w:rPr>
                <w:rFonts w:ascii="Proxima Nova;sans-serif" w:hAnsi="Proxima Nov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Notes Receivable From Participants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Interest rates ranging from 3.25% to 9.50% and maturities ranging from January 2026 to July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2,894,127 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366"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331,043,890 </w:t>
            </w:r>
          </w:p>
        </w:tc>
        <w:tc>
          <w:tcPr>
            <w:tcW w:w="159" w:type="dxa"/>
            <w:tcBorders>
              <w:top w:val="single" w:sz="8" w:space="0" w:color="000000"/>
              <w:bottom w:val="double" w:sz="8" w:space="0" w:color="000000"/>
            </w:tcBorders>
            <w:shd w:fill="E0E7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Proxima Nova;sans-serif" w:hAnsi="Proxima Nova;sans-serif"/>
          <w:b w:val="false"/>
          <w:color w:val="000000"/>
          <w:sz w:val="16"/>
        </w:rPr>
      </w:pPr>
      <w:r>
        <w:rPr>
          <w:rFonts w:ascii="Proxima Nova;sans-serif" w:hAnsi="Proxima Nova;sans-serif"/>
          <w:b w:val="false"/>
          <w:color w:val="000000"/>
          <w:sz w:val="16"/>
        </w:rPr>
        <w:t>___________________________________________</w:t>
      </w:r>
    </w:p>
    <w:p>
      <w:pPr>
        <w:pStyle w:val="TextBody"/>
        <w:bidi w:val="0"/>
        <w:spacing w:lineRule="auto" w:line="240" w:before="0" w:after="0"/>
        <w:ind w:left="0" w:right="0" w:hanging="180"/>
        <w:jc w:val="both"/>
        <w:rPr>
          <w:rFonts w:ascii="Proxima Nova;sans-serif" w:hAnsi="Proxima Nova;sans-serif"/>
          <w:b w:val="false"/>
          <w:color w:val="000000"/>
          <w:sz w:val="16"/>
        </w:rPr>
      </w:pPr>
      <w:r>
        <w:rPr>
          <w:rFonts w:ascii="Proxima Nova;sans-serif" w:hAnsi="Proxima Nova;sans-serif"/>
          <w:b w:val="false"/>
          <w:color w:val="000000"/>
          <w:sz w:val="16"/>
        </w:rPr>
        <w:t>*    Represents a party-in-interest</w:t>
      </w:r>
    </w:p>
    <w:p>
      <w:pPr>
        <w:pStyle w:val="TextBody"/>
        <w:bidi w:val="0"/>
        <w:spacing w:lineRule="auto" w:line="288" w:before="0" w:after="0"/>
        <w:ind w:left="0" w:right="0" w:hanging="180"/>
        <w:jc w:val="both"/>
        <w:rPr/>
      </w:pPr>
      <w:r>
        <w:rPr>
          <w:color w:val="000000"/>
        </w:rPr>
        <w:t>†    </w:t>
      </w:r>
      <w:r>
        <w:rPr>
          <w:rFonts w:ascii="Proxima Nova;sans-serif" w:hAnsi="Proxima Nova;sans-serif"/>
          <w:b w:val="false"/>
          <w:color w:val="000000"/>
          <w:sz w:val="16"/>
        </w:rPr>
        <w:t>Investments are participant-directed; therefore, cost information is not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06120"/>
                <wp:effectExtent l="0" t="0" r="0" b="0"/>
                <wp:wrapNone/>
                <wp:docPr id="15" name="Frame14"/>
                <a:graphic xmlns:a="http://schemas.openxmlformats.org/drawingml/2006/main">
                  <a:graphicData uri="http://schemas.microsoft.com/office/word/2010/wordprocessingShape">
                    <wps:wsp>
                      <wps:cNvSpPr txBox="1"/>
                      <wps:spPr>
                        <a:xfrm>
                          <a:off x="0" y="0"/>
                          <a:ext cx="6480175" cy="706120"/>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See accompanying Report of Independent Registered Public Accounting Firm</w:t>
                            </w:r>
                          </w:p>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See accompanying Report of Independent Registered Public Accounting Firm</w:t>
                      </w:r>
                    </w:p>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12</w:t>
                      </w:r>
                    </w:p>
                  </w:txbxContent>
                </v:textbox>
                <w10:wrap type="none"/>
              </v:rect>
            </w:pict>
          </mc:Fallback>
        </mc:AlternateContent>
      </w:r>
    </w:p>
    <w:p>
      <w:pPr>
        <w:pStyle w:val="TextBody"/>
        <w:bidi w:val="0"/>
        <w:spacing w:lineRule="auto" w:line="288" w:before="0" w:after="0"/>
        <w:jc w:val="left"/>
        <w:rPr/>
      </w:pPr>
      <w:hyperlink w:anchor="ica7c2eea901944a881e622da056d841d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83"/>
        <w:jc w:val="center"/>
        <w:rPr>
          <w:rFonts w:ascii="Proxima Nova;sans-serif" w:hAnsi="Proxima Nova;sans-serif"/>
          <w:b/>
          <w:color w:val="000000"/>
          <w:sz w:val="20"/>
        </w:rPr>
      </w:pPr>
      <w:r>
        <w:rPr>
          <w:rFonts w:ascii="Proxima Nova;sans-serif" w:hAnsi="Proxima Nova;sans-serif"/>
          <w:b/>
          <w:color w:val="000000"/>
          <w:sz w:val="20"/>
        </w:rPr>
        <w:t>FIRST BUSEY CORPORATION PROFIT SHARING PLAN AND TRUST</w:t>
      </w:r>
    </w:p>
    <w:p>
      <w:pPr>
        <w:pStyle w:val="TextBody"/>
        <w:bidi w:val="0"/>
        <w:spacing w:lineRule="auto" w:line="288" w:before="0" w:after="0"/>
        <w:jc w:val="center"/>
        <w:rPr/>
      </w:pPr>
      <w:r>
        <w:rPr>
          <w:rFonts w:ascii="Proxima Nova;sans-serif" w:hAnsi="Proxima Nova;sans-serif"/>
          <w:b/>
          <w:color w:val="000000"/>
          <w:sz w:val="20"/>
        </w:rPr>
        <w:t>FORM 5500, SCHEDULE H, LINE 4I</w:t>
      </w:r>
      <w:r>
        <w:rPr>
          <w:color w:val="000000"/>
        </w:rPr>
        <w:t>—</w:t>
      </w:r>
      <w:r>
        <w:rPr>
          <w:rFonts w:ascii="Proxima Nova;sans-serif" w:hAnsi="Proxima Nova;sans-serif"/>
          <w:b/>
          <w:color w:val="000000"/>
          <w:sz w:val="20"/>
        </w:rPr>
        <w:t>SCHEDULE OF ASSETS (HELD AT END OF YEAR)</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DECEMBER 31, 2025</w:t>
      </w:r>
    </w:p>
    <w:tbl>
      <w:tblPr>
        <w:tblW w:w="7502" w:type="dxa"/>
        <w:jc w:val="left"/>
        <w:tblInd w:w="0" w:type="dxa"/>
        <w:tblLayout w:type="fixed"/>
        <w:tblCellMar>
          <w:top w:w="28" w:type="dxa"/>
          <w:left w:w="28" w:type="dxa"/>
          <w:bottom w:w="28" w:type="dxa"/>
          <w:right w:w="28" w:type="dxa"/>
        </w:tblCellMar>
      </w:tblPr>
      <w:tblGrid>
        <w:gridCol w:w="2008"/>
        <w:gridCol w:w="1769"/>
        <w:gridCol w:w="1772"/>
        <w:gridCol w:w="109"/>
        <w:gridCol w:w="109"/>
        <w:gridCol w:w="109"/>
        <w:gridCol w:w="226"/>
        <w:gridCol w:w="1246"/>
        <w:gridCol w:w="154"/>
      </w:tblGrid>
      <w:tr>
        <w:trPr/>
        <w:tc>
          <w:tcPr>
            <w:tcW w:w="2008"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Aggressive Managed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American Century Mid Cap Value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676,114 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American Funds The Growth Fund of America</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3,208,403 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American Funds Euro Pacific Growth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1,938,910 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AQR Emerging Multi-Style II</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642,884 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Congress Mid Cap Growth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673,064 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DFA Emerging Markets Small Cap</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526,528 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DFA US Targeted Value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288,980 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Dodge and Cox International Stock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1,936,220 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Dodge and Cox Stock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3,208,219 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Stone Ridge High Yield Reinsurance Risk Premium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876,613 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Emerging Markets Bond Fund Admiral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681,593 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Short Term Corporate Bond Index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389,492 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Small Cap Index Admiral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288,763 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500 Index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3,206,361 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Virtus KAR International Small-Mid Cap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290,650 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William Blair Emerging Markets Small Cap Growth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524,910 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19,357,704 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Balanced Managed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American Century Mid Cap Value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580,665 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American Funds The Growth Fund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2,809,642 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American Funds Euro Pacific Growth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1,610,131 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AQR Emerging Multi-Style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499,355 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Congress Mid Cap Growth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572,518 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DFA Emerging Markets Small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467,182 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DFA US Targeted Value Portfolio</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230,315 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Dodge and Cox International Stock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1,605,431 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Dodge and Cox Stock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2,817,681 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DoubleLine Core Fixed Income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11,658,325 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Federated Hermes Ultra Short Bond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439,844 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Stone Ridge High Yield Reinsurance Risk Premium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880,568 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Emerging Markets Bond Fund Admiral Shares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733,633 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Small Cap Index Admiral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229,188 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Short Term Corporate Bond Index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439,158 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500 Index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2,807,539 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Virtus KAR International Small-Mid Cap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264,130 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William Blair Emerging Markets Small Cap Growth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469,072 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Cash</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1,485 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29,115,862 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06120"/>
                <wp:effectExtent l="0" t="0" r="0" b="0"/>
                <wp:wrapNone/>
                <wp:docPr id="16" name="Frame15"/>
                <a:graphic xmlns:a="http://schemas.openxmlformats.org/drawingml/2006/main">
                  <a:graphicData uri="http://schemas.microsoft.com/office/word/2010/wordprocessingShape">
                    <wps:wsp>
                      <wps:cNvSpPr txBox="1"/>
                      <wps:spPr>
                        <a:xfrm>
                          <a:off x="0" y="0"/>
                          <a:ext cx="6480175" cy="706120"/>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See accompanying Report of Independent Registered Public Accounting Firm</w:t>
                            </w:r>
                          </w:p>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See accompanying Report of Independent Registered Public Accounting Firm</w:t>
                      </w:r>
                    </w:p>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13</w:t>
                      </w:r>
                    </w:p>
                  </w:txbxContent>
                </v:textbox>
                <w10:wrap type="none"/>
              </v:rect>
            </w:pict>
          </mc:Fallback>
        </mc:AlternateContent>
      </w:r>
    </w:p>
    <w:p>
      <w:pPr>
        <w:pStyle w:val="TextBody"/>
        <w:bidi w:val="0"/>
        <w:spacing w:lineRule="auto" w:line="288" w:before="0" w:after="0"/>
        <w:jc w:val="left"/>
        <w:rPr/>
      </w:pPr>
      <w:hyperlink w:anchor="ica7c2eea901944a881e622da056d841d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83"/>
        <w:jc w:val="center"/>
        <w:rPr>
          <w:rFonts w:ascii="Proxima Nova;sans-serif" w:hAnsi="Proxima Nova;sans-serif"/>
          <w:b/>
          <w:color w:val="000000"/>
          <w:sz w:val="20"/>
        </w:rPr>
      </w:pPr>
      <w:r>
        <w:rPr>
          <w:rFonts w:ascii="Proxima Nova;sans-serif" w:hAnsi="Proxima Nova;sans-serif"/>
          <w:b/>
          <w:color w:val="000000"/>
          <w:sz w:val="20"/>
        </w:rPr>
        <w:t>FIRST BUSEY CORPORATION PROFIT SHARING PLAN AND TRUST</w:t>
      </w:r>
    </w:p>
    <w:p>
      <w:pPr>
        <w:pStyle w:val="TextBody"/>
        <w:bidi w:val="0"/>
        <w:spacing w:lineRule="auto" w:line="288" w:before="0" w:after="0"/>
        <w:jc w:val="center"/>
        <w:rPr/>
      </w:pPr>
      <w:r>
        <w:rPr>
          <w:rFonts w:ascii="Proxima Nova;sans-serif" w:hAnsi="Proxima Nova;sans-serif"/>
          <w:b/>
          <w:color w:val="000000"/>
          <w:sz w:val="20"/>
        </w:rPr>
        <w:t>FORM 5500, SCHEDULE H, LINE 4I</w:t>
      </w:r>
      <w:r>
        <w:rPr>
          <w:color w:val="000000"/>
        </w:rPr>
        <w:t>—</w:t>
      </w:r>
      <w:r>
        <w:rPr>
          <w:rFonts w:ascii="Proxima Nova;sans-serif" w:hAnsi="Proxima Nova;sans-serif"/>
          <w:b/>
          <w:color w:val="000000"/>
          <w:sz w:val="20"/>
        </w:rPr>
        <w:t>SCHEDULE OF ASSETS (HELD AT END OF YEAR)</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DECEMBER 31, 2025</w:t>
      </w:r>
    </w:p>
    <w:tbl>
      <w:tblPr>
        <w:tblW w:w="7502" w:type="dxa"/>
        <w:jc w:val="left"/>
        <w:tblInd w:w="0" w:type="dxa"/>
        <w:tblLayout w:type="fixed"/>
        <w:tblCellMar>
          <w:top w:w="28" w:type="dxa"/>
          <w:left w:w="28" w:type="dxa"/>
          <w:bottom w:w="28" w:type="dxa"/>
          <w:right w:w="28" w:type="dxa"/>
        </w:tblCellMar>
      </w:tblPr>
      <w:tblGrid>
        <w:gridCol w:w="2011"/>
        <w:gridCol w:w="1766"/>
        <w:gridCol w:w="1772"/>
        <w:gridCol w:w="109"/>
        <w:gridCol w:w="109"/>
        <w:gridCol w:w="109"/>
        <w:gridCol w:w="226"/>
        <w:gridCol w:w="1246"/>
        <w:gridCol w:w="154"/>
      </w:tblGrid>
      <w:tr>
        <w:trPr/>
        <w:tc>
          <w:tcPr>
            <w:tcW w:w="2011"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Conservative Managed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American Century Mid Cap Value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27,830 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American Funds The Growth Fund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125,403 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American Funds Euro Pacific Growth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70,260 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AQR Emerging Multi-Style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Congress Mid Cap Growth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27,549 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DFA Emerging Markets Small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22,510 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DFA U.S. Targeted Value Portfolio</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8,275 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Dodge and Cox International Stock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70,225 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Dodge and Cox Stock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126,030 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DoubleLine Core Fixed Income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1,907,349 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Federated Hermes Ultra Short Bond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112,840 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Stone Ridge High Yield Reinsurance Risk Premium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56,291 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Emerging Markets Bond Fund Admiral Shares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28,088 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Short Term Corporate Bond Index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42,197 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Small Cap Index Admiral</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8,291 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500 Index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128,590 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William Blair Emerging Markets Small Cap Growth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19,877 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4" w:space="0" w:color="000000"/>
            </w:tcBorders>
            <w:shd w:fill="E0E7ED"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2,804,482 </w:t>
            </w:r>
          </w:p>
        </w:tc>
        <w:tc>
          <w:tcPr>
            <w:tcW w:w="154" w:type="dxa"/>
            <w:tcBorders>
              <w:top w:val="single" w:sz="4" w:space="0" w:color="000000"/>
            </w:tcBorders>
            <w:shd w:fill="E0E7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Growth Managed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American Century Mid Cap Value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488,524 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American Funds The Growth Fund of America</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2,561,125 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American Funds Euro Pacific Growth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1,568,899 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AQR Emerging Multi-Style II</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452,968 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Congress Mid Cap Growth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486,046 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DFA Emerging Markets Small Cap</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434,066 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DFA US Targeted Value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233,585 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Dodge and Cox International Stock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1,566,723 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Dodge and Cox Stock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2,561,307 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DoubleLine Core Fixed Income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3,911,032 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Stone Ridge High Yield Reinsurance Risk Premium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788,161 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Emerging Markets Bond Fund Admiral Shares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630,379 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Short Term Corporate Bond Index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394,103 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Small Cap Index Admiral</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233,408 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500 Index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2,559,495 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Virtus KAR International Small-Mid Cap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275,371 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William Blair Emerging Markets Small Cap Growth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432,394 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Cash</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2,376 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19,579,962 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06120"/>
                <wp:effectExtent l="0" t="0" r="0" b="0"/>
                <wp:wrapNone/>
                <wp:docPr id="17" name="Frame16"/>
                <a:graphic xmlns:a="http://schemas.openxmlformats.org/drawingml/2006/main">
                  <a:graphicData uri="http://schemas.microsoft.com/office/word/2010/wordprocessingShape">
                    <wps:wsp>
                      <wps:cNvSpPr txBox="1"/>
                      <wps:spPr>
                        <a:xfrm>
                          <a:off x="0" y="0"/>
                          <a:ext cx="6480175" cy="706120"/>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See accompanying Report of Independent Registered Public Accounting Firm</w:t>
                            </w:r>
                          </w:p>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See accompanying Report of Independent Registered Public Accounting Firm</w:t>
                      </w:r>
                    </w:p>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14</w:t>
                      </w:r>
                    </w:p>
                  </w:txbxContent>
                </v:textbox>
                <w10:wrap type="none"/>
              </v:rect>
            </w:pict>
          </mc:Fallback>
        </mc:AlternateContent>
      </w:r>
    </w:p>
    <w:p>
      <w:pPr>
        <w:pStyle w:val="TextBody"/>
        <w:bidi w:val="0"/>
        <w:spacing w:lineRule="auto" w:line="288" w:before="0" w:after="0"/>
        <w:jc w:val="left"/>
        <w:rPr/>
      </w:pPr>
      <w:hyperlink w:anchor="ica7c2eea901944a881e622da056d841d_7">
        <w:r>
          <w:rPr>
            <w:rStyle w:val="InternetLink"/>
            <w:rFonts w:ascii="Proxima Nova;sans-serif" w:hAnsi="Proxima Nova;sans-serif"/>
            <w:b w:val="false"/>
            <w:color w:val="0000FF"/>
            <w:sz w:val="16"/>
            <w:u w:val="single"/>
          </w:rPr>
          <w:t>TABLE OF CONTENTS</w:t>
        </w:r>
      </w:hyperlink>
    </w:p>
    <w:p>
      <w:pPr>
        <w:pStyle w:val="TextBody"/>
        <w:bidi w:val="0"/>
        <w:spacing w:lineRule="auto" w:line="288" w:before="200" w:after="283"/>
        <w:jc w:val="center"/>
        <w:rPr>
          <w:rFonts w:ascii="Proxima Nova;sans-serif" w:hAnsi="Proxima Nova;sans-serif"/>
          <w:b/>
          <w:color w:val="000000"/>
          <w:sz w:val="20"/>
        </w:rPr>
      </w:pPr>
      <w:r>
        <w:rPr>
          <w:rFonts w:ascii="Proxima Nova;sans-serif" w:hAnsi="Proxima Nova;sans-serif"/>
          <w:b/>
          <w:color w:val="000000"/>
          <w:sz w:val="20"/>
        </w:rPr>
        <w:t>FIRST BUSEY CORPORATION PROFIT SHARING PLAN AND TRUST</w:t>
      </w:r>
    </w:p>
    <w:p>
      <w:pPr>
        <w:pStyle w:val="TextBody"/>
        <w:bidi w:val="0"/>
        <w:spacing w:lineRule="auto" w:line="288" w:before="0" w:after="0"/>
        <w:jc w:val="center"/>
        <w:rPr/>
      </w:pPr>
      <w:r>
        <w:rPr>
          <w:rFonts w:ascii="Proxima Nova;sans-serif" w:hAnsi="Proxima Nova;sans-serif"/>
          <w:b/>
          <w:color w:val="000000"/>
          <w:sz w:val="20"/>
        </w:rPr>
        <w:t>FORM 5500, SCHEDULE H, LINE 4I</w:t>
      </w:r>
      <w:r>
        <w:rPr>
          <w:color w:val="000000"/>
        </w:rPr>
        <w:t>—</w:t>
      </w:r>
      <w:r>
        <w:rPr>
          <w:rFonts w:ascii="Proxima Nova;sans-serif" w:hAnsi="Proxima Nova;sans-serif"/>
          <w:b/>
          <w:color w:val="000000"/>
          <w:sz w:val="20"/>
        </w:rPr>
        <w:t>SCHEDULE OF ASSETS (HELD AT END OF YEAR)</w:t>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DECEMBER 31, 2025</w:t>
      </w:r>
    </w:p>
    <w:tbl>
      <w:tblPr>
        <w:tblW w:w="7503" w:type="dxa"/>
        <w:jc w:val="left"/>
        <w:tblInd w:w="0" w:type="dxa"/>
        <w:tblLayout w:type="fixed"/>
        <w:tblCellMar>
          <w:top w:w="28" w:type="dxa"/>
          <w:left w:w="28" w:type="dxa"/>
          <w:bottom w:w="28" w:type="dxa"/>
          <w:right w:w="28" w:type="dxa"/>
        </w:tblCellMar>
      </w:tblPr>
      <w:tblGrid>
        <w:gridCol w:w="2009"/>
        <w:gridCol w:w="1768"/>
        <w:gridCol w:w="1773"/>
        <w:gridCol w:w="109"/>
        <w:gridCol w:w="109"/>
        <w:gridCol w:w="109"/>
        <w:gridCol w:w="226"/>
        <w:gridCol w:w="1246"/>
        <w:gridCol w:w="154"/>
      </w:tblGrid>
      <w:tr>
        <w:trPr/>
        <w:tc>
          <w:tcPr>
            <w:tcW w:w="20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Moderate Managed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American Century Mid Cap Value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182,412 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American Funds The Growth Fund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946,327 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American Funds Euro Pacific Growth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551,830 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AQR Emerging Multi-Style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160,093 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Congress Mid Cap Growth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179,802 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DFA Emerging Markets Small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158,583 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DFA US Targeted Value Portfolio</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72,351 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Dodge and Cox International Stock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550,220 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Dodge and Cox Stock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948,965 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DoubleLine Core Fixed Income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6,102,076 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Federated Hermes Ultra Short Bond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369,875 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Stone Ridge High Yield Reinsurance Risk Premium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294,296 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Emerging Markets Bond Fund Admiral Shares</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245,187 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Short Term Corporate Bond Index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147,156 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Small Cap Index Admiral</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71,823 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Vanguard 500 Index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945,617 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Virtus KAR International Small-Mid Cap Fund</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110,273 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William Blair Emerging Markets Small Cap Growth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159,776 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E0E7ED"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Cash</w:t>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E0E7ED" w:val="clear"/>
            <w:tcMar>
              <w:top w:w="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73 </w:t>
            </w:r>
          </w:p>
        </w:tc>
        <w:tc>
          <w:tcPr>
            <w:tcW w:w="154" w:type="dxa"/>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12,196,735 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E0E7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TOTAL MANAGED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w:t>
            </w:r>
          </w:p>
        </w:tc>
        <w:tc>
          <w:tcPr>
            <w:tcW w:w="12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Proxima Nova;sans-serif" w:hAnsi="Proxima Nova;sans-serif"/>
                <w:b w:val="false"/>
                <w:color w:val="000000"/>
                <w:sz w:val="20"/>
              </w:rPr>
            </w:pPr>
            <w:r>
              <w:rPr>
                <w:rFonts w:ascii="Proxima Nova;sans-serif" w:hAnsi="Proxima Nova;sans-serif"/>
                <w:b w:val="false"/>
                <w:color w:val="000000"/>
                <w:sz w:val="20"/>
              </w:rPr>
              <w:t>83,054,745 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06120"/>
                <wp:effectExtent l="0" t="0" r="0" b="0"/>
                <wp:wrapNone/>
                <wp:docPr id="18" name="Frame17"/>
                <a:graphic xmlns:a="http://schemas.openxmlformats.org/drawingml/2006/main">
                  <a:graphicData uri="http://schemas.microsoft.com/office/word/2010/wordprocessingShape">
                    <wps:wsp>
                      <wps:cNvSpPr txBox="1"/>
                      <wps:spPr>
                        <a:xfrm>
                          <a:off x="0" y="0"/>
                          <a:ext cx="6480175" cy="706120"/>
                        </a:xfrm>
                        <a:prstGeom prst="rect"/>
                        <a:solidFill>
                          <a:srgbClr val="FFFFFF"/>
                        </a:solidFill>
                      </wps:spPr>
                      <wps:txb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See accompanying Report of Independent Registered Public Accounting Firm</w:t>
                            </w:r>
                          </w:p>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Proxima Nova;sans-serif" w:hAnsi="Proxima Nova;sans-serif"/>
                          <w:b w:val="false"/>
                          <w:color w:val="000000"/>
                          <w:sz w:val="20"/>
                        </w:rPr>
                      </w:pPr>
                      <w:r>
                        <w:rPr>
                          <w:rFonts w:ascii="Proxima Nova;sans-serif" w:hAnsi="Proxima Nova;sans-serif"/>
                          <w:b w:val="false"/>
                          <w:color w:val="000000"/>
                          <w:sz w:val="20"/>
                        </w:rPr>
                        <w:t>See accompanying Report of Independent Registered Public Accounting Firm</w:t>
                      </w:r>
                    </w:p>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15</w:t>
                      </w:r>
                    </w:p>
                  </w:txbxContent>
                </v:textbox>
                <w10:wrap type="none"/>
              </v:rect>
            </w:pict>
          </mc:Fallback>
        </mc:AlternateContent>
      </w:r>
    </w:p>
    <w:p>
      <w:pPr>
        <w:pStyle w:val="TextBody"/>
        <w:bidi w:val="0"/>
        <w:spacing w:lineRule="auto" w:line="288" w:before="0" w:after="0"/>
        <w:jc w:val="left"/>
        <w:rPr/>
      </w:pPr>
      <w:hyperlink w:anchor="ica7c2eea901944a881e622da056d841d_7">
        <w:r>
          <w:rPr>
            <w:rStyle w:val="InternetLink"/>
            <w:rFonts w:ascii="Proxima Nova;sans-serif" w:hAnsi="Proxima Nova;sans-serif"/>
            <w:b w:val="false"/>
            <w:color w:val="0000FF"/>
            <w:sz w:val="16"/>
            <w:u w:val="single"/>
          </w:rPr>
          <w:t>TABLE OF CONTENTS</w:t>
        </w:r>
      </w:hyperlink>
    </w:p>
    <w:p>
      <w:pPr>
        <w:pStyle w:val="TextBody"/>
        <w:bidi w:val="0"/>
        <w:spacing w:before="200" w:after="200"/>
        <w:jc w:val="center"/>
        <w:rPr/>
      </w:pPr>
      <w:r>
        <w:rPr/>
      </w:r>
    </w:p>
    <w:p>
      <w:pPr>
        <w:pStyle w:val="TextBody"/>
        <w:bidi w:val="0"/>
        <w:spacing w:lineRule="auto" w:line="288" w:before="0" w:after="0"/>
        <w:jc w:val="center"/>
        <w:rPr>
          <w:rFonts w:ascii="Proxima Nova;sans-serif" w:hAnsi="Proxima Nova;sans-serif"/>
          <w:b/>
          <w:color w:val="000000"/>
          <w:sz w:val="20"/>
        </w:rPr>
      </w:pPr>
      <w:r>
        <w:rPr>
          <w:rFonts w:ascii="Proxima Nova;sans-serif" w:hAnsi="Proxima Nova;sans-serif"/>
          <w:b/>
          <w:color w:val="000000"/>
          <w:sz w:val="20"/>
        </w:rPr>
        <w:t>SIGNATURE</w:t>
      </w:r>
    </w:p>
    <w:p>
      <w:pPr>
        <w:pStyle w:val="TextBody"/>
        <w:bidi w:val="0"/>
        <w:spacing w:lineRule="auto" w:line="288" w:before="200" w:after="200"/>
        <w:jc w:val="both"/>
        <w:rPr>
          <w:rFonts w:ascii="Proxima Nova;sans-serif" w:hAnsi="Proxima Nova;sans-serif"/>
          <w:b w:val="false"/>
          <w:color w:val="000000"/>
          <w:sz w:val="20"/>
          <w:shd w:fill="FFFFFF" w:val="clear"/>
        </w:rPr>
      </w:pPr>
      <w:r>
        <w:rPr>
          <w:rFonts w:ascii="Proxima Nova;sans-serif" w:hAnsi="Proxima Nova;sans-serif"/>
          <w:b w:val="false"/>
          <w:color w:val="000000"/>
          <w:sz w:val="20"/>
          <w:shd w:fill="FFFFFF" w:val="clear"/>
        </w:rPr>
        <w:t>Pursuant to the requirements of the Securities Exchange Act of 1934, the trustees (or other persons who administer the employee benefit plan) have duly caused this annual report to be signed on its behalf by the undersigned hereunto duly authorized.</w:t>
      </w:r>
    </w:p>
    <w:tbl>
      <w:tblPr>
        <w:tblW w:w="9160" w:type="dxa"/>
        <w:jc w:val="left"/>
        <w:tblInd w:w="0" w:type="dxa"/>
        <w:tblLayout w:type="fixed"/>
        <w:tblCellMar>
          <w:top w:w="28" w:type="dxa"/>
          <w:left w:w="28" w:type="dxa"/>
          <w:bottom w:w="28" w:type="dxa"/>
          <w:right w:w="28" w:type="dxa"/>
        </w:tblCellMar>
      </w:tblPr>
      <w:tblGrid>
        <w:gridCol w:w="233"/>
        <w:gridCol w:w="205"/>
        <w:gridCol w:w="207"/>
        <w:gridCol w:w="474"/>
        <w:gridCol w:w="474"/>
        <w:gridCol w:w="476"/>
        <w:gridCol w:w="109"/>
        <w:gridCol w:w="109"/>
        <w:gridCol w:w="109"/>
        <w:gridCol w:w="248"/>
        <w:gridCol w:w="248"/>
        <w:gridCol w:w="253"/>
        <w:gridCol w:w="935"/>
        <w:gridCol w:w="935"/>
        <w:gridCol w:w="935"/>
        <w:gridCol w:w="935"/>
        <w:gridCol w:w="935"/>
        <w:gridCol w:w="1340"/>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20"/>
              </w:rPr>
            </w:pPr>
            <w:r>
              <w:rPr>
                <w:rFonts w:ascii="Proxima Nova;sans-serif" w:hAnsi="Proxima Nova;sans-serif"/>
                <w:b/>
                <w:color w:val="000000"/>
                <w:sz w:val="20"/>
              </w:rPr>
              <w:t>First Busey Corporation Profit Sharing Plan and Trust</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Proxima Nova;sans-serif" w:hAnsi="Proxima Nova;sans-serif"/>
                <w:b w:val="false"/>
                <w:color w:val="000000"/>
                <w:sz w:val="20"/>
              </w:rPr>
            </w:pPr>
            <w:r>
              <w:rPr>
                <w:rFonts w:ascii="Proxima Nova;sans-serif" w:hAnsi="Proxima Nova;sans-serif"/>
                <w:b w:val="false"/>
                <w:color w:val="000000"/>
                <w:sz w:val="20"/>
              </w:rPr>
              <w:t>June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By:</w:t>
            </w:r>
          </w:p>
        </w:tc>
        <w:tc>
          <w:tcPr>
            <w:tcW w:w="2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/s/ HOPE MCALLISTER</w:t>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Name:</w:t>
            </w:r>
          </w:p>
        </w:tc>
        <w:tc>
          <w:tcPr>
            <w:tcW w:w="28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Hope McAllister</w:t>
            </w:r>
          </w:p>
        </w:tc>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Title:</w:t>
            </w:r>
          </w:p>
        </w:tc>
        <w:tc>
          <w:tcPr>
            <w:tcW w:w="6015"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Executive Vice President, Chief Human Resources Officer</w:t>
            </w:r>
          </w:p>
        </w:tc>
      </w:tr>
    </w:tbl>
    <w:p>
      <w:pPr>
        <w:pStyle w:val="TextBody"/>
        <w:bidi w:val="0"/>
        <w:spacing w:before="20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4955"/>
                <wp:effectExtent l="0" t="0" r="0" b="0"/>
                <wp:wrapNone/>
                <wp:docPr id="19" name="Frame18"/>
                <a:graphic xmlns:a="http://schemas.openxmlformats.org/drawingml/2006/main">
                  <a:graphicData uri="http://schemas.microsoft.com/office/word/2010/wordprocessingShape">
                    <wps:wsp>
                      <wps:cNvSpPr txBox="1"/>
                      <wps:spPr>
                        <a:xfrm>
                          <a:off x="0" y="0"/>
                          <a:ext cx="6480175" cy="274955"/>
                        </a:xfrm>
                        <a:prstGeom prst="rect"/>
                        <a:solidFill>
                          <a:srgbClr val="FFFFFF"/>
                        </a:solidFill>
                      </wps:spPr>
                      <wps:txb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righ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16</w:t>
                      </w:r>
                    </w:p>
                  </w:txbxContent>
                </v:textbox>
                <w10:wrap type="none"/>
              </v:rect>
            </w:pict>
          </mc:Fallback>
        </mc:AlternateContent>
      </w:r>
    </w:p>
    <w:p>
      <w:pPr>
        <w:pStyle w:val="TextBody"/>
        <w:bidi w:val="0"/>
        <w:spacing w:lineRule="auto" w:line="288" w:before="0" w:after="0"/>
        <w:jc w:val="left"/>
        <w:rPr/>
      </w:pPr>
      <w:hyperlink w:anchor="ica7c2eea901944a881e622da056d841d_7">
        <w:r>
          <w:rPr>
            <w:rStyle w:val="InternetLink"/>
            <w:rFonts w:ascii="Proxima Nova;sans-serif" w:hAnsi="Proxima Nova;sans-serif"/>
            <w:b w:val="false"/>
            <w:color w:val="0000FF"/>
            <w:sz w:val="16"/>
            <w:u w:val="single"/>
          </w:rPr>
          <w:t>TABLE OF CONTENTS</w:t>
        </w:r>
      </w:hyperlink>
    </w:p>
    <w:p>
      <w:pPr>
        <w:pStyle w:val="TextBody"/>
        <w:bidi w:val="0"/>
        <w:spacing w:before="200" w:after="200"/>
        <w:jc w:val="center"/>
        <w:rPr/>
      </w:pPr>
      <w:r>
        <w:rPr/>
      </w:r>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EXHIBIT INDEX</w:t>
      </w:r>
    </w:p>
    <w:tbl>
      <w:tblPr>
        <w:tblW w:w="3448"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667"/>
        <w:gridCol w:w="667"/>
        <w:gridCol w:w="94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color w:val="000000"/>
                <w:sz w:val="16"/>
              </w:rPr>
            </w:pPr>
            <w:r>
              <w:rPr>
                <w:rFonts w:ascii="Proxima Nova;sans-serif" w:hAnsi="Proxima Nova;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Proxima Nova;sans-serif" w:hAnsi="Proxima Nova;sans-serif"/>
                <w:b/>
                <w:color w:val="000000"/>
                <w:sz w:val="16"/>
              </w:rPr>
            </w:pPr>
            <w:r>
              <w:rPr>
                <w:rFonts w:ascii="Proxima Nova;sans-serif" w:hAnsi="Proxima Nova;sans-serif"/>
                <w:b/>
                <w:color w:val="000000"/>
                <w:sz w:val="16"/>
              </w:rPr>
              <w:t>Description of Exhibit</w:t>
            </w:r>
          </w:p>
        </w:tc>
      </w:tr>
      <w:tr>
        <w:trPr/>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Proxima Nova;sans-serif" w:hAnsi="Proxima Nova;sans-serif"/>
                <w:b w:val="false"/>
                <w:color w:val="000000"/>
                <w:sz w:val="20"/>
              </w:rPr>
            </w:pPr>
            <w:r>
              <w:rPr>
                <w:rFonts w:ascii="Proxima Nova;sans-serif" w:hAnsi="Proxima Nova;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buse_20251231x11-kex231.htm">
              <w:r>
                <w:rPr>
                  <w:rStyle w:val="InternetLink"/>
                  <w:rFonts w:ascii="Proxima Nova;sans-serif" w:hAnsi="Proxima Nova;sans-serif"/>
                  <w:b w:val="false"/>
                  <w:color w:val="0000FF"/>
                  <w:sz w:val="20"/>
                  <w:u w:val="single"/>
                </w:rPr>
                <w:t>Consent of FGMK, LLC</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Proxima Nova;sans-serif" w:hAnsi="Proxima Nova;sans-serif"/>
          <w:b/>
          <w:color w:val="000000"/>
          <w:sz w:val="20"/>
        </w:rPr>
      </w:pPr>
      <w:r>
        <w:rPr>
          <w:rFonts w:ascii="Proxima Nova;sans-serif" w:hAnsi="Proxima Nova;sans-serif"/>
          <w:b/>
          <w:color w:val="000000"/>
          <w:sz w:val="20"/>
        </w:rPr>
        <w:t>EXHIBIT 23.1</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20"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09.05pt;mso-position-horizontal:left;mso-position-horizontal-relative:text">
                <v:textbox>
                  <w:txbxContent>
                    <w:p>
                      <w:pPr>
                        <w:pStyle w:val="TextBody"/>
                        <w:bidi w:val="0"/>
                        <w:spacing w:lineRule="auto" w:line="288" w:before="0" w:after="0"/>
                        <w:jc w:val="left"/>
                        <w:rPr/>
                      </w:pPr>
                      <w:r>
                        <w:rPr>
                          <w:rFonts w:ascii="Proxima Nova;sans-serif" w:hAnsi="Proxima Nova;sans-serif"/>
                          <w:b w:val="false"/>
                          <w:color w:val="808285"/>
                          <w:sz w:val="20"/>
                        </w:rPr>
                        <w:t xml:space="preserve">First Busey Corporation Profit Sharing Plan and Trust | 2025 — </w:t>
                      </w:r>
                      <w:r>
                        <w:rPr>
                          <w:rFonts w:ascii="Proxima Nova;sans-serif" w:hAnsi="Proxima Nova;sans-serif"/>
                          <w:b/>
                          <w:color w:val="376484"/>
                          <w:sz w:val="20"/>
                        </w:rPr>
                        <w:t>17</w:t>
                      </w:r>
                    </w:p>
                  </w:txbxContent>
                </v:textbox>
                <w10:wrap type="none"/>
              </v:rect>
            </w:pict>
          </mc:Fallback>
        </mc:AlternateContent>
      </w:r>
    </w:p>
    <w:p>
      <w:pPr>
        <w:pStyle w:val="TextBody"/>
        <w:bidi w:val="0"/>
        <w:spacing w:lineRule="auto" w:line="288" w:before="0" w:after="200"/>
        <w:jc w:val="center"/>
        <w:rPr>
          <w:rFonts w:ascii="Proxima Nova;sans-serif" w:hAnsi="Proxima Nova;sans-serif"/>
          <w:b/>
          <w:color w:val="000000"/>
          <w:sz w:val="20"/>
        </w:rPr>
      </w:pPr>
      <w:r>
        <w:rPr>
          <w:rFonts w:ascii="Proxima Nova;sans-serif" w:hAnsi="Proxima Nova;sans-serif"/>
          <w:b/>
          <w:color w:val="000000"/>
          <w:sz w:val="20"/>
        </w:rPr>
        <w:t>CONSENT OF INDEPENDENT REGISTERED PUBLIC ACCOUNTING FIRM</w:t>
      </w:r>
    </w:p>
    <w:p>
      <w:pPr>
        <w:pStyle w:val="TextBody"/>
        <w:bidi w:val="0"/>
        <w:spacing w:before="200" w:after="200"/>
        <w:jc w:val="both"/>
        <w:rPr/>
      </w:pPr>
      <w:r>
        <w:rPr/>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We consent to the incorporation by reference in Registration Statement No. 33-30095 of our report dated June 29, 2026, appearing in this Annual Report on Form 11-K of the First Busey Corporation Profit Sharing Plan and Trust for the year ended December 31, 2025.</w:t>
      </w:r>
    </w:p>
    <w:p>
      <w:pPr>
        <w:pStyle w:val="TextBody"/>
        <w:bidi w:val="0"/>
        <w:spacing w:lineRule="auto" w:line="288" w:before="200" w:after="100"/>
        <w:jc w:val="both"/>
        <w:rPr>
          <w:rFonts w:ascii="Proxima Nova;sans-serif" w:hAnsi="Proxima Nova;sans-serif"/>
          <w:b w:val="false"/>
          <w:color w:val="000000"/>
          <w:sz w:val="20"/>
        </w:rPr>
      </w:pPr>
      <w:r>
        <w:rPr>
          <w:rFonts w:ascii="Proxima Nova;sans-serif" w:hAnsi="Proxima Nova;sans-serif"/>
          <w:b w:val="false"/>
          <w:color w:val="000000"/>
          <w:sz w:val="20"/>
        </w:rPr>
        <w:t>/s/ FGMK, LLC</w:t>
      </w:r>
    </w:p>
    <w:p>
      <w:pPr>
        <w:pStyle w:val="TextBody"/>
        <w:bidi w:val="0"/>
        <w:spacing w:lineRule="auto" w:line="288" w:before="0" w:after="0"/>
        <w:jc w:val="both"/>
        <w:rPr>
          <w:rFonts w:ascii="Proxima Nova;sans-serif" w:hAnsi="Proxima Nova;sans-serif"/>
          <w:b w:val="false"/>
          <w:color w:val="000000"/>
          <w:sz w:val="20"/>
        </w:rPr>
      </w:pPr>
      <w:r>
        <w:rPr>
          <w:rFonts w:ascii="Proxima Nova;sans-serif" w:hAnsi="Proxima Nova;sans-serif"/>
          <w:b w:val="false"/>
          <w:color w:val="000000"/>
          <w:sz w:val="20"/>
        </w:rPr>
        <w:t xml:space="preserve">Bannockburn, Illinois </w:t>
      </w:r>
    </w:p>
    <w:p>
      <w:pPr>
        <w:pStyle w:val="TextBody"/>
        <w:bidi w:val="0"/>
        <w:spacing w:lineRule="auto" w:line="288" w:before="0" w:after="0"/>
        <w:jc w:val="both"/>
        <w:rPr>
          <w:rFonts w:ascii="Proxima Nova;sans-serif" w:hAnsi="Proxima Nova;sans-serif"/>
          <w:b w:val="false"/>
          <w:color w:val="000000"/>
          <w:sz w:val="20"/>
        </w:rPr>
      </w:pPr>
      <w:r>
        <w:rPr>
          <w:rFonts w:ascii="Proxima Nova;sans-serif" w:hAnsi="Proxima Nova;sans-serif"/>
          <w:b w:val="false"/>
          <w:color w:val="000000"/>
          <w:sz w:val="20"/>
        </w:rPr>
        <w:t>June 29, 2026</w:t>
      </w:r>
    </w:p>
    <w:p>
      <w:pPr>
        <w:pStyle w:val="TextBody"/>
        <w:bidi w:val="0"/>
        <w:spacing w:before="0" w:after="0"/>
        <w:jc w:val="both"/>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02260"/>
                <wp:effectExtent l="0" t="0" r="0" b="0"/>
                <wp:wrapNone/>
                <wp:docPr id="21" name="Frame20"/>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Proxima Nova">
    <w:altName w:val="sans-serif"/>
    <w:charset w:val="01"/>
    <w:family w:val="auto"/>
    <w:pitch w:val="default"/>
  </w:font>
  <w:font w:name="Verdana">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5154</Words>
  <Characters>28798</Characters>
  <CharactersWithSpaces>33407</CharactersWithSpaces>
  <Paragraphs>809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