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186055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Date of Report (Date of earliest event reported): October 27, 2026</w:t>
      </w:r>
    </w:p>
    <w:p>
      <w:pPr>
        <w:ind w:left="4240"/>
        <w:spacing w:after="0"/>
        <w:rPr>
          <w:sz w:val="20"/>
          <w:szCs w:val="20"/>
          <w:color w:val="auto"/>
        </w:rPr>
      </w:pPr>
      <w:r>
        <w:rPr>
          <w:rFonts w:ascii="Arial" w:cs="Arial" w:eastAsia="Arial" w:hAnsi="Arial"/>
          <w:sz w:val="12"/>
          <w:szCs w:val="12"/>
          <w:color w:val="auto"/>
        </w:rPr>
        <w:t>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73025</wp:posOffset>
            </wp:positionV>
            <wp:extent cx="83439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4390" cy="27432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First Busey Corporation</w:t>
      </w:r>
    </w:p>
    <w:p>
      <w:pPr>
        <w:jc w:val="center"/>
        <w:ind w:right="20"/>
        <w:spacing w:after="0" w:line="222" w:lineRule="auto"/>
        <w:rPr>
          <w:sz w:val="20"/>
          <w:szCs w:val="20"/>
          <w:color w:val="auto"/>
        </w:rPr>
      </w:pPr>
      <w:r>
        <w:rPr>
          <w:rFonts w:ascii="Arial" w:cs="Arial" w:eastAsia="Arial" w:hAnsi="Arial"/>
          <w:sz w:val="12"/>
          <w:szCs w:val="12"/>
          <w:color w:val="auto"/>
        </w:rPr>
        <w:t>(Exact name of Registrant as specified in its charter)</w:t>
      </w:r>
    </w:p>
    <w:p>
      <w:pPr>
        <w:ind w:left="4240"/>
        <w:spacing w:after="0"/>
        <w:rPr>
          <w:sz w:val="20"/>
          <w:szCs w:val="20"/>
          <w:color w:val="auto"/>
        </w:rPr>
      </w:pPr>
      <w:r>
        <w:rPr>
          <w:rFonts w:ascii="Arial" w:cs="Arial" w:eastAsia="Arial" w:hAnsi="Arial"/>
          <w:sz w:val="12"/>
          <w:szCs w:val="12"/>
          <w:color w:val="auto"/>
        </w:rPr>
        <w:t>__________________________________________</w:t>
      </w:r>
    </w:p>
    <w:p>
      <w:pPr>
        <w:sectPr>
          <w:pgSz w:w="11900" w:h="16838" w:orient="portrait"/>
          <w:cols w:equalWidth="0" w:num="1">
            <w:col w:w="11300"/>
          </w:cols>
          <w:pgMar w:left="300" w:top="1025" w:right="299" w:bottom="1440" w:gutter="0" w:footer="0" w:header="0"/>
        </w:sectPr>
      </w:pPr>
    </w:p>
    <w:p>
      <w:pPr>
        <w:spacing w:after="0" w:line="138" w:lineRule="exact"/>
        <w:rPr>
          <w:sz w:val="24"/>
          <w:szCs w:val="24"/>
          <w:color w:val="auto"/>
        </w:rPr>
      </w:pPr>
    </w:p>
    <w:p>
      <w:pPr>
        <w:ind w:left="1660"/>
        <w:spacing w:after="0"/>
        <w:rPr>
          <w:sz w:val="20"/>
          <w:szCs w:val="20"/>
          <w:color w:val="auto"/>
        </w:rPr>
      </w:pPr>
      <w:r>
        <w:rPr>
          <w:rFonts w:ascii="Arial" w:cs="Arial" w:eastAsia="Arial" w:hAnsi="Arial"/>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440"/>
        <w:spacing w:after="0"/>
        <w:rPr>
          <w:sz w:val="20"/>
          <w:szCs w:val="20"/>
          <w:color w:val="auto"/>
        </w:rPr>
      </w:pPr>
      <w:r>
        <w:rPr>
          <w:rFonts w:ascii="Arial" w:cs="Arial" w:eastAsia="Arial" w:hAnsi="Arial"/>
          <w:sz w:val="12"/>
          <w:szCs w:val="12"/>
          <w:b w:val="1"/>
          <w:bCs w:val="1"/>
          <w:color w:val="auto"/>
        </w:rPr>
        <w:t>001-42677</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37-1078406</w:t>
      </w:r>
    </w:p>
    <w:p>
      <w:pPr>
        <w:spacing w:after="0" w:line="39" w:lineRule="exact"/>
        <w:rPr>
          <w:sz w:val="24"/>
          <w:szCs w:val="24"/>
          <w:color w:val="auto"/>
        </w:rPr>
      </w:pPr>
    </w:p>
    <w:p>
      <w:pPr>
        <w:sectPr>
          <w:pgSz w:w="11900" w:h="16838" w:orient="portrait"/>
          <w:cols w:equalWidth="0" w:num="3">
            <w:col w:w="4640" w:space="720"/>
            <w:col w:w="3020" w:space="720"/>
            <w:col w:w="2200"/>
          </w:cols>
          <w:pgMar w:left="300" w:top="1025" w:right="299" w:bottom="1440" w:gutter="0" w:footer="0" w:header="0"/>
          <w:type w:val="continuous"/>
        </w:sectPr>
      </w:pPr>
    </w:p>
    <w:p>
      <w:pPr>
        <w:ind w:left="1320"/>
        <w:spacing w:after="0"/>
        <w:rPr>
          <w:sz w:val="20"/>
          <w:szCs w:val="20"/>
          <w:color w:val="auto"/>
        </w:rPr>
      </w:pPr>
      <w:r>
        <w:rPr>
          <w:rFonts w:ascii="Arial" w:cs="Arial" w:eastAsia="Arial" w:hAnsi="Arial"/>
          <w:sz w:val="10"/>
          <w:szCs w:val="10"/>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61" w:lineRule="exact"/>
        <w:rPr>
          <w:sz w:val="24"/>
          <w:szCs w:val="24"/>
          <w:color w:val="auto"/>
        </w:rPr>
      </w:pPr>
    </w:p>
    <w:p>
      <w:pPr>
        <w:sectPr>
          <w:pgSz w:w="11900" w:h="16838" w:orient="portrait"/>
          <w:cols w:equalWidth="0" w:num="3">
            <w:col w:w="4300" w:space="720"/>
            <w:col w:w="2840" w:space="720"/>
            <w:col w:w="2720"/>
          </w:cols>
          <w:pgMar w:left="300" w:top="1025" w:right="29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11440 Tomahawk Creek Parkway</w:t>
      </w:r>
    </w:p>
    <w:p>
      <w:pPr>
        <w:jc w:val="center"/>
        <w:ind w:right="-19"/>
        <w:spacing w:after="0"/>
        <w:rPr>
          <w:sz w:val="20"/>
          <w:szCs w:val="20"/>
          <w:color w:val="auto"/>
        </w:rPr>
      </w:pPr>
      <w:r>
        <w:rPr>
          <w:rFonts w:ascii="Arial" w:cs="Arial" w:eastAsia="Arial" w:hAnsi="Arial"/>
          <w:sz w:val="12"/>
          <w:szCs w:val="12"/>
          <w:b w:val="1"/>
          <w:bCs w:val="1"/>
          <w:color w:val="auto"/>
        </w:rPr>
        <w:t>Leawood, Kansas 66211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(913) 312-6800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00"/>
          </w:cols>
          <w:pgMar w:left="300" w:top="1025" w:right="299" w:bottom="1440" w:gutter="0" w:footer="0" w:header="0"/>
          <w:type w:val="continuous"/>
        </w:sectPr>
      </w:pPr>
    </w:p>
    <w:p>
      <w:pPr>
        <w:spacing w:after="0" w:line="187"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89"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89"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89"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Title of each class</w:t>
            </w:r>
          </w:p>
        </w:tc>
        <w:tc>
          <w:tcPr>
            <w:tcW w:w="8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Trading Symbol(s)</w:t>
            </w:r>
          </w:p>
        </w:tc>
        <w:tc>
          <w:tcPr>
            <w:tcW w:w="60" w:type="dxa"/>
            <w:vAlign w:val="bottom"/>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Common Stock, $0.001 par value</w:t>
            </w:r>
          </w:p>
        </w:tc>
        <w:tc>
          <w:tcPr>
            <w:tcW w:w="1120" w:type="dxa"/>
            <w:vAlign w:val="bottom"/>
            <w:gridSpan w:val="2"/>
          </w:tcPr>
          <w:p>
            <w:pPr>
              <w:jc w:val="center"/>
              <w:ind w:right="80"/>
              <w:spacing w:after="0"/>
              <w:rPr>
                <w:sz w:val="20"/>
                <w:szCs w:val="20"/>
                <w:color w:val="auto"/>
              </w:rPr>
            </w:pPr>
            <w:r>
              <w:rPr>
                <w:rFonts w:ascii="Arial" w:cs="Arial" w:eastAsia="Arial" w:hAnsi="Arial"/>
                <w:sz w:val="12"/>
                <w:szCs w:val="12"/>
                <w:color w:val="auto"/>
                <w:w w:val="97"/>
              </w:rPr>
              <w:t>BUSE</w:t>
            </w:r>
          </w:p>
        </w:tc>
        <w:tc>
          <w:tcPr>
            <w:tcW w:w="2520" w:type="dxa"/>
            <w:vAlign w:val="bottom"/>
          </w:tcPr>
          <w:p>
            <w:pPr>
              <w:jc w:val="center"/>
              <w:spacing w:after="0"/>
              <w:rPr>
                <w:sz w:val="20"/>
                <w:szCs w:val="20"/>
                <w:color w:val="auto"/>
              </w:rPr>
            </w:pPr>
            <w:r>
              <w:rPr>
                <w:rFonts w:ascii="Arial" w:cs="Arial" w:eastAsia="Arial" w:hAnsi="Arial"/>
                <w:sz w:val="12"/>
                <w:szCs w:val="12"/>
                <w:color w:val="auto"/>
                <w:w w:val="99"/>
              </w:rPr>
              <w:t>Nasdaq Stock Market LLC</w:t>
            </w:r>
          </w:p>
        </w:tc>
      </w:tr>
      <w:tr>
        <w:trPr>
          <w:trHeight w:val="124"/>
        </w:trPr>
        <w:tc>
          <w:tcPr>
            <w:tcW w:w="7660" w:type="dxa"/>
            <w:vAlign w:val="bottom"/>
            <w:gridSpan w:val="2"/>
          </w:tcPr>
          <w:p>
            <w:pPr>
              <w:spacing w:after="0" w:line="124" w:lineRule="exact"/>
              <w:rPr>
                <w:sz w:val="20"/>
                <w:szCs w:val="20"/>
                <w:color w:val="auto"/>
              </w:rPr>
            </w:pPr>
            <w:r>
              <w:rPr>
                <w:rFonts w:ascii="Arial" w:cs="Arial" w:eastAsia="Arial" w:hAnsi="Arial"/>
                <w:sz w:val="12"/>
                <w:szCs w:val="12"/>
                <w:color w:val="auto"/>
              </w:rPr>
              <w:t>Depositary Shares, each representing a 1/40th interest in a share of 8.25% Fixed-Rate Series B Non-Cumulative Perpetual Preferred Stock,</w:t>
            </w:r>
          </w:p>
        </w:tc>
        <w:tc>
          <w:tcPr>
            <w:tcW w:w="1120" w:type="dxa"/>
            <w:vAlign w:val="bottom"/>
            <w:gridSpan w:val="2"/>
          </w:tcPr>
          <w:p>
            <w:pPr>
              <w:jc w:val="center"/>
              <w:ind w:right="80"/>
              <w:spacing w:after="0" w:line="124" w:lineRule="exact"/>
              <w:rPr>
                <w:sz w:val="20"/>
                <w:szCs w:val="20"/>
                <w:color w:val="auto"/>
              </w:rPr>
            </w:pPr>
            <w:r>
              <w:rPr>
                <w:rFonts w:ascii="Arial" w:cs="Arial" w:eastAsia="Arial" w:hAnsi="Arial"/>
                <w:sz w:val="12"/>
                <w:szCs w:val="12"/>
                <w:color w:val="auto"/>
                <w:w w:val="98"/>
              </w:rPr>
              <w:t>BUSEP</w:t>
            </w:r>
          </w:p>
        </w:tc>
        <w:tc>
          <w:tcPr>
            <w:tcW w:w="2520" w:type="dxa"/>
            <w:vAlign w:val="bottom"/>
          </w:tcPr>
          <w:p>
            <w:pPr>
              <w:jc w:val="center"/>
              <w:spacing w:after="0" w:line="124" w:lineRule="exact"/>
              <w:rPr>
                <w:sz w:val="20"/>
                <w:szCs w:val="20"/>
                <w:color w:val="auto"/>
              </w:rPr>
            </w:pPr>
            <w:r>
              <w:rPr>
                <w:rFonts w:ascii="Arial" w:cs="Arial" w:eastAsia="Arial" w:hAnsi="Arial"/>
                <w:sz w:val="12"/>
                <w:szCs w:val="12"/>
                <w:color w:val="auto"/>
                <w:w w:val="99"/>
              </w:rPr>
              <w:t>Nasdaq Stock Market LLC</w:t>
            </w:r>
          </w:p>
        </w:tc>
      </w:tr>
      <w:tr>
        <w:trPr>
          <w:trHeight w:val="159"/>
        </w:trPr>
        <w:tc>
          <w:tcPr>
            <w:tcW w:w="7660" w:type="dxa"/>
            <w:vAlign w:val="bottom"/>
            <w:gridSpan w:val="2"/>
          </w:tcPr>
          <w:p>
            <w:pPr>
              <w:spacing w:after="0"/>
              <w:rPr>
                <w:sz w:val="20"/>
                <w:szCs w:val="20"/>
                <w:color w:val="auto"/>
              </w:rPr>
            </w:pPr>
            <w:r>
              <w:rPr>
                <w:rFonts w:ascii="Arial" w:cs="Arial" w:eastAsia="Arial" w:hAnsi="Arial"/>
                <w:sz w:val="12"/>
                <w:szCs w:val="12"/>
                <w:color w:val="auto"/>
              </w:rPr>
              <w:t>$0.001 par value</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r>
    </w:tbl>
    <w:p>
      <w:pPr>
        <w:spacing w:after="0" w:line="162"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2"/>
          <w:szCs w:val="12"/>
          <w:color w:val="auto"/>
        </w:rPr>
        <w:t>☐</w:t>
      </w:r>
    </w:p>
    <w:p>
      <w:pPr>
        <w:spacing w:after="0" w:line="69"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530860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360680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377825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October 27, 2026, First Busey Corporation (“Busey”) issued a press release (“Earnings Release”) disclosing financial results for the quarter ended September 30, 2026. A copy of the Earnings Release is attached hereto as </w:t>
      </w:r>
      <w:r>
        <w:rPr>
          <w:rFonts w:ascii="Arial" w:cs="Arial" w:eastAsia="Arial" w:hAnsi="Arial"/>
          <w:sz w:val="12"/>
          <w:szCs w:val="12"/>
          <w:u w:val="single" w:color="auto"/>
          <w:color w:val="0000FF"/>
        </w:rPr>
        <w:t>Exhibit 99.1</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i w:val="1"/>
          <w:iCs w:val="1"/>
          <w:color w:val="auto"/>
        </w:rPr>
        <w:t xml:space="preserve">The information in Item 2.02 of this Current Report on Form 8-K and </w:t>
      </w:r>
      <w:r>
        <w:rPr>
          <w:rFonts w:ascii="Arial" w:cs="Arial" w:eastAsia="Arial" w:hAnsi="Arial"/>
          <w:sz w:val="12"/>
          <w:szCs w:val="12"/>
          <w:i w:val="1"/>
          <w:iCs w:val="1"/>
          <w:u w:val="single" w:color="auto"/>
          <w:color w:val="0000FF"/>
        </w:rPr>
        <w:t>Exhibit 99.1</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Securities Exchange Act of 1934, as amended (“Exchange Act”), or otherwise subject to the liabilities of that section, nor will any of such information or exhibits be deemed incorporated by reference into any filing under the Securities Act of 1933, as amended (“Securities Act”), or the Exchange Act.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October 27, 2026, Busey published its Earnings Investor Presentation discussing financial results for the quarter ended September 30, 2026. A copy is attached hereto as </w:t>
      </w:r>
      <w:r>
        <w:rPr>
          <w:rFonts w:ascii="Arial" w:cs="Arial" w:eastAsia="Arial" w:hAnsi="Arial"/>
          <w:sz w:val="12"/>
          <w:szCs w:val="12"/>
          <w:u w:val="single" w:color="auto"/>
          <w:color w:val="0000FF"/>
        </w:rPr>
        <w:t>Exhibit 99.2</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The information in Item 7.01 of this Current Report on Form 8-K and </w:t>
      </w:r>
      <w:r>
        <w:rPr>
          <w:rFonts w:ascii="Arial" w:cs="Arial" w:eastAsia="Arial" w:hAnsi="Arial"/>
          <w:sz w:val="12"/>
          <w:szCs w:val="12"/>
          <w:i w:val="1"/>
          <w:iCs w:val="1"/>
          <w:u w:val="single" w:color="auto"/>
          <w:color w:val="0000FF"/>
        </w:rPr>
        <w:t>Exhibit 99.2</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Exchange Act, or otherwise subject to the liabilities of that section, nor will any of such information or exhibits be deemed incorporated by reference into any filing under the Securities Act or the Exchange Act.</w:t>
      </w:r>
    </w:p>
    <w:p>
      <w:pPr>
        <w:spacing w:after="0" w:line="88"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Description of Exhibit</w:t>
            </w:r>
          </w:p>
        </w:tc>
        <w:tc>
          <w:tcPr>
            <w:tcW w:w="940" w:type="dxa"/>
            <w:vAlign w:val="bottom"/>
          </w:tcPr>
          <w:p>
            <w:pPr>
              <w:spacing w:after="0"/>
              <w:rPr>
                <w:sz w:val="13"/>
                <w:szCs w:val="13"/>
                <w:color w:val="auto"/>
              </w:rPr>
            </w:pPr>
          </w:p>
        </w:tc>
      </w:tr>
      <w:tr>
        <w:trPr>
          <w:trHeight w:val="124"/>
        </w:trPr>
        <w:tc>
          <w:tcPr>
            <w:tcW w:w="1560" w:type="dxa"/>
            <w:vAlign w:val="bottom"/>
          </w:tcPr>
          <w:p>
            <w:pPr>
              <w:spacing w:after="0" w:line="124" w:lineRule="exact"/>
              <w:rPr>
                <w:sz w:val="20"/>
                <w:szCs w:val="20"/>
                <w:color w:val="auto"/>
              </w:rPr>
            </w:pPr>
            <w:r>
              <w:rPr>
                <w:rFonts w:ascii="Arial" w:cs="Arial" w:eastAsia="Arial" w:hAnsi="Arial"/>
                <w:sz w:val="12"/>
                <w:szCs w:val="12"/>
                <w:color w:val="auto"/>
              </w:rPr>
              <w:t>99.1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60" w:type="dxa"/>
            <w:vAlign w:val="bottom"/>
            <w:gridSpan w:val="4"/>
          </w:tcPr>
          <w:p>
            <w:pPr>
              <w:spacing w:after="0" w:line="124" w:lineRule="exact"/>
              <w:rPr>
                <w:sz w:val="20"/>
                <w:szCs w:val="20"/>
                <w:color w:val="auto"/>
              </w:rPr>
            </w:pPr>
            <w:r>
              <w:rPr>
                <w:rFonts w:ascii="Arial" w:cs="Arial" w:eastAsia="Arial" w:hAnsi="Arial"/>
                <w:sz w:val="12"/>
                <w:szCs w:val="12"/>
                <w:color w:val="0000FF"/>
              </w:rPr>
              <w:t>Earnings Release issued by First Busey Corporation, dated October 27, 2026</w:t>
            </w: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142"/>
        </w:trPr>
        <w:tc>
          <w:tcPr>
            <w:tcW w:w="1560" w:type="dxa"/>
            <w:vAlign w:val="bottom"/>
          </w:tcPr>
          <w:p>
            <w:pPr>
              <w:spacing w:after="0"/>
              <w:rPr>
                <w:sz w:val="20"/>
                <w:szCs w:val="20"/>
                <w:color w:val="auto"/>
              </w:rPr>
            </w:pPr>
            <w:r>
              <w:rPr>
                <w:rFonts w:ascii="Arial" w:cs="Arial" w:eastAsia="Arial" w:hAnsi="Arial"/>
                <w:sz w:val="12"/>
                <w:szCs w:val="12"/>
                <w:color w:val="auto"/>
              </w:rPr>
              <w:t>99.2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gridSpan w:val="4"/>
          </w:tcPr>
          <w:p>
            <w:pPr>
              <w:spacing w:after="0"/>
              <w:rPr>
                <w:sz w:val="20"/>
                <w:szCs w:val="20"/>
                <w:color w:val="auto"/>
              </w:rPr>
            </w:pPr>
            <w:r>
              <w:rPr>
                <w:rFonts w:ascii="Arial" w:cs="Arial" w:eastAsia="Arial" w:hAnsi="Arial"/>
                <w:sz w:val="12"/>
                <w:szCs w:val="12"/>
                <w:color w:val="0000FF"/>
              </w:rPr>
              <w:t>Earnings Investor Presentation issued by First Busey Corporation, dated October 27, 2026</w:t>
            </w: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171"/>
        </w:trPr>
        <w:tc>
          <w:tcPr>
            <w:tcW w:w="1560" w:type="dxa"/>
            <w:vAlign w:val="bottom"/>
          </w:tcPr>
          <w:p>
            <w:pPr>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47"/>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2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5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1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39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2" w:name="page3"/>
    <w:bookmarkEnd w:id="2"/>
    <w:p>
      <w:pPr>
        <w:ind w:left="5360"/>
        <w:spacing w:after="0"/>
        <w:rPr>
          <w:sz w:val="20"/>
          <w:szCs w:val="20"/>
          <w:color w:val="auto"/>
        </w:rPr>
      </w:pPr>
      <w:r>
        <w:rPr>
          <w:rFonts w:ascii="Arial" w:cs="Arial" w:eastAsia="Arial" w:hAnsi="Arial"/>
          <w:sz w:val="12"/>
          <w:szCs w:val="12"/>
          <w:b w:val="1"/>
          <w:bCs w:val="1"/>
          <w:color w:val="auto"/>
        </w:rPr>
        <w:t>Signature</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2"/>
                <w:szCs w:val="12"/>
                <w:b w:val="1"/>
                <w:bCs w:val="1"/>
                <w:color w:val="auto"/>
              </w:rPr>
              <w:t>FIRST BUSEY CORPORATION</w:t>
            </w:r>
          </w:p>
        </w:tc>
      </w:tr>
      <w:tr>
        <w:trPr>
          <w:trHeight w:val="334"/>
        </w:trPr>
        <w:tc>
          <w:tcPr>
            <w:tcW w:w="840" w:type="dxa"/>
            <w:vAlign w:val="bottom"/>
          </w:tcPr>
          <w:p>
            <w:pPr>
              <w:spacing w:after="0"/>
              <w:rPr>
                <w:sz w:val="20"/>
                <w:szCs w:val="20"/>
                <w:color w:val="auto"/>
              </w:rPr>
            </w:pPr>
            <w:r>
              <w:rPr>
                <w:rFonts w:ascii="Arial" w:cs="Arial" w:eastAsia="Arial" w:hAnsi="Arial"/>
                <w:sz w:val="12"/>
                <w:szCs w:val="12"/>
                <w:color w:val="auto"/>
              </w:rPr>
              <w:t>Date:</w:t>
            </w:r>
          </w:p>
        </w:tc>
        <w:tc>
          <w:tcPr>
            <w:tcW w:w="204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October 27, 2026</w:t>
            </w:r>
          </w:p>
        </w:tc>
        <w:tc>
          <w:tcPr>
            <w:tcW w:w="2500" w:type="dxa"/>
            <w:vAlign w:val="bottom"/>
          </w:tcPr>
          <w:p>
            <w:pPr>
              <w:ind w:left="2000"/>
              <w:spacing w:after="0"/>
              <w:rPr>
                <w:sz w:val="20"/>
                <w:szCs w:val="20"/>
                <w:color w:val="auto"/>
              </w:rPr>
            </w:pPr>
            <w:r>
              <w:rPr>
                <w:rFonts w:ascii="Arial" w:cs="Arial" w:eastAsia="Arial" w:hAnsi="Arial"/>
                <w:sz w:val="12"/>
                <w:szCs w:val="12"/>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CHRISTOPHER H.M. CHAN</w:t>
            </w:r>
          </w:p>
        </w:tc>
      </w:tr>
      <w:tr>
        <w:trPr>
          <w:trHeight w:val="153"/>
        </w:trPr>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Christopher H.M. Chan</w:t>
            </w:r>
          </w:p>
        </w:tc>
      </w:tr>
      <w:tr>
        <w:trPr>
          <w:trHeight w:val="162"/>
        </w:trPr>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Executive Vice President, Chief Financial Officer</w:t>
            </w:r>
          </w:p>
        </w:tc>
      </w:tr>
      <w:tr>
        <w:trPr>
          <w:trHeight w:val="756"/>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0" w:type="dxa"/>
            <w:vAlign w:val="bottom"/>
          </w:tcPr>
          <w:p>
            <w:pPr>
              <w:ind w:left="24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0159"/>
          </w:cols>
          <w:pgMar w:left="300" w:top="105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4914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914900"/>
                    </a:xfrm>
                    <a:prstGeom prst="rect">
                      <a:avLst/>
                    </a:prstGeom>
                    <a:noFill/>
                  </pic:spPr>
                </pic:pic>
              </a:graphicData>
            </a:graphic>
          </wp:anchor>
        </w:drawing>
        <w:t>F I R S T  B U S E Y  C O R P O R A T I O N</w:t>
      </w:r>
    </w:p>
    <w:p>
      <w:pPr>
        <w:sectPr>
          <w:pgSz w:w="11900" w:h="16838" w:orient="portrait"/>
          <w:cols w:equalWidth="0" w:num="1">
            <w:col w:w="9019"/>
          </w:cols>
          <w:pgMar w:left="1440" w:top="1093"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FFFFFF"/>
        </w:rPr>
        <w:t>A N N O U N C E 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2 0 2 6</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T H I R 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Q U A R T E 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FFFFFF"/>
        </w:rPr>
        <w:t>E A R N I N G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9"/>
          <w:szCs w:val="29"/>
          <w:color w:val="6888A4"/>
        </w:rPr>
        <w:t>Q 3 | 2 0 2 6</w:t>
      </w:r>
    </w:p>
    <w:p>
      <w:pPr>
        <w:sectPr>
          <w:pgSz w:w="11900" w:h="16838" w:orient="portrait"/>
          <w:cols w:equalWidth="0" w:num="1">
            <w:col w:w="9019"/>
          </w:cols>
          <w:pgMar w:left="1440" w:top="1093" w:right="1440" w:bottom="1440" w:gutter="0" w:footer="0" w:header="0"/>
          <w:type w:val="continuous"/>
        </w:sectPr>
      </w:pPr>
    </w:p>
    <w:bookmarkStart w:id="4" w:name="page5"/>
    <w:bookmarkEnd w:id="4"/>
    <w:p>
      <w:pPr>
        <w:jc w:val="right"/>
        <w:ind w:right="20"/>
        <w:spacing w:after="0"/>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28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228600"/>
                    </a:xfrm>
                    <a:prstGeom prst="rect">
                      <a:avLst/>
                    </a:prstGeom>
                    <a:noFill/>
                  </pic:spPr>
                </pic:pic>
              </a:graphicData>
            </a:graphic>
          </wp:anchor>
        </w:drawing>
        <w:t>www.busey.com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6888A4"/>
        </w:rPr>
        <w:t>INVESTOR CONTACT: Tate McKay, Director of Investor Relations and Corporate Development | 217-351-6709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80" w:type="dxa"/>
            <w:vAlign w:val="bottom"/>
            <w:gridSpan w:val="7"/>
          </w:tcPr>
          <w:p>
            <w:pPr>
              <w:spacing w:after="0"/>
              <w:rPr>
                <w:sz w:val="20"/>
                <w:szCs w:val="20"/>
                <w:color w:val="auto"/>
              </w:rPr>
            </w:pPr>
            <w:r>
              <w:rPr>
                <w:rFonts w:ascii="Arial" w:cs="Arial" w:eastAsia="Arial" w:hAnsi="Arial"/>
                <w:sz w:val="12"/>
                <w:szCs w:val="12"/>
                <w:color w:val="auto"/>
              </w:rPr>
              <w:t>LEAWOOD, KS, October 27, 2026 (GLOBE NEWSWIRE) – First Busey Corporation (Nasdaq: BUSE) Announces 2026 Third Quarter Earnings.</w:t>
            </w: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42"/>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89"/>
        </w:trPr>
        <w:tc>
          <w:tcPr>
            <w:tcW w:w="202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8"/>
              </w:rPr>
              <w:t>Net Income</w:t>
            </w:r>
          </w:p>
        </w:tc>
        <w:tc>
          <w:tcPr>
            <w:tcW w:w="140" w:type="dxa"/>
            <w:vAlign w:val="bottom"/>
          </w:tcPr>
          <w:p>
            <w:pPr>
              <w:spacing w:after="0"/>
              <w:rPr>
                <w:sz w:val="16"/>
                <w:szCs w:val="16"/>
                <w:color w:val="auto"/>
              </w:rPr>
            </w:pPr>
          </w:p>
        </w:tc>
        <w:tc>
          <w:tcPr>
            <w:tcW w:w="204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9"/>
              </w:rPr>
              <w:t>Diluted EPS</w:t>
            </w:r>
          </w:p>
        </w:tc>
        <w:tc>
          <w:tcPr>
            <w:tcW w:w="140" w:type="dxa"/>
            <w:vAlign w:val="bottom"/>
          </w:tcPr>
          <w:p>
            <w:pPr>
              <w:spacing w:after="0"/>
              <w:rPr>
                <w:sz w:val="16"/>
                <w:szCs w:val="16"/>
                <w:color w:val="auto"/>
              </w:rPr>
            </w:pPr>
          </w:p>
        </w:tc>
        <w:tc>
          <w:tcPr>
            <w:tcW w:w="258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7"/>
              </w:rPr>
              <w:t>Net Interest Margin</w:t>
            </w:r>
            <w:r>
              <w:rPr>
                <w:rFonts w:ascii="Arial" w:cs="Arial" w:eastAsia="Arial" w:hAnsi="Arial"/>
                <w:sz w:val="15"/>
                <w:szCs w:val="15"/>
                <w:color w:val="FFFFFF"/>
                <w:w w:val="97"/>
                <w:vertAlign w:val="superscript"/>
              </w:rPr>
              <w:t>1</w:t>
            </w:r>
          </w:p>
        </w:tc>
        <w:tc>
          <w:tcPr>
            <w:tcW w:w="160" w:type="dxa"/>
            <w:vAlign w:val="bottom"/>
          </w:tcPr>
          <w:p>
            <w:pPr>
              <w:spacing w:after="0"/>
              <w:rPr>
                <w:sz w:val="16"/>
                <w:szCs w:val="16"/>
                <w:color w:val="auto"/>
              </w:rPr>
            </w:pPr>
          </w:p>
        </w:tc>
        <w:tc>
          <w:tcPr>
            <w:tcW w:w="600" w:type="dxa"/>
            <w:vAlign w:val="bottom"/>
            <w:shd w:val="clear" w:color="auto" w:fill="6888A4"/>
          </w:tcPr>
          <w:p>
            <w:pPr>
              <w:spacing w:after="0"/>
              <w:rPr>
                <w:sz w:val="16"/>
                <w:szCs w:val="16"/>
                <w:color w:val="auto"/>
              </w:rPr>
            </w:pPr>
          </w:p>
        </w:tc>
        <w:tc>
          <w:tcPr>
            <w:tcW w:w="1420" w:type="dxa"/>
            <w:vAlign w:val="bottom"/>
            <w:shd w:val="clear" w:color="auto" w:fill="6888A4"/>
          </w:tcPr>
          <w:p>
            <w:pPr>
              <w:jc w:val="center"/>
              <w:ind w:right="520"/>
              <w:spacing w:after="0"/>
              <w:rPr>
                <w:sz w:val="20"/>
                <w:szCs w:val="20"/>
                <w:color w:val="auto"/>
              </w:rPr>
            </w:pPr>
            <w:r>
              <w:rPr>
                <w:rFonts w:ascii="Arial" w:cs="Arial" w:eastAsia="Arial" w:hAnsi="Arial"/>
                <w:sz w:val="12"/>
                <w:szCs w:val="12"/>
                <w:b w:val="1"/>
                <w:bCs w:val="1"/>
                <w:color w:val="FFFFFF"/>
                <w:w w:val="97"/>
              </w:rPr>
              <w:t>ROAA</w:t>
            </w:r>
            <w:r>
              <w:rPr>
                <w:rFonts w:ascii="Arial" w:cs="Arial" w:eastAsia="Arial" w:hAnsi="Arial"/>
                <w:sz w:val="15"/>
                <w:szCs w:val="15"/>
                <w:color w:val="FFFFFF"/>
                <w:w w:val="97"/>
                <w:vertAlign w:val="superscript"/>
              </w:rPr>
              <w:t>1</w:t>
            </w:r>
          </w:p>
        </w:tc>
        <w:tc>
          <w:tcPr>
            <w:tcW w:w="160" w:type="dxa"/>
            <w:vAlign w:val="bottom"/>
          </w:tcPr>
          <w:p>
            <w:pPr>
              <w:spacing w:after="0"/>
              <w:rPr>
                <w:sz w:val="16"/>
                <w:szCs w:val="16"/>
                <w:color w:val="auto"/>
              </w:rPr>
            </w:pPr>
          </w:p>
        </w:tc>
        <w:tc>
          <w:tcPr>
            <w:tcW w:w="204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5"/>
              </w:rPr>
              <w:t>ROATCE</w:t>
            </w:r>
            <w:r>
              <w:rPr>
                <w:rFonts w:ascii="Arial" w:cs="Arial" w:eastAsia="Arial" w:hAnsi="Arial"/>
                <w:sz w:val="15"/>
                <w:szCs w:val="15"/>
                <w:color w:val="FFFFFF"/>
                <w:w w:val="95"/>
                <w:vertAlign w:val="superscript"/>
              </w:rPr>
              <w:t>1</w:t>
            </w:r>
          </w:p>
        </w:tc>
      </w:tr>
      <w:tr>
        <w:trPr>
          <w:trHeight w:val="202"/>
        </w:trPr>
        <w:tc>
          <w:tcPr>
            <w:tcW w:w="2020" w:type="dxa"/>
            <w:vAlign w:val="bottom"/>
          </w:tcPr>
          <w:p>
            <w:pPr>
              <w:jc w:val="center"/>
              <w:spacing w:after="0"/>
              <w:rPr>
                <w:sz w:val="20"/>
                <w:szCs w:val="20"/>
                <w:color w:val="auto"/>
              </w:rPr>
            </w:pPr>
            <w:r>
              <w:rPr>
                <w:rFonts w:ascii="Arial" w:cs="Arial" w:eastAsia="Arial" w:hAnsi="Arial"/>
                <w:sz w:val="12"/>
                <w:szCs w:val="12"/>
                <w:b w:val="1"/>
                <w:bCs w:val="1"/>
                <w:color w:val="auto"/>
                <w:w w:val="99"/>
              </w:rPr>
              <w:t>$55.8 million</w:t>
            </w:r>
          </w:p>
        </w:tc>
        <w:tc>
          <w:tcPr>
            <w:tcW w:w="218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9"/>
              </w:rPr>
              <w:t>$0.61</w:t>
            </w:r>
          </w:p>
        </w:tc>
        <w:tc>
          <w:tcPr>
            <w:tcW w:w="27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5"/>
              </w:rPr>
              <w:t>3.58%</w:t>
            </w:r>
            <w:r>
              <w:rPr>
                <w:rFonts w:ascii="Arial" w:cs="Arial" w:eastAsia="Arial" w:hAnsi="Arial"/>
                <w:sz w:val="15"/>
                <w:szCs w:val="15"/>
                <w:color w:val="auto"/>
                <w:w w:val="95"/>
                <w:vertAlign w:val="superscript"/>
              </w:rPr>
              <w:t>2</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jc w:val="center"/>
              <w:ind w:right="540"/>
              <w:spacing w:after="0"/>
              <w:rPr>
                <w:sz w:val="20"/>
                <w:szCs w:val="20"/>
                <w:color w:val="auto"/>
              </w:rPr>
            </w:pPr>
            <w:r>
              <w:rPr>
                <w:rFonts w:ascii="Arial" w:cs="Arial" w:eastAsia="Arial" w:hAnsi="Arial"/>
                <w:sz w:val="12"/>
                <w:szCs w:val="12"/>
                <w:b w:val="1"/>
                <w:bCs w:val="1"/>
                <w:color w:val="auto"/>
                <w:w w:val="95"/>
              </w:rPr>
              <w:t>1.20%</w:t>
            </w:r>
            <w:r>
              <w:rPr>
                <w:rFonts w:ascii="Arial" w:cs="Arial" w:eastAsia="Arial" w:hAnsi="Arial"/>
                <w:sz w:val="15"/>
                <w:szCs w:val="15"/>
                <w:color w:val="auto"/>
                <w:w w:val="95"/>
                <w:vertAlign w:val="superscript"/>
              </w:rPr>
              <w:t>2</w:t>
            </w:r>
          </w:p>
        </w:tc>
        <w:tc>
          <w:tcPr>
            <w:tcW w:w="220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5"/>
              </w:rPr>
              <w:t>12.93%</w:t>
            </w:r>
            <w:r>
              <w:rPr>
                <w:rFonts w:ascii="Arial" w:cs="Arial" w:eastAsia="Arial" w:hAnsi="Arial"/>
                <w:sz w:val="15"/>
                <w:szCs w:val="15"/>
                <w:color w:val="auto"/>
                <w:w w:val="95"/>
                <w:vertAlign w:val="superscript"/>
              </w:rPr>
              <w:t>2</w:t>
            </w:r>
          </w:p>
        </w:tc>
      </w:tr>
      <w:tr>
        <w:trPr>
          <w:trHeight w:val="224"/>
        </w:trPr>
        <w:tc>
          <w:tcPr>
            <w:tcW w:w="2020" w:type="dxa"/>
            <w:vAlign w:val="bottom"/>
          </w:tcPr>
          <w:p>
            <w:pPr>
              <w:jc w:val="center"/>
              <w:spacing w:after="0"/>
              <w:rPr>
                <w:sz w:val="20"/>
                <w:szCs w:val="20"/>
                <w:color w:val="auto"/>
              </w:rPr>
            </w:pPr>
            <w:r>
              <w:rPr>
                <w:rFonts w:ascii="Arial" w:cs="Arial" w:eastAsia="Arial" w:hAnsi="Arial"/>
                <w:sz w:val="12"/>
                <w:szCs w:val="12"/>
                <w:b w:val="1"/>
                <w:bCs w:val="1"/>
                <w:color w:val="auto"/>
                <w:w w:val="99"/>
              </w:rPr>
              <w:t xml:space="preserve">$57.2 million </w:t>
            </w:r>
            <w:r>
              <w:rPr>
                <w:rFonts w:ascii="Arial" w:cs="Arial" w:eastAsia="Arial" w:hAnsi="Arial"/>
                <w:sz w:val="12"/>
                <w:szCs w:val="12"/>
                <w:color w:val="auto"/>
                <w:w w:val="99"/>
              </w:rPr>
              <w:t>(adj)</w:t>
            </w:r>
            <w:r>
              <w:rPr>
                <w:rFonts w:ascii="Arial" w:cs="Arial" w:eastAsia="Arial" w:hAnsi="Arial"/>
                <w:sz w:val="15"/>
                <w:szCs w:val="15"/>
                <w:color w:val="auto"/>
                <w:w w:val="99"/>
                <w:vertAlign w:val="superscript"/>
              </w:rPr>
              <w:t>2</w:t>
            </w:r>
          </w:p>
        </w:tc>
        <w:tc>
          <w:tcPr>
            <w:tcW w:w="1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8"/>
              </w:rPr>
              <w:t xml:space="preserve">$0.63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40" w:type="dxa"/>
            <w:vAlign w:val="bottom"/>
          </w:tcPr>
          <w:p>
            <w:pPr>
              <w:spacing w:after="0"/>
              <w:rPr>
                <w:sz w:val="19"/>
                <w:szCs w:val="19"/>
                <w:color w:val="auto"/>
              </w:rPr>
            </w:pPr>
          </w:p>
        </w:tc>
        <w:tc>
          <w:tcPr>
            <w:tcW w:w="334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98"/>
              </w:rPr>
              <w:t xml:space="preserve">3.46%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420" w:type="dxa"/>
            <w:vAlign w:val="bottom"/>
          </w:tcPr>
          <w:p>
            <w:pPr>
              <w:jc w:val="center"/>
              <w:ind w:right="540"/>
              <w:spacing w:after="0"/>
              <w:rPr>
                <w:sz w:val="20"/>
                <w:szCs w:val="20"/>
                <w:color w:val="auto"/>
              </w:rPr>
            </w:pPr>
            <w:r>
              <w:rPr>
                <w:rFonts w:ascii="Arial" w:cs="Arial" w:eastAsia="Arial" w:hAnsi="Arial"/>
                <w:sz w:val="12"/>
                <w:szCs w:val="12"/>
                <w:b w:val="1"/>
                <w:bCs w:val="1"/>
                <w:color w:val="auto"/>
                <w:w w:val="98"/>
              </w:rPr>
              <w:t xml:space="preserve">1.23% </w:t>
            </w:r>
            <w:r>
              <w:rPr>
                <w:rFonts w:ascii="Arial" w:cs="Arial" w:eastAsia="Arial" w:hAnsi="Arial"/>
                <w:sz w:val="12"/>
                <w:szCs w:val="12"/>
                <w:color w:val="auto"/>
                <w:w w:val="98"/>
              </w:rPr>
              <w:t>(adj)</w:t>
            </w:r>
            <w:r>
              <w:rPr>
                <w:rFonts w:ascii="Arial" w:cs="Arial" w:eastAsia="Arial" w:hAnsi="Arial"/>
                <w:sz w:val="15"/>
                <w:szCs w:val="15"/>
                <w:color w:val="auto"/>
                <w:w w:val="98"/>
                <w:vertAlign w:val="superscript"/>
              </w:rPr>
              <w:t>2</w:t>
            </w:r>
          </w:p>
        </w:tc>
        <w:tc>
          <w:tcPr>
            <w:tcW w:w="1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97"/>
              </w:rPr>
              <w:t xml:space="preserve">13.25% </w:t>
            </w:r>
            <w:r>
              <w:rPr>
                <w:rFonts w:ascii="Arial" w:cs="Arial" w:eastAsia="Arial" w:hAnsi="Arial"/>
                <w:sz w:val="12"/>
                <w:szCs w:val="12"/>
                <w:color w:val="auto"/>
                <w:w w:val="97"/>
              </w:rPr>
              <w:t>(adj)</w:t>
            </w:r>
            <w:r>
              <w:rPr>
                <w:rFonts w:ascii="Arial" w:cs="Arial" w:eastAsia="Arial" w:hAnsi="Arial"/>
                <w:sz w:val="15"/>
                <w:szCs w:val="15"/>
                <w:color w:val="auto"/>
                <w:w w:val="9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78040" cy="1903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90309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MESSAGE FROM OUR CHAIRMAN, PRESIDENT &amp; CEO</w:t>
      </w:r>
    </w:p>
    <w:p>
      <w:pPr>
        <w:spacing w:after="0" w:line="176" w:lineRule="exact"/>
        <w:rPr>
          <w:sz w:val="20"/>
          <w:szCs w:val="20"/>
          <w:color w:val="auto"/>
        </w:rPr>
      </w:pPr>
    </w:p>
    <w:p>
      <w:pPr>
        <w:jc w:val="both"/>
        <w:ind w:right="20"/>
        <w:spacing w:after="0" w:line="234" w:lineRule="auto"/>
        <w:rPr>
          <w:sz w:val="20"/>
          <w:szCs w:val="20"/>
          <w:color w:val="auto"/>
        </w:rPr>
      </w:pPr>
      <w:r>
        <w:rPr>
          <w:rFonts w:ascii="Arial" w:cs="Arial" w:eastAsia="Arial" w:hAnsi="Arial"/>
          <w:sz w:val="12"/>
          <w:szCs w:val="12"/>
          <w:color w:val="auto"/>
        </w:rPr>
        <w:t>Busey reported adjusted diluted EPS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of $0.63. Results were impacted by a single commercial relationship in the Central region that incurred a partial charge-off and moved to non-accrual this quarter. Quarterly provision expense increased to $9.6 million, compared to $2.2 million in the prior quarter, primarily as a result of this credit.</w:t>
      </w:r>
    </w:p>
    <w:p>
      <w:pPr>
        <w:spacing w:after="0" w:line="147"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Excluding this relationship, underlying trends for the quarter remained solid. Operating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stable at $194.3 million, supported by growth in net interest income. Wealth management revenue increased 15.5% from the prior year. We also maintained strong expense discipline, producing an efficiency ratio</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of 54.4%.</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Deposit growth remained a highlight, increasing at an annualized rate of 11% for the second consecutive quarter as we continued to add relationships and deepen client primacy across our markets. As anticipated, loan balances declined during the quarter, including the repositioning of approximately $65 million of lender finance loans to held for sale as part of our ongoing portfolio management efforts. The loan-to-deposit ratio improved to 82.5% from 87.2% last quarter.</w:t>
      </w:r>
    </w:p>
    <w:p>
      <w:pPr>
        <w:spacing w:after="0" w:line="131" w:lineRule="exact"/>
        <w:rPr>
          <w:sz w:val="20"/>
          <w:szCs w:val="20"/>
          <w:color w:val="auto"/>
        </w:rPr>
      </w:pPr>
    </w:p>
    <w:p>
      <w:pPr>
        <w:jc w:val="both"/>
        <w:ind w:right="20"/>
        <w:spacing w:after="0" w:line="234" w:lineRule="auto"/>
        <w:rPr>
          <w:sz w:val="20"/>
          <w:szCs w:val="20"/>
          <w:color w:val="auto"/>
        </w:rPr>
      </w:pPr>
      <w:r>
        <w:rPr>
          <w:rFonts w:ascii="Arial" w:cs="Arial" w:eastAsia="Arial" w:hAnsi="Arial"/>
          <w:sz w:val="12"/>
          <w:szCs w:val="12"/>
          <w:color w:val="auto"/>
        </w:rPr>
        <w:t>Capital remained strong with Common Equity Tier 1 Capital to Risk Weighted Assets</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rising to 12.5% (compared to 12.3% a year ago), even after $188.4 million in year-to-date share repurchases, including $59.6 million this quarter.</w:t>
      </w:r>
    </w:p>
    <w:p>
      <w:pPr>
        <w:spacing w:after="0" w:line="148"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As we enter the final quarter of 2026, we remain well positioned with an indomitable balance sheet, ample liquidity, and significant capital flexibility. While macroeconomic uncertainty persists, we are confident in our ability to navigate a range of operating environments while continuing to support our clients and create long-term value for our shareholders.</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Van A. Dukeman</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Chairman, President and CEO of First Busey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CONDENSED CONSOLIDATED STATEMENTS OF INCOME </w:t>
      </w:r>
      <w:r>
        <w:rPr>
          <w:rFonts w:ascii="Arial" w:cs="Arial" w:eastAsia="Arial" w:hAnsi="Arial"/>
          <w:sz w:val="12"/>
          <w:szCs w:val="12"/>
          <w:b w:val="1"/>
          <w:bCs w:val="1"/>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7"/>
              </w:rPr>
              <w:t>Three Months Ended</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1"/>
                <w:szCs w:val="11"/>
                <w:b w:val="1"/>
                <w:bCs w:val="1"/>
                <w:color w:val="auto"/>
              </w:rPr>
              <w:t>Nine Months Ended</w:t>
            </w:r>
          </w:p>
        </w:tc>
      </w:tr>
      <w:tr>
        <w:trPr>
          <w:trHeight w:val="97"/>
        </w:trPr>
        <w:tc>
          <w:tcPr>
            <w:tcW w:w="4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20" w:type="dxa"/>
            <w:vAlign w:val="bottom"/>
          </w:tcPr>
          <w:p>
            <w:pPr>
              <w:spacing w:after="0"/>
              <w:rPr>
                <w:sz w:val="8"/>
                <w:szCs w:val="8"/>
                <w:color w:val="auto"/>
              </w:rPr>
            </w:pPr>
          </w:p>
        </w:tc>
        <w:tc>
          <w:tcPr>
            <w:tcW w:w="1280" w:type="dxa"/>
            <w:vAlign w:val="bottom"/>
            <w:gridSpan w:val="2"/>
          </w:tcPr>
          <w:p>
            <w:pPr>
              <w:jc w:val="center"/>
              <w:ind w:right="200"/>
              <w:spacing w:after="0" w:line="97" w:lineRule="exact"/>
              <w:rPr>
                <w:sz w:val="20"/>
                <w:szCs w:val="20"/>
                <w:color w:val="auto"/>
              </w:rPr>
            </w:pPr>
            <w:r>
              <w:rPr>
                <w:rFonts w:ascii="Arial" w:cs="Arial" w:eastAsia="Arial" w:hAnsi="Arial"/>
                <w:sz w:val="11"/>
                <w:szCs w:val="11"/>
                <w:b w:val="1"/>
                <w:bCs w:val="1"/>
                <w:color w:val="auto"/>
                <w:w w:val="99"/>
              </w:rPr>
              <w:t>June 30,</w:t>
            </w:r>
          </w:p>
        </w:tc>
        <w:tc>
          <w:tcPr>
            <w:tcW w:w="180" w:type="dxa"/>
            <w:vAlign w:val="bottom"/>
          </w:tcPr>
          <w:p>
            <w:pPr>
              <w:spacing w:after="0"/>
              <w:rPr>
                <w:sz w:val="8"/>
                <w:szCs w:val="8"/>
                <w:color w:val="auto"/>
              </w:rPr>
            </w:pPr>
          </w:p>
        </w:tc>
        <w:tc>
          <w:tcPr>
            <w:tcW w:w="122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120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1140" w:type="dxa"/>
            <w:vAlign w:val="bottom"/>
          </w:tcPr>
          <w:p>
            <w:pPr>
              <w:jc w:val="right"/>
              <w:ind w:right="241"/>
              <w:spacing w:after="0" w:line="97" w:lineRule="exact"/>
              <w:rPr>
                <w:sz w:val="20"/>
                <w:szCs w:val="20"/>
                <w:color w:val="auto"/>
              </w:rPr>
            </w:pPr>
            <w:r>
              <w:rPr>
                <w:rFonts w:ascii="Arial" w:cs="Arial" w:eastAsia="Arial" w:hAnsi="Arial"/>
                <w:sz w:val="11"/>
                <w:szCs w:val="11"/>
                <w:b w:val="1"/>
                <w:bCs w:val="1"/>
                <w:color w:val="auto"/>
              </w:rPr>
              <w:t>September 30,</w:t>
            </w:r>
          </w:p>
        </w:tc>
      </w:tr>
      <w:tr>
        <w:trPr>
          <w:trHeight w:val="144"/>
        </w:trPr>
        <w:tc>
          <w:tcPr>
            <w:tcW w:w="442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2026</w:t>
            </w:r>
          </w:p>
        </w:tc>
        <w:tc>
          <w:tcPr>
            <w:tcW w:w="60" w:type="dxa"/>
            <w:vAlign w:val="bottom"/>
            <w:tcBorders>
              <w:bottom w:val="single" w:sz="8" w:color="E0E7E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7"/>
              </w:rPr>
              <w:t>2026</w:t>
            </w:r>
          </w:p>
        </w:tc>
        <w:tc>
          <w:tcPr>
            <w:tcW w:w="8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r>
      <w:tr>
        <w:trPr>
          <w:trHeight w:val="178"/>
        </w:trPr>
        <w:tc>
          <w:tcPr>
            <w:tcW w:w="4420" w:type="dxa"/>
            <w:vAlign w:val="bottom"/>
            <w:shd w:val="clear" w:color="auto" w:fill="E0E7ED"/>
          </w:tcPr>
          <w:p>
            <w:pPr>
              <w:spacing w:after="0"/>
              <w:rPr>
                <w:sz w:val="20"/>
                <w:szCs w:val="20"/>
                <w:color w:val="auto"/>
              </w:rPr>
            </w:pPr>
            <w:r>
              <w:rPr>
                <w:rFonts w:ascii="Arial" w:cs="Arial" w:eastAsia="Arial" w:hAnsi="Arial"/>
                <w:sz w:val="12"/>
                <w:szCs w:val="12"/>
                <w:color w:val="auto"/>
              </w:rPr>
              <w:t>Total interest income</w:t>
            </w: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232,571</w:t>
            </w:r>
          </w:p>
        </w:tc>
        <w:tc>
          <w:tcPr>
            <w:tcW w:w="6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224,425</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244,505</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682,481</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658,766</w:t>
            </w:r>
          </w:p>
        </w:tc>
      </w:tr>
      <w:tr>
        <w:trPr>
          <w:trHeight w:val="181"/>
        </w:trPr>
        <w:tc>
          <w:tcPr>
            <w:tcW w:w="44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Total interest expense</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79,426</w:t>
            </w:r>
          </w:p>
        </w:tc>
        <w:tc>
          <w:tcPr>
            <w:tcW w:w="6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72,023</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89,368</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222,965</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246,715</w:t>
            </w:r>
          </w:p>
        </w:tc>
      </w:tr>
      <w:tr>
        <w:trPr>
          <w:trHeight w:val="186"/>
        </w:trPr>
        <w:tc>
          <w:tcPr>
            <w:tcW w:w="4420" w:type="dxa"/>
            <w:vAlign w:val="bottom"/>
            <w:shd w:val="clear" w:color="auto" w:fill="E0E7ED"/>
          </w:tcPr>
          <w:p>
            <w:pPr>
              <w:spacing w:after="0"/>
              <w:rPr>
                <w:sz w:val="20"/>
                <w:szCs w:val="20"/>
                <w:color w:val="auto"/>
              </w:rPr>
            </w:pPr>
            <w:r>
              <w:rPr>
                <w:rFonts w:ascii="Arial" w:cs="Arial" w:eastAsia="Arial" w:hAnsi="Arial"/>
                <w:sz w:val="12"/>
                <w:szCs w:val="12"/>
                <w:color w:val="auto"/>
              </w:rPr>
              <w:t>Net interest income</w:t>
            </w: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153,145</w:t>
            </w:r>
          </w:p>
        </w:tc>
        <w:tc>
          <w:tcPr>
            <w:tcW w:w="6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152,402</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155,137</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459,516</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412,051</w:t>
            </w:r>
          </w:p>
        </w:tc>
      </w:tr>
      <w:tr>
        <w:trPr>
          <w:trHeight w:val="181"/>
        </w:trPr>
        <w:tc>
          <w:tcPr>
            <w:tcW w:w="44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Provision for credit losses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9,642</w:t>
            </w:r>
          </w:p>
        </w:tc>
        <w:tc>
          <w:tcPr>
            <w:tcW w:w="6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2,189</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(985)</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14,889</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50,308</w:t>
            </w:r>
          </w:p>
        </w:tc>
      </w:tr>
      <w:tr>
        <w:trPr>
          <w:trHeight w:val="186"/>
        </w:trPr>
        <w:tc>
          <w:tcPr>
            <w:tcW w:w="4420" w:type="dxa"/>
            <w:vAlign w:val="bottom"/>
            <w:shd w:val="clear" w:color="auto" w:fill="E0E7ED"/>
          </w:tcPr>
          <w:p>
            <w:pPr>
              <w:spacing w:after="0"/>
              <w:rPr>
                <w:sz w:val="20"/>
                <w:szCs w:val="20"/>
                <w:color w:val="auto"/>
              </w:rPr>
            </w:pPr>
            <w:r>
              <w:rPr>
                <w:rFonts w:ascii="Arial" w:cs="Arial" w:eastAsia="Arial" w:hAnsi="Arial"/>
                <w:sz w:val="12"/>
                <w:szCs w:val="12"/>
                <w:color w:val="auto"/>
              </w:rPr>
              <w:t>Net interest income after provision for credit losses</w:t>
            </w: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143,503</w:t>
            </w:r>
          </w:p>
        </w:tc>
        <w:tc>
          <w:tcPr>
            <w:tcW w:w="6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150,213</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156,122</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444,627</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361,743</w:t>
            </w:r>
          </w:p>
        </w:tc>
      </w:tr>
      <w:tr>
        <w:trPr>
          <w:trHeight w:val="181"/>
        </w:trPr>
        <w:tc>
          <w:tcPr>
            <w:tcW w:w="4420" w:type="dxa"/>
            <w:vAlign w:val="bottom"/>
          </w:tcPr>
          <w:p>
            <w:pPr>
              <w:spacing w:after="0"/>
              <w:rPr>
                <w:sz w:val="20"/>
                <w:szCs w:val="20"/>
                <w:color w:val="auto"/>
              </w:rPr>
            </w:pPr>
            <w:r>
              <w:rPr>
                <w:rFonts w:ascii="Arial" w:cs="Arial" w:eastAsia="Arial" w:hAnsi="Arial"/>
                <w:sz w:val="12"/>
                <w:szCs w:val="12"/>
                <w:color w:val="auto"/>
              </w:rPr>
              <w:t>Total noninterest income</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40,402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1"/>
              <w:spacing w:after="0"/>
              <w:rPr>
                <w:sz w:val="20"/>
                <w:szCs w:val="20"/>
                <w:color w:val="auto"/>
              </w:rPr>
            </w:pPr>
            <w:r>
              <w:rPr>
                <w:rFonts w:ascii="Arial" w:cs="Arial" w:eastAsia="Arial" w:hAnsi="Arial"/>
                <w:sz w:val="12"/>
                <w:szCs w:val="12"/>
                <w:color w:val="auto"/>
              </w:rPr>
              <w:t>44,311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41,198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126,978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107,284</w:t>
            </w:r>
          </w:p>
        </w:tc>
      </w:tr>
      <w:tr>
        <w:trPr>
          <w:trHeight w:val="189"/>
        </w:trPr>
        <w:tc>
          <w:tcPr>
            <w:tcW w:w="4420" w:type="dxa"/>
            <w:vAlign w:val="bottom"/>
            <w:shd w:val="clear" w:color="auto" w:fill="E0E7ED"/>
          </w:tcPr>
          <w:p>
            <w:pPr>
              <w:spacing w:after="0"/>
              <w:rPr>
                <w:sz w:val="20"/>
                <w:szCs w:val="20"/>
                <w:color w:val="auto"/>
              </w:rPr>
            </w:pPr>
            <w:r>
              <w:rPr>
                <w:rFonts w:ascii="Arial" w:cs="Arial" w:eastAsia="Arial" w:hAnsi="Arial"/>
                <w:sz w:val="12"/>
                <w:szCs w:val="12"/>
                <w:color w:val="auto"/>
              </w:rPr>
              <w:t>Total noninterest expense</w:t>
            </w: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111,398</w:t>
            </w:r>
          </w:p>
        </w:tc>
        <w:tc>
          <w:tcPr>
            <w:tcW w:w="6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112,635</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120,018</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353,552</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359,881</w:t>
            </w:r>
          </w:p>
        </w:tc>
      </w:tr>
      <w:tr>
        <w:trPr>
          <w:trHeight w:val="178"/>
        </w:trPr>
        <w:tc>
          <w:tcPr>
            <w:tcW w:w="442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72,507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1"/>
              <w:spacing w:after="0"/>
              <w:rPr>
                <w:sz w:val="20"/>
                <w:szCs w:val="20"/>
                <w:color w:val="auto"/>
              </w:rPr>
            </w:pPr>
            <w:r>
              <w:rPr>
                <w:rFonts w:ascii="Arial" w:cs="Arial" w:eastAsia="Arial" w:hAnsi="Arial"/>
                <w:sz w:val="12"/>
                <w:szCs w:val="12"/>
                <w:color w:val="auto"/>
              </w:rPr>
              <w:t>81,889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77,302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218,053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109,146</w:t>
            </w:r>
          </w:p>
        </w:tc>
      </w:tr>
      <w:tr>
        <w:trPr>
          <w:trHeight w:val="189"/>
        </w:trPr>
        <w:tc>
          <w:tcPr>
            <w:tcW w:w="44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Income taxes</w:t>
            </w: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16,662</w:t>
            </w:r>
          </w:p>
        </w:tc>
        <w:tc>
          <w:tcPr>
            <w:tcW w:w="6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18,713</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20,204</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49,051</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34,634</w:t>
            </w:r>
          </w:p>
        </w:tc>
      </w:tr>
      <w:tr>
        <w:trPr>
          <w:trHeight w:val="178"/>
        </w:trPr>
        <w:tc>
          <w:tcPr>
            <w:tcW w:w="442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55,845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1"/>
              <w:spacing w:after="0"/>
              <w:rPr>
                <w:sz w:val="20"/>
                <w:szCs w:val="20"/>
                <w:color w:val="auto"/>
              </w:rPr>
            </w:pPr>
            <w:r>
              <w:rPr>
                <w:rFonts w:ascii="Arial" w:cs="Arial" w:eastAsia="Arial" w:hAnsi="Arial"/>
                <w:sz w:val="12"/>
                <w:szCs w:val="12"/>
                <w:color w:val="auto"/>
              </w:rPr>
              <w:t>63,176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57,098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169,002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74,512</w:t>
            </w:r>
          </w:p>
        </w:tc>
      </w:tr>
      <w:tr>
        <w:trPr>
          <w:trHeight w:val="189"/>
        </w:trPr>
        <w:tc>
          <w:tcPr>
            <w:tcW w:w="44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Dividends on preferred stock</w:t>
            </w: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4,589</w:t>
            </w:r>
          </w:p>
        </w:tc>
        <w:tc>
          <w:tcPr>
            <w:tcW w:w="6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4,590</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5,131</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13,768</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5,286</w:t>
            </w:r>
          </w:p>
        </w:tc>
      </w:tr>
      <w:tr>
        <w:trPr>
          <w:trHeight w:val="202"/>
        </w:trPr>
        <w:tc>
          <w:tcPr>
            <w:tcW w:w="44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Net income available to common stockholders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51,256</w:t>
            </w:r>
          </w:p>
        </w:tc>
        <w:tc>
          <w:tcPr>
            <w:tcW w:w="60" w:type="dxa"/>
            <w:vAlign w:val="bottom"/>
            <w:tcBorders>
              <w:bottom w:val="single" w:sz="8" w:color="E0E7ED"/>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58,586</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51,967</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155,234</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69,226</w:t>
            </w:r>
          </w:p>
        </w:tc>
      </w:tr>
      <w:tr>
        <w:trPr>
          <w:trHeight w:val="153"/>
        </w:trPr>
        <w:tc>
          <w:tcPr>
            <w:tcW w:w="442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2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r>
      <w:tr>
        <w:trPr>
          <w:trHeight w:val="181"/>
        </w:trPr>
        <w:tc>
          <w:tcPr>
            <w:tcW w:w="442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0.62</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01"/>
              <w:spacing w:after="0"/>
              <w:rPr>
                <w:sz w:val="20"/>
                <w:szCs w:val="20"/>
                <w:color w:val="auto"/>
              </w:rPr>
            </w:pPr>
            <w:r>
              <w:rPr>
                <w:rFonts w:ascii="Arial" w:cs="Arial" w:eastAsia="Arial" w:hAnsi="Arial"/>
                <w:sz w:val="12"/>
                <w:szCs w:val="12"/>
                <w:color w:val="auto"/>
              </w:rPr>
              <w:t>0.69</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0.58</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1"/>
              <w:spacing w:after="0"/>
              <w:rPr>
                <w:sz w:val="20"/>
                <w:szCs w:val="20"/>
                <w:color w:val="auto"/>
              </w:rPr>
            </w:pPr>
            <w:r>
              <w:rPr>
                <w:rFonts w:ascii="Arial" w:cs="Arial" w:eastAsia="Arial" w:hAnsi="Arial"/>
                <w:sz w:val="12"/>
                <w:szCs w:val="12"/>
                <w:color w:val="auto"/>
              </w:rPr>
              <w:t>1.84</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0.84</w:t>
            </w:r>
          </w:p>
        </w:tc>
      </w:tr>
      <w:tr>
        <w:trPr>
          <w:trHeight w:val="197"/>
        </w:trPr>
        <w:tc>
          <w:tcPr>
            <w:tcW w:w="4420" w:type="dxa"/>
            <w:vAlign w:val="bottom"/>
            <w:shd w:val="clear" w:color="auto" w:fill="E0E7ED"/>
          </w:tcPr>
          <w:p>
            <w:pPr>
              <w:spacing w:after="0"/>
              <w:rPr>
                <w:sz w:val="20"/>
                <w:szCs w:val="20"/>
                <w:color w:val="auto"/>
              </w:rPr>
            </w:pPr>
            <w:r>
              <w:rPr>
                <w:rFonts w:ascii="Arial" w:cs="Arial" w:eastAsia="Arial" w:hAnsi="Arial"/>
                <w:sz w:val="12"/>
                <w:szCs w:val="12"/>
                <w:color w:val="auto"/>
              </w:rPr>
              <w:t>Diluted earnings per common share</w:t>
            </w: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0.61</w:t>
            </w:r>
          </w:p>
        </w:tc>
        <w:tc>
          <w:tcPr>
            <w:tcW w:w="60" w:type="dxa"/>
            <w:vAlign w:val="bottom"/>
            <w:shd w:val="clear" w:color="auto" w:fill="E0E7ED"/>
          </w:tcPr>
          <w:p>
            <w:pPr>
              <w:spacing w:after="0"/>
              <w:rPr>
                <w:sz w:val="17"/>
                <w:szCs w:val="17"/>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0.69</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0.58</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1.81</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0.83</w:t>
            </w:r>
          </w:p>
        </w:tc>
      </w:tr>
      <w:tr>
        <w:trPr>
          <w:trHeight w:val="173"/>
        </w:trPr>
        <w:tc>
          <w:tcPr>
            <w:tcW w:w="442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22.98 %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22.85 %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26.14 %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22.49 %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31.73 %</w:t>
            </w:r>
          </w:p>
        </w:tc>
      </w:tr>
    </w:tbl>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w:t>
      </w:r>
    </w:p>
    <w:p>
      <w:pPr>
        <w:sectPr>
          <w:pgSz w:w="11900" w:h="16838" w:orient="portrait"/>
          <w:cols w:equalWidth="0" w:num="1">
            <w:col w:w="11300"/>
          </w:cols>
          <w:pgMar w:left="300" w:top="460" w:right="29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Third quarter 2026 net income for First Busey Corporation, together with its consolidated subsidiaries (“Busey,” “we,” “us,” or “our”) was $55.8 million, or $0.61 per diluted common share, compared to net income of $63.2 million, or $0.69 per diluted common share, for the second quarter of 2026, and $57.1 million, or $0.58 per diluted common share, for the third quarter of 2025. Annualized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annualized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1.20% and 12.93%, respectively, for the third quarter of 2026.</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$82.9 million for the third quarter of 2026, compared to $81.6 million for the second quarter of 2026 and $76.6 million for the third quarter of 2025.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1.78% for the third quarter of 2026, compared to 1.83% for the second quarter of 2026, and 1.63% for the third quarter of 2025.</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Financial Results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Busey views certain non-operating items, including acquisition-related expenses, restructuring charges, and nonrecurring strategic events, as adjustments to net income reported under U.S. generally accepted accounting principles ("GAAP"). We also adjust for net securities gains and losses to align with industry and research analyst reporting. The objective of our presentation of adjusted earnings and adjusted earnings metrics is to allow investors and analysts to more clearly identify quarterly trends in core earnings performance. Pre-tax non-GAAP adjustments to net income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1"/>
                <w:szCs w:val="11"/>
                <w:b w:val="1"/>
                <w:bCs w:val="1"/>
                <w:color w:val="auto"/>
              </w:rPr>
              <w:t>Nine Months Ended</w:t>
            </w:r>
          </w:p>
        </w:tc>
      </w:tr>
      <w:tr>
        <w:trPr>
          <w:trHeight w:val="97"/>
        </w:trPr>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tcPr>
          <w:p>
            <w:pPr>
              <w:ind w:left="80"/>
              <w:spacing w:after="0" w:line="97"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8"/>
                <w:szCs w:val="8"/>
                <w:color w:val="auto"/>
              </w:rPr>
            </w:pP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w w:val="99"/>
              </w:rPr>
              <w:t>June 30,</w:t>
            </w:r>
          </w:p>
        </w:tc>
        <w:tc>
          <w:tcPr>
            <w:tcW w:w="160" w:type="dxa"/>
            <w:vAlign w:val="bottom"/>
          </w:tcPr>
          <w:p>
            <w:pPr>
              <w:spacing w:after="0"/>
              <w:rPr>
                <w:sz w:val="8"/>
                <w:szCs w:val="8"/>
                <w:color w:val="auto"/>
              </w:rPr>
            </w:pPr>
          </w:p>
        </w:tc>
        <w:tc>
          <w:tcPr>
            <w:tcW w:w="116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8"/>
                <w:szCs w:val="8"/>
                <w:color w:val="auto"/>
              </w:rPr>
            </w:pPr>
          </w:p>
        </w:tc>
        <w:tc>
          <w:tcPr>
            <w:tcW w:w="116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1080" w:type="dxa"/>
            <w:vAlign w:val="bottom"/>
          </w:tcPr>
          <w:p>
            <w:pPr>
              <w:jc w:val="right"/>
              <w:ind w:right="201"/>
              <w:spacing w:after="0" w:line="97" w:lineRule="exact"/>
              <w:rPr>
                <w:sz w:val="20"/>
                <w:szCs w:val="20"/>
                <w:color w:val="auto"/>
              </w:rPr>
            </w:pPr>
            <w:r>
              <w:rPr>
                <w:rFonts w:ascii="Arial" w:cs="Arial" w:eastAsia="Arial" w:hAnsi="Arial"/>
                <w:sz w:val="11"/>
                <w:szCs w:val="11"/>
                <w:b w:val="1"/>
                <w:bCs w:val="1"/>
                <w:color w:val="auto"/>
              </w:rPr>
              <w:t>September 30,</w:t>
            </w:r>
          </w:p>
        </w:tc>
      </w:tr>
      <w:tr>
        <w:trPr>
          <w:trHeight w:val="144"/>
        </w:trPr>
        <w:tc>
          <w:tcPr>
            <w:tcW w:w="476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E0E7E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w w:val="97"/>
              </w:rPr>
              <w:t>2026</w:t>
            </w:r>
          </w:p>
        </w:tc>
        <w:tc>
          <w:tcPr>
            <w:tcW w:w="80" w:type="dxa"/>
            <w:vAlign w:val="bottom"/>
            <w:tcBorders>
              <w:bottom w:val="single" w:sz="8" w:color="E0E7E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2026</w:t>
            </w:r>
          </w:p>
        </w:tc>
        <w:tc>
          <w:tcPr>
            <w:tcW w:w="6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r>
      <w:tr>
        <w:trPr>
          <w:trHeight w:val="169"/>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PRE-TAX NON-GAAP ADJUSTMENTS TO NET INCOME</w:t>
            </w:r>
          </w:p>
        </w:tc>
        <w:tc>
          <w:tcPr>
            <w:tcW w:w="16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1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Net securities (gains) losses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703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(2,445)</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(802)</w:t>
            </w:r>
          </w:p>
        </w:tc>
        <w:tc>
          <w:tcPr>
            <w:tcW w:w="6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10,059</w:t>
            </w: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noninterest income</w:t>
            </w:r>
          </w:p>
        </w:tc>
        <w:tc>
          <w:tcPr>
            <w:tcW w:w="160" w:type="dxa"/>
            <w:vAlign w:val="bottom"/>
            <w:shd w:val="clear" w:color="auto" w:fill="E0E7ED"/>
          </w:tcPr>
          <w:p>
            <w:pPr>
              <w:spacing w:after="0"/>
              <w:rPr>
                <w:sz w:val="17"/>
                <w:szCs w:val="17"/>
                <w:color w:val="auto"/>
              </w:rPr>
            </w:pPr>
          </w:p>
        </w:tc>
        <w:tc>
          <w:tcPr>
            <w:tcW w:w="116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E0E7ED"/>
          </w:tcPr>
          <w:p>
            <w:pPr>
              <w:spacing w:after="0"/>
              <w:rPr>
                <w:sz w:val="17"/>
                <w:szCs w:val="17"/>
                <w:color w:val="auto"/>
              </w:rPr>
            </w:pPr>
          </w:p>
        </w:tc>
        <w:tc>
          <w:tcPr>
            <w:tcW w:w="12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16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7ED"/>
          </w:tcPr>
          <w:p>
            <w:pPr>
              <w:spacing w:after="0"/>
              <w:rPr>
                <w:sz w:val="17"/>
                <w:szCs w:val="17"/>
                <w:color w:val="auto"/>
              </w:rPr>
            </w:pPr>
          </w:p>
        </w:tc>
        <w:tc>
          <w:tcPr>
            <w:tcW w:w="108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44</w:t>
            </w: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Provision for credit losses</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49,602</w:t>
            </w: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Salaries and employee benefits</w:t>
            </w:r>
          </w:p>
        </w:tc>
        <w:tc>
          <w:tcPr>
            <w:tcW w:w="16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724</w:t>
            </w:r>
          </w:p>
        </w:tc>
        <w:tc>
          <w:tcPr>
            <w:tcW w:w="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2,045</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5,610</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1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18,893</w:t>
            </w:r>
          </w:p>
        </w:tc>
        <w:tc>
          <w:tcPr>
            <w:tcW w:w="6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8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33,045</w:t>
            </w: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Data processing</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80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6,690</w:t>
            </w: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Net occupancy expense of premises</w:t>
            </w:r>
          </w:p>
        </w:tc>
        <w:tc>
          <w:tcPr>
            <w:tcW w:w="160" w:type="dxa"/>
            <w:vAlign w:val="bottom"/>
            <w:shd w:val="clear" w:color="auto" w:fill="E0E7ED"/>
          </w:tcPr>
          <w:p>
            <w:pPr>
              <w:spacing w:after="0"/>
              <w:rPr>
                <w:sz w:val="17"/>
                <w:szCs w:val="17"/>
                <w:color w:val="auto"/>
              </w:rPr>
            </w:pPr>
          </w:p>
        </w:tc>
        <w:tc>
          <w:tcPr>
            <w:tcW w:w="116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E0E7ED"/>
          </w:tcPr>
          <w:p>
            <w:pPr>
              <w:spacing w:after="0"/>
              <w:rPr>
                <w:sz w:val="17"/>
                <w:szCs w:val="17"/>
                <w:color w:val="auto"/>
              </w:rPr>
            </w:pPr>
          </w:p>
        </w:tc>
        <w:tc>
          <w:tcPr>
            <w:tcW w:w="12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16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7ED"/>
          </w:tcPr>
          <w:p>
            <w:pPr>
              <w:spacing w:after="0"/>
              <w:rPr>
                <w:sz w:val="17"/>
                <w:szCs w:val="17"/>
                <w:color w:val="auto"/>
              </w:rPr>
            </w:pPr>
          </w:p>
        </w:tc>
        <w:tc>
          <w:tcPr>
            <w:tcW w:w="108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9</w:t>
            </w: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Furniture and equipment expenses</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67</w:t>
            </w: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Professional fees</w:t>
            </w:r>
          </w:p>
        </w:tc>
        <w:tc>
          <w:tcPr>
            <w:tcW w:w="160" w:type="dxa"/>
            <w:vAlign w:val="bottom"/>
            <w:shd w:val="clear" w:color="auto" w:fill="E0E7ED"/>
          </w:tcPr>
          <w:p>
            <w:pPr>
              <w:spacing w:after="0"/>
              <w:rPr>
                <w:sz w:val="17"/>
                <w:szCs w:val="17"/>
                <w:color w:val="auto"/>
              </w:rPr>
            </w:pPr>
          </w:p>
        </w:tc>
        <w:tc>
          <w:tcPr>
            <w:tcW w:w="116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E0E7ED"/>
          </w:tcPr>
          <w:p>
            <w:pPr>
              <w:spacing w:after="0"/>
              <w:rPr>
                <w:sz w:val="17"/>
                <w:szCs w:val="17"/>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704</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358</w:t>
            </w:r>
          </w:p>
        </w:tc>
        <w:tc>
          <w:tcPr>
            <w:tcW w:w="8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1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823</w:t>
            </w:r>
          </w:p>
        </w:tc>
        <w:tc>
          <w:tcPr>
            <w:tcW w:w="6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8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7,969</w:t>
            </w:r>
          </w:p>
        </w:tc>
      </w:tr>
      <w:tr>
        <w:trPr>
          <w:trHeight w:val="181"/>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expense</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w:t>
            </w:r>
          </w:p>
        </w:tc>
        <w:tc>
          <w:tcPr>
            <w:tcW w:w="80" w:type="dxa"/>
            <w:vAlign w:val="bottom"/>
            <w:tcBorders>
              <w:bottom w:val="single" w:sz="8" w:color="E0E7E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w:t>
            </w:r>
          </w:p>
        </w:tc>
        <w:tc>
          <w:tcPr>
            <w:tcW w:w="8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w:t>
            </w:r>
          </w:p>
        </w:tc>
        <w:tc>
          <w:tcPr>
            <w:tcW w:w="8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1,131</w:t>
            </w:r>
          </w:p>
        </w:tc>
        <w:tc>
          <w:tcPr>
            <w:tcW w:w="6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2,053</w:t>
            </w:r>
          </w:p>
        </w:tc>
      </w:tr>
      <w:tr>
        <w:trPr>
          <w:trHeight w:val="202"/>
        </w:trPr>
        <w:tc>
          <w:tcPr>
            <w:tcW w:w="476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Total pre-tax non-GAAP adjustments to net income</w:t>
            </w:r>
          </w:p>
        </w:tc>
        <w:tc>
          <w:tcPr>
            <w:tcW w:w="160" w:type="dxa"/>
            <w:vAlign w:val="bottom"/>
            <w:tcBorders>
              <w:bottom w:val="single" w:sz="8" w:color="auto"/>
            </w:tcBorders>
            <w:shd w:val="clear" w:color="auto" w:fill="E0E7ED"/>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1,804</w:t>
            </w:r>
          </w:p>
        </w:tc>
        <w:tc>
          <w:tcPr>
            <w:tcW w:w="80" w:type="dxa"/>
            <w:vAlign w:val="bottom"/>
            <w:tcBorders>
              <w:bottom w:val="single" w:sz="8" w:color="E0E7ED"/>
            </w:tcBorders>
            <w:shd w:val="clear" w:color="auto" w:fill="E0E7ED"/>
          </w:tcPr>
          <w:p>
            <w:pPr>
              <w:spacing w:after="0"/>
              <w:rPr>
                <w:sz w:val="17"/>
                <w:szCs w:val="17"/>
                <w:color w:val="auto"/>
              </w:rPr>
            </w:pPr>
          </w:p>
        </w:tc>
        <w:tc>
          <w:tcPr>
            <w:tcW w:w="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681</w:t>
            </w:r>
          </w:p>
        </w:tc>
        <w:tc>
          <w:tcPr>
            <w:tcW w:w="80" w:type="dxa"/>
            <w:vAlign w:val="bottom"/>
            <w:tcBorders>
              <w:bottom w:val="single" w:sz="8" w:color="E0E7ED"/>
            </w:tcBorders>
            <w:shd w:val="clear" w:color="auto" w:fill="E0E7ED"/>
          </w:tcPr>
          <w:p>
            <w:pPr>
              <w:spacing w:after="0"/>
              <w:rPr>
                <w:sz w:val="17"/>
                <w:szCs w:val="17"/>
                <w:color w:val="auto"/>
              </w:rPr>
            </w:pPr>
          </w:p>
        </w:tc>
        <w:tc>
          <w:tcPr>
            <w:tcW w:w="160" w:type="dxa"/>
            <w:vAlign w:val="bottom"/>
            <w:tcBorders>
              <w:bottom w:val="single" w:sz="8" w:color="auto"/>
            </w:tcBorders>
            <w:shd w:val="clear" w:color="auto" w:fill="E0E7ED"/>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7,539</w:t>
            </w:r>
          </w:p>
        </w:tc>
        <w:tc>
          <w:tcPr>
            <w:tcW w:w="80" w:type="dxa"/>
            <w:vAlign w:val="bottom"/>
            <w:tcBorders>
              <w:bottom w:val="single" w:sz="8" w:color="E0E7ED"/>
            </w:tcBorders>
            <w:shd w:val="clear" w:color="auto" w:fill="E0E7ED"/>
          </w:tcPr>
          <w:p>
            <w:pPr>
              <w:spacing w:after="0"/>
              <w:rPr>
                <w:sz w:val="17"/>
                <w:szCs w:val="17"/>
                <w:color w:val="auto"/>
              </w:rPr>
            </w:pPr>
          </w:p>
        </w:tc>
        <w:tc>
          <w:tcPr>
            <w:tcW w:w="160" w:type="dxa"/>
            <w:vAlign w:val="bottom"/>
            <w:tcBorders>
              <w:bottom w:val="single" w:sz="8" w:color="auto"/>
            </w:tcBorders>
            <w:shd w:val="clear" w:color="auto" w:fill="E0E7ED"/>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20,125</w:t>
            </w:r>
          </w:p>
        </w:tc>
        <w:tc>
          <w:tcPr>
            <w:tcW w:w="6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109,538</w:t>
            </w:r>
          </w:p>
        </w:tc>
      </w:tr>
    </w:tbl>
    <w:p>
      <w:pPr>
        <w:spacing w:after="0" w:line="158" w:lineRule="exact"/>
        <w:rPr>
          <w:sz w:val="20"/>
          <w:szCs w:val="20"/>
          <w:color w:val="auto"/>
        </w:rPr>
      </w:pPr>
    </w:p>
    <w:p>
      <w:pPr>
        <w:jc w:val="both"/>
        <w:ind w:right="20"/>
        <w:spacing w:after="0" w:line="233" w:lineRule="auto"/>
        <w:rPr>
          <w:sz w:val="20"/>
          <w:szCs w:val="20"/>
          <w:color w:val="auto"/>
        </w:rPr>
      </w:pPr>
      <w:r>
        <w:rPr>
          <w:rFonts w:ascii="Arial" w:cs="Arial" w:eastAsia="Arial" w:hAnsi="Arial"/>
          <w:sz w:val="12"/>
          <w:szCs w:val="12"/>
          <w:color w:val="auto"/>
        </w:rPr>
        <w:t>Adjusted net income,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which excludes the impact of non-GAAP adjustments, was $57.2 million, or $ 0.63 per diluted common share, for the third quarter of 2026, compared to $63.7 million, or $0.69 per diluted common share, for the second quarter of 2026 and $62.5 million, or $0.64 per diluted common share, for the third quarter of 2025. Annualized adjusted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annualized adjusted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1.23% and 13.25%, respectively, for the third quarter of 2026.</w:t>
      </w:r>
    </w:p>
    <w:p>
      <w:pPr>
        <w:spacing w:after="0" w:line="6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Adjusted 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$84.0 million for the third quarter of 2026, compared to $ 84.8 million for the second quarter of 2026 and $83.9 million for the third quarter of 2025. Adjusted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1.80% for the third quarter of 2026, compared to 1.90% for the second quarter of 2026 and 1.78% for the third quarter of 2025.</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and a reconciliation of non-GAAP measures—which are identified with the End Note labeled as 2—in tabular form,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2</w:t>
      </w:r>
    </w:p>
    <w:p>
      <w:pPr>
        <w:sectPr>
          <w:pgSz w:w="11900" w:h="16838" w:orient="portrait"/>
          <w:cols w:equalWidth="0" w:num="1">
            <w:col w:w="11300"/>
          </w:cols>
          <w:pgMar w:left="300" w:top="928"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Net Interest Income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Net interest income increased by $0.7 million in the third quarter of 2026, compared to the second quarter of 2026, driven by growth in average earning assets. Deposit funding costs were 13 basis points higher during the quarter largely due to continued success in deposit gathering initiatives as well as repricing impacts from the late quarter Federal Open Market Committee rate hike. Based on our most recent Asset Liability Management Committee model, a +100 basis point parallel rate shock is expected to increase net interest income by 1.5% (relative to a current base rate scenario) over the subsequent twelve-month period. Busey continues to evaluate and execute off-balance sheet hedging and balance sheet strategies as well as embedding rate protection in our asset originations to provide consistent and predictable net interest income performance across different interest rate environments. Deposit balances increased by $408.8 million, or 2.7%, primarily as a result of seasonal public funds inflows and strategic efforts to grow core customer deposits. At September 30, 2026, Busey Bank had $10.0 million of brokered funding, comprising 0.1% of total deposits, reflecting a $50.0 million reduction of brokered funding during the third quarter. Total deposit cost of funds increased from 1.80% during the second quarter of 2026 to 1.93% during the third quarter of 2026, with spot rates on total deposit costs increasing from 1.87% at June 30, 2026, to 1.97% at September 30, 2026. Busey continues to operate in a net excess cash position and at September 30, 2026, had cash and due from banks balances of $907.5 million. Busey’s average total cost of funds was 1.99% for the third quarter of 2026.</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3</w:t>
      </w:r>
    </w:p>
    <w:p>
      <w:pPr>
        <w:sectPr>
          <w:pgSz w:w="11900" w:h="16838" w:orient="portrait"/>
          <w:cols w:equalWidth="0" w:num="1">
            <w:col w:w="11300"/>
          </w:cols>
          <w:pgMar w:left="300" w:top="912"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Net Interest Margin</w:t>
      </w:r>
      <w:r>
        <w:rPr>
          <w:rFonts w:ascii="Arial" w:cs="Arial" w:eastAsia="Arial" w:hAnsi="Arial"/>
          <w:sz w:val="15"/>
          <w:szCs w:val="15"/>
          <w:color w:val="auto"/>
          <w:vertAlign w:val="superscript"/>
        </w:rPr>
        <w:t>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Busey’s average balances, annualized yield rates, and net interest margins are presented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5"/>
          </w:tcPr>
          <w:p>
            <w:pPr>
              <w:ind w:left="82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September 30, 2026</w:t>
            </w: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7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9"/>
                <w:szCs w:val="9"/>
                <w:color w:val="auto"/>
              </w:rPr>
            </w:pPr>
          </w:p>
        </w:tc>
        <w:tc>
          <w:tcPr>
            <w:tcW w:w="1000" w:type="dxa"/>
            <w:vAlign w:val="bottom"/>
            <w:gridSpan w:val="2"/>
          </w:tcPr>
          <w:p>
            <w:pPr>
              <w:ind w:left="160"/>
              <w:spacing w:after="0" w:line="106" w:lineRule="exact"/>
              <w:rPr>
                <w:sz w:val="20"/>
                <w:szCs w:val="20"/>
                <w:color w:val="auto"/>
              </w:rPr>
            </w:pPr>
            <w:r>
              <w:rPr>
                <w:rFonts w:ascii="Arial" w:cs="Arial" w:eastAsia="Arial" w:hAnsi="Arial"/>
                <w:sz w:val="10"/>
                <w:szCs w:val="10"/>
                <w:b w:val="1"/>
                <w:bCs w:val="1"/>
                <w:color w:val="auto"/>
              </w:rPr>
              <w:t>Average</w:t>
            </w:r>
          </w:p>
        </w:tc>
        <w:tc>
          <w:tcPr>
            <w:tcW w:w="140" w:type="dxa"/>
            <w:vAlign w:val="bottom"/>
          </w:tcPr>
          <w:p>
            <w:pPr>
              <w:spacing w:after="0"/>
              <w:rPr>
                <w:sz w:val="9"/>
                <w:szCs w:val="9"/>
                <w:color w:val="auto"/>
              </w:rPr>
            </w:pPr>
          </w:p>
        </w:tc>
        <w:tc>
          <w:tcPr>
            <w:tcW w:w="1100" w:type="dxa"/>
            <w:vAlign w:val="bottom"/>
            <w:gridSpan w:val="2"/>
          </w:tcPr>
          <w:p>
            <w:pPr>
              <w:ind w:left="260"/>
              <w:spacing w:after="0" w:line="106" w:lineRule="exact"/>
              <w:rPr>
                <w:sz w:val="20"/>
                <w:szCs w:val="20"/>
                <w:color w:val="auto"/>
              </w:rPr>
            </w:pPr>
            <w:r>
              <w:rPr>
                <w:rFonts w:ascii="Arial" w:cs="Arial" w:eastAsia="Arial" w:hAnsi="Arial"/>
                <w:sz w:val="10"/>
                <w:szCs w:val="10"/>
                <w:b w:val="1"/>
                <w:bCs w:val="1"/>
                <w:color w:val="auto"/>
              </w:rPr>
              <w:t>Income/</w:t>
            </w:r>
          </w:p>
        </w:tc>
        <w:tc>
          <w:tcPr>
            <w:tcW w:w="1240" w:type="dxa"/>
            <w:vAlign w:val="bottom"/>
          </w:tcPr>
          <w:p>
            <w:pPr>
              <w:jc w:val="right"/>
              <w:ind w:right="442"/>
              <w:spacing w:after="0" w:line="106" w:lineRule="exact"/>
              <w:rPr>
                <w:sz w:val="20"/>
                <w:szCs w:val="20"/>
                <w:color w:val="auto"/>
              </w:rPr>
            </w:pPr>
            <w:r>
              <w:rPr>
                <w:rFonts w:ascii="Arial" w:cs="Arial" w:eastAsia="Arial" w:hAnsi="Arial"/>
                <w:sz w:val="10"/>
                <w:szCs w:val="10"/>
                <w:b w:val="1"/>
                <w:bCs w:val="1"/>
                <w:color w:val="auto"/>
              </w:rPr>
              <w:t>Yield/</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gridSpan w:val="2"/>
          </w:tcPr>
          <w:p>
            <w:pPr>
              <w:ind w:left="160"/>
              <w:spacing w:after="0" w:line="106" w:lineRule="exact"/>
              <w:rPr>
                <w:sz w:val="20"/>
                <w:szCs w:val="20"/>
                <w:color w:val="auto"/>
              </w:rPr>
            </w:pPr>
            <w:r>
              <w:rPr>
                <w:rFonts w:ascii="Arial" w:cs="Arial" w:eastAsia="Arial" w:hAnsi="Arial"/>
                <w:sz w:val="10"/>
                <w:szCs w:val="10"/>
                <w:b w:val="1"/>
                <w:bCs w:val="1"/>
                <w:color w:val="auto"/>
              </w:rPr>
              <w:t>Average</w:t>
            </w:r>
          </w:p>
        </w:tc>
        <w:tc>
          <w:tcPr>
            <w:tcW w:w="200" w:type="dxa"/>
            <w:vAlign w:val="bottom"/>
          </w:tcPr>
          <w:p>
            <w:pPr>
              <w:spacing w:after="0"/>
              <w:rPr>
                <w:sz w:val="9"/>
                <w:szCs w:val="9"/>
                <w:color w:val="auto"/>
              </w:rPr>
            </w:pPr>
          </w:p>
        </w:tc>
        <w:tc>
          <w:tcPr>
            <w:tcW w:w="1040" w:type="dxa"/>
            <w:vAlign w:val="bottom"/>
            <w:gridSpan w:val="2"/>
          </w:tcPr>
          <w:p>
            <w:pPr>
              <w:ind w:left="200"/>
              <w:spacing w:after="0" w:line="106" w:lineRule="exact"/>
              <w:rPr>
                <w:sz w:val="20"/>
                <w:szCs w:val="20"/>
                <w:color w:val="auto"/>
              </w:rPr>
            </w:pPr>
            <w:r>
              <w:rPr>
                <w:rFonts w:ascii="Arial" w:cs="Arial" w:eastAsia="Arial" w:hAnsi="Arial"/>
                <w:sz w:val="10"/>
                <w:szCs w:val="10"/>
                <w:b w:val="1"/>
                <w:bCs w:val="1"/>
                <w:color w:val="auto"/>
              </w:rPr>
              <w:t>Income/</w:t>
            </w:r>
          </w:p>
        </w:tc>
        <w:tc>
          <w:tcPr>
            <w:tcW w:w="1260" w:type="dxa"/>
            <w:vAlign w:val="bottom"/>
          </w:tcPr>
          <w:p>
            <w:pPr>
              <w:jc w:val="right"/>
              <w:ind w:right="442"/>
              <w:spacing w:after="0" w:line="106" w:lineRule="exact"/>
              <w:rPr>
                <w:sz w:val="20"/>
                <w:szCs w:val="20"/>
                <w:color w:val="auto"/>
              </w:rPr>
            </w:pPr>
            <w:r>
              <w:rPr>
                <w:rFonts w:ascii="Arial" w:cs="Arial" w:eastAsia="Arial" w:hAnsi="Arial"/>
                <w:sz w:val="10"/>
                <w:szCs w:val="10"/>
                <w:b w:val="1"/>
                <w:bCs w:val="1"/>
                <w:color w:val="auto"/>
              </w:rPr>
              <w:t>Yield/</w:t>
            </w:r>
          </w:p>
        </w:tc>
        <w:tc>
          <w:tcPr>
            <w:tcW w:w="0" w:type="dxa"/>
            <w:vAlign w:val="bottom"/>
          </w:tcPr>
          <w:p>
            <w:pPr>
              <w:spacing w:after="0"/>
              <w:rPr>
                <w:sz w:val="1"/>
                <w:szCs w:val="1"/>
                <w:color w:val="auto"/>
              </w:rPr>
            </w:pPr>
          </w:p>
        </w:tc>
      </w:tr>
      <w:tr>
        <w:trPr>
          <w:trHeight w:val="117"/>
        </w:trPr>
        <w:tc>
          <w:tcPr>
            <w:tcW w:w="3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140" w:type="dxa"/>
            <w:vAlign w:val="bottom"/>
          </w:tcPr>
          <w:p>
            <w:pPr>
              <w:spacing w:after="0"/>
              <w:rPr>
                <w:sz w:val="10"/>
                <w:szCs w:val="10"/>
                <w:color w:val="auto"/>
              </w:rPr>
            </w:pPr>
          </w:p>
        </w:tc>
        <w:tc>
          <w:tcPr>
            <w:tcW w:w="1100" w:type="dxa"/>
            <w:vAlign w:val="bottom"/>
            <w:gridSpan w:val="2"/>
          </w:tcPr>
          <w:p>
            <w:pPr>
              <w:ind w:left="240"/>
              <w:spacing w:after="0"/>
              <w:rPr>
                <w:sz w:val="20"/>
                <w:szCs w:val="20"/>
                <w:color w:val="auto"/>
              </w:rPr>
            </w:pPr>
            <w:r>
              <w:rPr>
                <w:rFonts w:ascii="Arial" w:cs="Arial" w:eastAsia="Arial" w:hAnsi="Arial"/>
                <w:sz w:val="10"/>
                <w:szCs w:val="10"/>
                <w:b w:val="1"/>
                <w:bCs w:val="1"/>
                <w:color w:val="auto"/>
              </w:rPr>
              <w:t>Expense</w:t>
            </w:r>
          </w:p>
        </w:tc>
        <w:tc>
          <w:tcPr>
            <w:tcW w:w="1240" w:type="dxa"/>
            <w:vAlign w:val="bottom"/>
          </w:tcPr>
          <w:p>
            <w:pPr>
              <w:jc w:val="right"/>
              <w:ind w:right="402"/>
              <w:spacing w:after="0" w:line="117"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b w:val="1"/>
                <w:bCs w:val="1"/>
                <w:color w:val="auto"/>
                <w:vertAlign w:val="superscript"/>
              </w:rPr>
              <w:t>(vi)</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20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Expense</w:t>
            </w:r>
          </w:p>
        </w:tc>
        <w:tc>
          <w:tcPr>
            <w:tcW w:w="1260" w:type="dxa"/>
            <w:vAlign w:val="bottom"/>
          </w:tcPr>
          <w:p>
            <w:pPr>
              <w:jc w:val="right"/>
              <w:ind w:right="422"/>
              <w:spacing w:after="0" w:line="117"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b w:val="1"/>
                <w:bCs w:val="1"/>
                <w:color w:val="auto"/>
                <w:vertAlign w:val="superscript"/>
              </w:rPr>
              <w:t>(vi)</w:t>
            </w:r>
          </w:p>
        </w:tc>
        <w:tc>
          <w:tcPr>
            <w:tcW w:w="0" w:type="dxa"/>
            <w:vAlign w:val="bottom"/>
          </w:tcPr>
          <w:p>
            <w:pPr>
              <w:spacing w:after="0"/>
              <w:rPr>
                <w:sz w:val="1"/>
                <w:szCs w:val="1"/>
                <w:color w:val="auto"/>
              </w:rPr>
            </w:pPr>
          </w:p>
        </w:tc>
      </w:tr>
      <w:tr>
        <w:trPr>
          <w:trHeight w:val="169"/>
        </w:trPr>
        <w:tc>
          <w:tcPr>
            <w:tcW w:w="3780" w:type="dxa"/>
            <w:vAlign w:val="bottom"/>
            <w:tcBorders>
              <w:top w:val="single" w:sz="8" w:color="E0E7ED"/>
            </w:tcBorders>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6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10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2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4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6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9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26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120"/>
              <w:spacing w:after="0"/>
              <w:rPr>
                <w:sz w:val="20"/>
                <w:szCs w:val="20"/>
                <w:color w:val="auto"/>
              </w:rPr>
            </w:pPr>
            <w:r>
              <w:rPr>
                <w:rFonts w:ascii="Arial" w:cs="Arial" w:eastAsia="Arial" w:hAnsi="Arial"/>
                <w:sz w:val="12"/>
                <w:szCs w:val="12"/>
                <w:color w:val="auto"/>
              </w:rPr>
              <w:t>Interest-bearing bank deposits and federal funds sold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688,669</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6,387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3.68 %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123,868</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1,057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3.42 %</w:t>
            </w:r>
          </w:p>
        </w:tc>
        <w:tc>
          <w:tcPr>
            <w:tcW w:w="0" w:type="dxa"/>
            <w:vAlign w:val="bottom"/>
          </w:tcPr>
          <w:p>
            <w:pPr>
              <w:spacing w:after="0"/>
              <w:rPr>
                <w:sz w:val="1"/>
                <w:szCs w:val="1"/>
                <w:color w:val="auto"/>
              </w:rPr>
            </w:pPr>
          </w:p>
        </w:tc>
      </w:tr>
      <w:tr>
        <w:trPr>
          <w:trHeight w:val="197"/>
        </w:trPr>
        <w:tc>
          <w:tcPr>
            <w:tcW w:w="37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Investment securities</w:t>
            </w:r>
            <w:r>
              <w:rPr>
                <w:rFonts w:ascii="Arial" w:cs="Arial" w:eastAsia="Arial" w:hAnsi="Arial"/>
                <w:sz w:val="15"/>
                <w:szCs w:val="15"/>
                <w:color w:val="auto"/>
                <w:vertAlign w:val="superscript"/>
              </w:rPr>
              <w:t>(i)(ii)</w:t>
            </w:r>
          </w:p>
        </w:tc>
        <w:tc>
          <w:tcPr>
            <w:tcW w:w="22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3,234,024</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28,664</w:t>
            </w: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3.52 %</w:t>
            </w: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2,964,414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24,483</w:t>
            </w: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3.31 %</w:t>
            </w:r>
          </w:p>
        </w:tc>
        <w:tc>
          <w:tcPr>
            <w:tcW w:w="0" w:type="dxa"/>
            <w:vAlign w:val="bottom"/>
          </w:tcPr>
          <w:p>
            <w:pPr>
              <w:spacing w:after="0"/>
              <w:rPr>
                <w:sz w:val="1"/>
                <w:szCs w:val="1"/>
                <w:color w:val="auto"/>
              </w:rPr>
            </w:pPr>
          </w:p>
        </w:tc>
      </w:tr>
      <w:tr>
        <w:trPr>
          <w:trHeight w:val="181"/>
        </w:trPr>
        <w:tc>
          <w:tcPr>
            <w:tcW w:w="3780" w:type="dxa"/>
            <w:vAlign w:val="bottom"/>
          </w:tcPr>
          <w:p>
            <w:pPr>
              <w:ind w:left="120"/>
              <w:spacing w:after="0"/>
              <w:rPr>
                <w:sz w:val="20"/>
                <w:szCs w:val="20"/>
                <w:color w:val="auto"/>
              </w:rPr>
            </w:pPr>
            <w:r>
              <w:rPr>
                <w:rFonts w:ascii="Arial" w:cs="Arial" w:eastAsia="Arial" w:hAnsi="Arial"/>
                <w:sz w:val="12"/>
                <w:szCs w:val="12"/>
                <w:color w:val="auto"/>
              </w:rPr>
              <w:t>Restricted bank stock</w:t>
            </w:r>
          </w:p>
        </w:tc>
        <w:tc>
          <w:tcPr>
            <w:tcW w:w="2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77,935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1,237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6.30 %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85,153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1,127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5.31 %</w:t>
            </w:r>
          </w:p>
        </w:tc>
        <w:tc>
          <w:tcPr>
            <w:tcW w:w="0" w:type="dxa"/>
            <w:vAlign w:val="bottom"/>
          </w:tcPr>
          <w:p>
            <w:pPr>
              <w:spacing w:after="0"/>
              <w:rPr>
                <w:sz w:val="1"/>
                <w:szCs w:val="1"/>
                <w:color w:val="auto"/>
              </w:rPr>
            </w:pPr>
          </w:p>
        </w:tc>
      </w:tr>
      <w:tr>
        <w:trPr>
          <w:trHeight w:val="197"/>
        </w:trPr>
        <w:tc>
          <w:tcPr>
            <w:tcW w:w="37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Loans held for sale</w:t>
            </w:r>
          </w:p>
        </w:tc>
        <w:tc>
          <w:tcPr>
            <w:tcW w:w="22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20,037</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398</w:t>
            </w: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7.88 %</w:t>
            </w: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8,358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122</w:t>
            </w: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5.85 %</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Portfolio loans</w:t>
            </w:r>
            <w:r>
              <w:rPr>
                <w:rFonts w:ascii="Arial" w:cs="Arial" w:eastAsia="Arial" w:hAnsi="Arial"/>
                <w:sz w:val="15"/>
                <w:szCs w:val="15"/>
                <w:color w:val="auto"/>
                <w:vertAlign w:val="superscript"/>
              </w:rPr>
              <w:t>(i)(iii)</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13,035,599</w:t>
            </w:r>
          </w:p>
        </w:tc>
        <w:tc>
          <w:tcPr>
            <w:tcW w:w="6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196,736</w:t>
            </w:r>
          </w:p>
        </w:tc>
        <w:tc>
          <w:tcPr>
            <w:tcW w:w="80" w:type="dxa"/>
            <w:vAlign w:val="bottom"/>
            <w:tcBorders>
              <w:bottom w:val="single" w:sz="8" w:color="E0E7ED"/>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5.99 %</w:t>
            </w:r>
          </w:p>
        </w:tc>
        <w:tc>
          <w:tcPr>
            <w:tcW w:w="8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13,326,579</w:t>
            </w:r>
          </w:p>
        </w:tc>
        <w:tc>
          <w:tcPr>
            <w:tcW w:w="6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198,477</w:t>
            </w:r>
          </w:p>
        </w:tc>
        <w:tc>
          <w:tcPr>
            <w:tcW w:w="80" w:type="dxa"/>
            <w:vAlign w:val="bottom"/>
            <w:tcBorders>
              <w:bottom w:val="single" w:sz="8" w:color="E0E7ED"/>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5.97 %</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E0E7ED"/>
            </w:tcBorders>
            <w:shd w:val="clear" w:color="auto" w:fill="E0E7ED"/>
          </w:tcPr>
          <w:p>
            <w:pPr>
              <w:ind w:left="120"/>
              <w:spacing w:after="0"/>
              <w:rPr>
                <w:sz w:val="20"/>
                <w:szCs w:val="20"/>
                <w:color w:val="auto"/>
              </w:rPr>
            </w:pPr>
            <w:r>
              <w:rPr>
                <w:rFonts w:ascii="Arial" w:cs="Arial" w:eastAsia="Arial" w:hAnsi="Arial"/>
                <w:sz w:val="12"/>
                <w:szCs w:val="12"/>
                <w:color w:val="auto"/>
              </w:rPr>
              <w:t>Total interest-earning assets</w:t>
            </w:r>
            <w:r>
              <w:rPr>
                <w:rFonts w:ascii="Arial" w:cs="Arial" w:eastAsia="Arial" w:hAnsi="Arial"/>
                <w:sz w:val="15"/>
                <w:szCs w:val="15"/>
                <w:color w:val="auto"/>
                <w:vertAlign w:val="superscript"/>
              </w:rPr>
              <w:t>(i)</w:t>
            </w:r>
          </w:p>
        </w:tc>
        <w:tc>
          <w:tcPr>
            <w:tcW w:w="22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17,056,264</w:t>
            </w:r>
          </w:p>
        </w:tc>
        <w:tc>
          <w:tcPr>
            <w:tcW w:w="6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233,422</w:t>
            </w:r>
          </w:p>
        </w:tc>
        <w:tc>
          <w:tcPr>
            <w:tcW w:w="80" w:type="dxa"/>
            <w:vAlign w:val="bottom"/>
            <w:tcBorders>
              <w:bottom w:val="single" w:sz="8" w:color="E0E7ED"/>
            </w:tcBorders>
            <w:shd w:val="clear" w:color="auto" w:fill="E0E7ED"/>
          </w:tcPr>
          <w:p>
            <w:pPr>
              <w:spacing w:after="0"/>
              <w:rPr>
                <w:sz w:val="17"/>
                <w:szCs w:val="17"/>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5.43 %</w:t>
            </w:r>
          </w:p>
        </w:tc>
        <w:tc>
          <w:tcPr>
            <w:tcW w:w="80" w:type="dxa"/>
            <w:vAlign w:val="bottom"/>
            <w:tcBorders>
              <w:bottom w:val="single" w:sz="8" w:color="E0E7ED"/>
            </w:tcBorders>
            <w:shd w:val="clear" w:color="auto" w:fill="E0E7ED"/>
          </w:tcPr>
          <w:p>
            <w:pPr>
              <w:spacing w:after="0"/>
              <w:rPr>
                <w:sz w:val="17"/>
                <w:szCs w:val="17"/>
                <w:color w:val="auto"/>
              </w:rPr>
            </w:pPr>
          </w:p>
        </w:tc>
        <w:tc>
          <w:tcPr>
            <w:tcW w:w="24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16,508,372</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225,266</w:t>
            </w:r>
          </w:p>
        </w:tc>
        <w:tc>
          <w:tcPr>
            <w:tcW w:w="80" w:type="dxa"/>
            <w:vAlign w:val="bottom"/>
            <w:tcBorders>
              <w:bottom w:val="single" w:sz="8" w:color="E0E7ED"/>
            </w:tcBorders>
            <w:shd w:val="clear" w:color="auto" w:fill="E0E7ED"/>
          </w:tcPr>
          <w:p>
            <w:pPr>
              <w:spacing w:after="0"/>
              <w:rPr>
                <w:sz w:val="17"/>
                <w:szCs w:val="17"/>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5.47 %</w:t>
            </w:r>
          </w:p>
        </w:tc>
        <w:tc>
          <w:tcPr>
            <w:tcW w:w="0" w:type="dxa"/>
            <w:vAlign w:val="bottom"/>
          </w:tcPr>
          <w:p>
            <w:pPr>
              <w:spacing w:after="0"/>
              <w:rPr>
                <w:sz w:val="1"/>
                <w:szCs w:val="1"/>
                <w:color w:val="auto"/>
              </w:rPr>
            </w:pPr>
          </w:p>
        </w:tc>
      </w:tr>
      <w:tr>
        <w:trPr>
          <w:trHeight w:val="159"/>
        </w:trPr>
        <w:tc>
          <w:tcPr>
            <w:tcW w:w="37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Noninterest-earning assets</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1,414,675</w:t>
            </w:r>
          </w:p>
        </w:tc>
        <w:tc>
          <w:tcPr>
            <w:tcW w:w="60" w:type="dxa"/>
            <w:vAlign w:val="bottom"/>
            <w:tcBorders>
              <w:bottom w:val="single" w:sz="8" w:color="E0E7ED"/>
            </w:tcBorders>
          </w:tcPr>
          <w:p>
            <w:pPr>
              <w:spacing w:after="0"/>
              <w:rPr>
                <w:sz w:val="13"/>
                <w:szCs w:val="13"/>
                <w:color w:val="auto"/>
              </w:rPr>
            </w:pPr>
          </w:p>
        </w:tc>
        <w:tc>
          <w:tcPr>
            <w:tcW w:w="140" w:type="dxa"/>
            <w:vAlign w:val="bottom"/>
            <w:tcBorders>
              <w:bottom w:val="single" w:sz="8" w:color="E0E7ED"/>
            </w:tcBorders>
          </w:tcPr>
          <w:p>
            <w:pPr>
              <w:spacing w:after="0"/>
              <w:rPr>
                <w:sz w:val="13"/>
                <w:szCs w:val="13"/>
                <w:color w:val="auto"/>
              </w:rPr>
            </w:pPr>
          </w:p>
        </w:tc>
        <w:tc>
          <w:tcPr>
            <w:tcW w:w="102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124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1,378,725</w:t>
            </w:r>
          </w:p>
        </w:tc>
        <w:tc>
          <w:tcPr>
            <w:tcW w:w="60" w:type="dxa"/>
            <w:vAlign w:val="bottom"/>
            <w:tcBorders>
              <w:bottom w:val="single" w:sz="8" w:color="E0E7ED"/>
            </w:tcBorders>
          </w:tcPr>
          <w:p>
            <w:pPr>
              <w:spacing w:after="0"/>
              <w:rPr>
                <w:sz w:val="13"/>
                <w:szCs w:val="13"/>
                <w:color w:val="auto"/>
              </w:rPr>
            </w:pPr>
          </w:p>
        </w:tc>
        <w:tc>
          <w:tcPr>
            <w:tcW w:w="200" w:type="dxa"/>
            <w:vAlign w:val="bottom"/>
            <w:tcBorders>
              <w:bottom w:val="single" w:sz="8" w:color="E0E7ED"/>
            </w:tcBorders>
          </w:tcPr>
          <w:p>
            <w:pPr>
              <w:spacing w:after="0"/>
              <w:rPr>
                <w:sz w:val="13"/>
                <w:szCs w:val="13"/>
                <w:color w:val="auto"/>
              </w:rPr>
            </w:pPr>
          </w:p>
        </w:tc>
        <w:tc>
          <w:tcPr>
            <w:tcW w:w="960" w:type="dxa"/>
            <w:vAlign w:val="bottom"/>
            <w:tcBorders>
              <w:bottom w:val="single" w:sz="8" w:color="E0E7ED"/>
            </w:tcBorders>
          </w:tcPr>
          <w:p>
            <w:pPr>
              <w:spacing w:after="0"/>
              <w:rPr>
                <w:sz w:val="13"/>
                <w:szCs w:val="13"/>
                <w:color w:val="auto"/>
              </w:rPr>
            </w:pPr>
          </w:p>
        </w:tc>
        <w:tc>
          <w:tcPr>
            <w:tcW w:w="80" w:type="dxa"/>
            <w:vAlign w:val="bottom"/>
            <w:tcBorders>
              <w:bottom w:val="single" w:sz="8" w:color="E0E7ED"/>
            </w:tcBorders>
          </w:tcPr>
          <w:p>
            <w:pPr>
              <w:spacing w:after="0"/>
              <w:rPr>
                <w:sz w:val="13"/>
                <w:szCs w:val="13"/>
                <w:color w:val="auto"/>
              </w:rPr>
            </w:pPr>
          </w:p>
        </w:tc>
        <w:tc>
          <w:tcPr>
            <w:tcW w:w="1260" w:type="dxa"/>
            <w:vAlign w:val="bottom"/>
            <w:tcBorders>
              <w:bottom w:val="single" w:sz="8" w:color="E0E7ED"/>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E0E7ED"/>
          </w:tcPr>
          <w:p>
            <w:pPr>
              <w:spacing w:after="0"/>
              <w:rPr>
                <w:sz w:val="20"/>
                <w:szCs w:val="20"/>
                <w:color w:val="auto"/>
              </w:rPr>
            </w:pPr>
            <w:r>
              <w:rPr>
                <w:rFonts w:ascii="Arial" w:cs="Arial" w:eastAsia="Arial" w:hAnsi="Arial"/>
                <w:sz w:val="12"/>
                <w:szCs w:val="12"/>
                <w:color w:val="auto"/>
              </w:rPr>
              <w:t>Total assets</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18,470,939</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17,887,097</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tcBorders>
              <w:top w:val="single" w:sz="8" w:color="E0E7ED"/>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140" w:type="dxa"/>
            <w:vAlign w:val="bottom"/>
            <w:tcBorders>
              <w:top w:val="single" w:sz="8" w:color="E0E7ED"/>
            </w:tcBorders>
          </w:tcPr>
          <w:p>
            <w:pPr>
              <w:spacing w:after="0"/>
              <w:rPr>
                <w:sz w:val="14"/>
                <w:szCs w:val="14"/>
                <w:color w:val="auto"/>
              </w:rPr>
            </w:pPr>
          </w:p>
        </w:tc>
        <w:tc>
          <w:tcPr>
            <w:tcW w:w="102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124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E0E7ED"/>
            </w:tcBorders>
          </w:tcPr>
          <w:p>
            <w:pPr>
              <w:spacing w:after="0"/>
              <w:rPr>
                <w:sz w:val="14"/>
                <w:szCs w:val="14"/>
                <w:color w:val="auto"/>
              </w:rPr>
            </w:pPr>
          </w:p>
        </w:tc>
        <w:tc>
          <w:tcPr>
            <w:tcW w:w="200" w:type="dxa"/>
            <w:vAlign w:val="bottom"/>
            <w:tcBorders>
              <w:top w:val="single" w:sz="8" w:color="E0E7ED"/>
            </w:tcBorders>
          </w:tcPr>
          <w:p>
            <w:pPr>
              <w:spacing w:after="0"/>
              <w:rPr>
                <w:sz w:val="14"/>
                <w:szCs w:val="14"/>
                <w:color w:val="auto"/>
              </w:rPr>
            </w:pPr>
          </w:p>
        </w:tc>
        <w:tc>
          <w:tcPr>
            <w:tcW w:w="960" w:type="dxa"/>
            <w:vAlign w:val="bottom"/>
            <w:tcBorders>
              <w:top w:val="single" w:sz="8" w:color="E0E7ED"/>
            </w:tcBorders>
          </w:tcPr>
          <w:p>
            <w:pPr>
              <w:spacing w:after="0"/>
              <w:rPr>
                <w:sz w:val="14"/>
                <w:szCs w:val="14"/>
                <w:color w:val="auto"/>
              </w:rPr>
            </w:pPr>
          </w:p>
        </w:tc>
        <w:tc>
          <w:tcPr>
            <w:tcW w:w="80" w:type="dxa"/>
            <w:vAlign w:val="bottom"/>
            <w:tcBorders>
              <w:top w:val="single" w:sz="8" w:color="E0E7ED"/>
            </w:tcBorders>
          </w:tcPr>
          <w:p>
            <w:pPr>
              <w:spacing w:after="0"/>
              <w:rPr>
                <w:sz w:val="14"/>
                <w:szCs w:val="14"/>
                <w:color w:val="auto"/>
              </w:rPr>
            </w:pPr>
          </w:p>
        </w:tc>
        <w:tc>
          <w:tcPr>
            <w:tcW w:w="1260" w:type="dxa"/>
            <w:vAlign w:val="bottom"/>
            <w:tcBorders>
              <w:top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120"/>
              <w:spacing w:after="0"/>
              <w:rPr>
                <w:sz w:val="20"/>
                <w:szCs w:val="20"/>
                <w:color w:val="auto"/>
              </w:rPr>
            </w:pPr>
            <w:r>
              <w:rPr>
                <w:rFonts w:ascii="Arial" w:cs="Arial" w:eastAsia="Arial" w:hAnsi="Arial"/>
                <w:sz w:val="12"/>
                <w:szCs w:val="12"/>
                <w:color w:val="auto"/>
              </w:rPr>
              <w:t>Interest-bearing transaction deposits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3,426,877</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15,343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1.78 %</w:t>
            </w: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3,203,014</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13,463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1.69 %</w:t>
            </w:r>
          </w:p>
        </w:tc>
        <w:tc>
          <w:tcPr>
            <w:tcW w:w="0" w:type="dxa"/>
            <w:vAlign w:val="bottom"/>
          </w:tcPr>
          <w:p>
            <w:pPr>
              <w:spacing w:after="0"/>
              <w:rPr>
                <w:sz w:val="1"/>
                <w:szCs w:val="1"/>
                <w:color w:val="auto"/>
              </w:rPr>
            </w:pPr>
          </w:p>
        </w:tc>
      </w:tr>
      <w:tr>
        <w:trPr>
          <w:trHeight w:val="197"/>
        </w:trPr>
        <w:tc>
          <w:tcPr>
            <w:tcW w:w="37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Savings and money market deposits</w:t>
            </w:r>
          </w:p>
        </w:tc>
        <w:tc>
          <w:tcPr>
            <w:tcW w:w="22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6,127,538</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38,445</w:t>
            </w: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2.49 %</w:t>
            </w: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5,615,951</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32,220</w:t>
            </w: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2.30 %</w:t>
            </w:r>
          </w:p>
        </w:tc>
        <w:tc>
          <w:tcPr>
            <w:tcW w:w="0" w:type="dxa"/>
            <w:vAlign w:val="bottom"/>
          </w:tcPr>
          <w:p>
            <w:pPr>
              <w:spacing w:after="0"/>
              <w:rPr>
                <w:sz w:val="1"/>
                <w:szCs w:val="1"/>
                <w:color w:val="auto"/>
              </w:rPr>
            </w:pPr>
          </w:p>
        </w:tc>
      </w:tr>
      <w:tr>
        <w:trPr>
          <w:trHeight w:val="181"/>
        </w:trPr>
        <w:tc>
          <w:tcPr>
            <w:tcW w:w="3780" w:type="dxa"/>
            <w:vAlign w:val="bottom"/>
          </w:tcPr>
          <w:p>
            <w:pPr>
              <w:ind w:left="120"/>
              <w:spacing w:after="0"/>
              <w:rPr>
                <w:sz w:val="20"/>
                <w:szCs w:val="20"/>
                <w:color w:val="auto"/>
              </w:rPr>
            </w:pPr>
            <w:r>
              <w:rPr>
                <w:rFonts w:ascii="Arial" w:cs="Arial" w:eastAsia="Arial" w:hAnsi="Arial"/>
                <w:sz w:val="12"/>
                <w:szCs w:val="12"/>
                <w:color w:val="auto"/>
              </w:rPr>
              <w:t>Time deposits</w:t>
            </w:r>
          </w:p>
        </w:tc>
        <w:tc>
          <w:tcPr>
            <w:tcW w:w="2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2,408,540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21,135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3.48 %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2,342,629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20,078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3.44 %</w:t>
            </w:r>
          </w:p>
        </w:tc>
        <w:tc>
          <w:tcPr>
            <w:tcW w:w="0" w:type="dxa"/>
            <w:vAlign w:val="bottom"/>
          </w:tcPr>
          <w:p>
            <w:pPr>
              <w:spacing w:after="0"/>
              <w:rPr>
                <w:sz w:val="1"/>
                <w:szCs w:val="1"/>
                <w:color w:val="auto"/>
              </w:rPr>
            </w:pPr>
          </w:p>
        </w:tc>
      </w:tr>
      <w:tr>
        <w:trPr>
          <w:trHeight w:val="197"/>
        </w:trPr>
        <w:tc>
          <w:tcPr>
            <w:tcW w:w="37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Federal funds purchased and repurchase agreements</w:t>
            </w:r>
          </w:p>
        </w:tc>
        <w:tc>
          <w:tcPr>
            <w:tcW w:w="22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150,791</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928</w:t>
            </w: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2.44 %</w:t>
            </w: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169,008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1,098</w:t>
            </w: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2.61 %</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Borrowings</w:t>
            </w:r>
            <w:r>
              <w:rPr>
                <w:rFonts w:ascii="Arial" w:cs="Arial" w:eastAsia="Arial" w:hAnsi="Arial"/>
                <w:sz w:val="15"/>
                <w:szCs w:val="15"/>
                <w:color w:val="auto"/>
                <w:vertAlign w:val="superscript"/>
              </w:rPr>
              <w:t>(iv)</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292,005</w:t>
            </w:r>
          </w:p>
        </w:tc>
        <w:tc>
          <w:tcPr>
            <w:tcW w:w="6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3,575</w:t>
            </w:r>
          </w:p>
        </w:tc>
        <w:tc>
          <w:tcPr>
            <w:tcW w:w="80" w:type="dxa"/>
            <w:vAlign w:val="bottom"/>
            <w:tcBorders>
              <w:bottom w:val="single" w:sz="8" w:color="E0E7ED"/>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4.86 %</w:t>
            </w:r>
          </w:p>
        </w:tc>
        <w:tc>
          <w:tcPr>
            <w:tcW w:w="8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450,454</w:t>
            </w:r>
          </w:p>
        </w:tc>
        <w:tc>
          <w:tcPr>
            <w:tcW w:w="6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5,164</w:t>
            </w:r>
          </w:p>
        </w:tc>
        <w:tc>
          <w:tcPr>
            <w:tcW w:w="80" w:type="dxa"/>
            <w:vAlign w:val="bottom"/>
            <w:tcBorders>
              <w:bottom w:val="single" w:sz="8" w:color="E0E7ED"/>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4.60 %</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E0E7ED"/>
            </w:tcBorders>
            <w:shd w:val="clear" w:color="auto" w:fill="E0E7ED"/>
          </w:tcPr>
          <w:p>
            <w:pPr>
              <w:ind w:left="120"/>
              <w:spacing w:after="0"/>
              <w:rPr>
                <w:sz w:val="20"/>
                <w:szCs w:val="20"/>
                <w:color w:val="auto"/>
              </w:rPr>
            </w:pPr>
            <w:r>
              <w:rPr>
                <w:rFonts w:ascii="Arial" w:cs="Arial" w:eastAsia="Arial" w:hAnsi="Arial"/>
                <w:sz w:val="12"/>
                <w:szCs w:val="12"/>
                <w:color w:val="auto"/>
              </w:rPr>
              <w:t>Total interest-bearing liabilities</w:t>
            </w:r>
          </w:p>
        </w:tc>
        <w:tc>
          <w:tcPr>
            <w:tcW w:w="22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12,405,751</w:t>
            </w:r>
          </w:p>
        </w:tc>
        <w:tc>
          <w:tcPr>
            <w:tcW w:w="6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79,426</w:t>
            </w:r>
          </w:p>
        </w:tc>
        <w:tc>
          <w:tcPr>
            <w:tcW w:w="80" w:type="dxa"/>
            <w:vAlign w:val="bottom"/>
            <w:tcBorders>
              <w:bottom w:val="single" w:sz="8" w:color="E0E7ED"/>
            </w:tcBorders>
            <w:shd w:val="clear" w:color="auto" w:fill="E0E7ED"/>
          </w:tcPr>
          <w:p>
            <w:pPr>
              <w:spacing w:after="0"/>
              <w:rPr>
                <w:sz w:val="17"/>
                <w:szCs w:val="17"/>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2.54 %</w:t>
            </w:r>
          </w:p>
        </w:tc>
        <w:tc>
          <w:tcPr>
            <w:tcW w:w="80" w:type="dxa"/>
            <w:vAlign w:val="bottom"/>
            <w:tcBorders>
              <w:bottom w:val="single" w:sz="8" w:color="E0E7ED"/>
            </w:tcBorders>
            <w:shd w:val="clear" w:color="auto" w:fill="E0E7ED"/>
          </w:tcPr>
          <w:p>
            <w:pPr>
              <w:spacing w:after="0"/>
              <w:rPr>
                <w:sz w:val="17"/>
                <w:szCs w:val="17"/>
                <w:color w:val="auto"/>
              </w:rPr>
            </w:pPr>
          </w:p>
        </w:tc>
        <w:tc>
          <w:tcPr>
            <w:tcW w:w="24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1"/>
              <w:spacing w:after="0"/>
              <w:rPr>
                <w:sz w:val="20"/>
                <w:szCs w:val="20"/>
                <w:color w:val="auto"/>
              </w:rPr>
            </w:pPr>
            <w:r>
              <w:rPr>
                <w:rFonts w:ascii="Arial" w:cs="Arial" w:eastAsia="Arial" w:hAnsi="Arial"/>
                <w:sz w:val="12"/>
                <w:szCs w:val="12"/>
                <w:color w:val="auto"/>
              </w:rPr>
              <w:t>11,781,056</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72,023</w:t>
            </w:r>
          </w:p>
        </w:tc>
        <w:tc>
          <w:tcPr>
            <w:tcW w:w="80" w:type="dxa"/>
            <w:vAlign w:val="bottom"/>
            <w:tcBorders>
              <w:bottom w:val="single" w:sz="8" w:color="E0E7ED"/>
            </w:tcBorders>
            <w:shd w:val="clear" w:color="auto" w:fill="E0E7ED"/>
          </w:tcPr>
          <w:p>
            <w:pPr>
              <w:spacing w:after="0"/>
              <w:rPr>
                <w:sz w:val="17"/>
                <w:szCs w:val="17"/>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2.45 %</w:t>
            </w:r>
          </w:p>
        </w:tc>
        <w:tc>
          <w:tcPr>
            <w:tcW w:w="0" w:type="dxa"/>
            <w:vAlign w:val="bottom"/>
          </w:tcPr>
          <w:p>
            <w:pPr>
              <w:spacing w:after="0"/>
              <w:rPr>
                <w:sz w:val="1"/>
                <w:szCs w:val="1"/>
                <w:color w:val="auto"/>
              </w:rPr>
            </w:pPr>
          </w:p>
        </w:tc>
      </w:tr>
      <w:tr>
        <w:trPr>
          <w:trHeight w:val="159"/>
        </w:trPr>
        <w:tc>
          <w:tcPr>
            <w:tcW w:w="3780" w:type="dxa"/>
            <w:vAlign w:val="bottom"/>
          </w:tcPr>
          <w:p>
            <w:pPr>
              <w:ind w:left="120"/>
              <w:spacing w:after="0"/>
              <w:rPr>
                <w:sz w:val="20"/>
                <w:szCs w:val="20"/>
                <w:color w:val="auto"/>
              </w:rPr>
            </w:pPr>
            <w:r>
              <w:rPr>
                <w:rFonts w:ascii="Arial" w:cs="Arial" w:eastAsia="Arial" w:hAnsi="Arial"/>
                <w:sz w:val="12"/>
                <w:szCs w:val="12"/>
                <w:color w:val="auto"/>
              </w:rPr>
              <w:t>Noninterest-bearing deposits</w:t>
            </w:r>
          </w:p>
        </w:tc>
        <w:tc>
          <w:tcPr>
            <w:tcW w:w="22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3,439,388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3,467,436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liabilities</w:t>
            </w:r>
          </w:p>
        </w:tc>
        <w:tc>
          <w:tcPr>
            <w:tcW w:w="22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272,038</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240,118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Stockholders’ equity</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2,353,762</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E0E7ED"/>
            </w:tcBorders>
          </w:tcPr>
          <w:p>
            <w:pPr>
              <w:spacing w:after="0"/>
              <w:rPr>
                <w:sz w:val="15"/>
                <w:szCs w:val="15"/>
                <w:color w:val="auto"/>
              </w:rPr>
            </w:pPr>
          </w:p>
        </w:tc>
        <w:tc>
          <w:tcPr>
            <w:tcW w:w="102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124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2,398,487</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E0E7ED"/>
            </w:tcBorders>
          </w:tcPr>
          <w:p>
            <w:pPr>
              <w:spacing w:after="0"/>
              <w:rPr>
                <w:sz w:val="15"/>
                <w:szCs w:val="15"/>
                <w:color w:val="auto"/>
              </w:rPr>
            </w:pPr>
          </w:p>
        </w:tc>
        <w:tc>
          <w:tcPr>
            <w:tcW w:w="96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1260" w:type="dxa"/>
            <w:vAlign w:val="bottom"/>
            <w:tcBorders>
              <w:bottom w:val="single" w:sz="8" w:color="E0E7ED"/>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E0E7ED"/>
          </w:tcPr>
          <w:p>
            <w:pPr>
              <w:spacing w:after="0"/>
              <w:rPr>
                <w:sz w:val="20"/>
                <w:szCs w:val="20"/>
                <w:color w:val="auto"/>
              </w:rPr>
            </w:pPr>
            <w:r>
              <w:rPr>
                <w:rFonts w:ascii="Arial" w:cs="Arial" w:eastAsia="Arial" w:hAnsi="Arial"/>
                <w:sz w:val="12"/>
                <w:szCs w:val="12"/>
                <w:color w:val="auto"/>
              </w:rPr>
              <w:t>Total liabilities and stockholders’ equity</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18,470,939</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320" w:type="dxa"/>
            <w:vAlign w:val="bottom"/>
            <w:gridSpan w:val="2"/>
            <w:shd w:val="clear" w:color="auto" w:fill="E0E7ED"/>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17,887,097</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6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tcBorders>
              <w:top w:val="single" w:sz="8" w:color="E0E7ED"/>
              <w:bottom w:val="single" w:sz="8" w:color="E0E7ED"/>
            </w:tcBorders>
          </w:tcPr>
          <w:p>
            <w:pPr>
              <w:spacing w:after="0"/>
              <w:rPr>
                <w:sz w:val="14"/>
                <w:szCs w:val="14"/>
                <w:color w:val="auto"/>
              </w:rPr>
            </w:pPr>
          </w:p>
        </w:tc>
        <w:tc>
          <w:tcPr>
            <w:tcW w:w="220" w:type="dxa"/>
            <w:vAlign w:val="bottom"/>
            <w:tcBorders>
              <w:top w:val="single" w:sz="8" w:color="auto"/>
              <w:bottom w:val="single" w:sz="8" w:color="E0E7ED"/>
            </w:tcBorders>
          </w:tcPr>
          <w:p>
            <w:pPr>
              <w:spacing w:after="0"/>
              <w:rPr>
                <w:sz w:val="14"/>
                <w:szCs w:val="14"/>
                <w:color w:val="auto"/>
              </w:rPr>
            </w:pPr>
          </w:p>
        </w:tc>
        <w:tc>
          <w:tcPr>
            <w:tcW w:w="940" w:type="dxa"/>
            <w:vAlign w:val="bottom"/>
            <w:tcBorders>
              <w:top w:val="single" w:sz="8" w:color="auto"/>
              <w:bottom w:val="single" w:sz="8" w:color="E0E7ED"/>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140" w:type="dxa"/>
            <w:vAlign w:val="bottom"/>
            <w:tcBorders>
              <w:top w:val="single" w:sz="8" w:color="E0E7ED"/>
              <w:bottom w:val="single" w:sz="8" w:color="auto"/>
            </w:tcBorders>
          </w:tcPr>
          <w:p>
            <w:pPr>
              <w:spacing w:after="0"/>
              <w:rPr>
                <w:sz w:val="14"/>
                <w:szCs w:val="14"/>
                <w:color w:val="auto"/>
              </w:rPr>
            </w:pPr>
          </w:p>
        </w:tc>
        <w:tc>
          <w:tcPr>
            <w:tcW w:w="102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124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240" w:type="dxa"/>
            <w:vAlign w:val="bottom"/>
            <w:tcBorders>
              <w:top w:val="single" w:sz="8" w:color="auto"/>
              <w:bottom w:val="single" w:sz="8" w:color="E0E7ED"/>
            </w:tcBorders>
          </w:tcPr>
          <w:p>
            <w:pPr>
              <w:spacing w:after="0"/>
              <w:rPr>
                <w:sz w:val="14"/>
                <w:szCs w:val="14"/>
                <w:color w:val="auto"/>
              </w:rPr>
            </w:pPr>
          </w:p>
        </w:tc>
        <w:tc>
          <w:tcPr>
            <w:tcW w:w="940" w:type="dxa"/>
            <w:vAlign w:val="bottom"/>
            <w:tcBorders>
              <w:top w:val="single" w:sz="8" w:color="auto"/>
              <w:bottom w:val="single" w:sz="8" w:color="E0E7ED"/>
            </w:tcBorders>
          </w:tcPr>
          <w:p>
            <w:pPr>
              <w:spacing w:after="0"/>
              <w:rPr>
                <w:sz w:val="14"/>
                <w:szCs w:val="14"/>
                <w:color w:val="auto"/>
              </w:rPr>
            </w:pPr>
          </w:p>
        </w:tc>
        <w:tc>
          <w:tcPr>
            <w:tcW w:w="60" w:type="dxa"/>
            <w:vAlign w:val="bottom"/>
            <w:tcBorders>
              <w:top w:val="single" w:sz="8" w:color="E0E7ED"/>
              <w:bottom w:val="single" w:sz="8" w:color="E0E7ED"/>
            </w:tcBorders>
          </w:tcPr>
          <w:p>
            <w:pPr>
              <w:spacing w:after="0"/>
              <w:rPr>
                <w:sz w:val="14"/>
                <w:szCs w:val="14"/>
                <w:color w:val="auto"/>
              </w:rPr>
            </w:pPr>
          </w:p>
        </w:tc>
        <w:tc>
          <w:tcPr>
            <w:tcW w:w="200" w:type="dxa"/>
            <w:vAlign w:val="bottom"/>
            <w:tcBorders>
              <w:top w:val="single" w:sz="8" w:color="E0E7ED"/>
              <w:bottom w:val="single" w:sz="8" w:color="auto"/>
            </w:tcBorders>
          </w:tcPr>
          <w:p>
            <w:pPr>
              <w:spacing w:after="0"/>
              <w:rPr>
                <w:sz w:val="14"/>
                <w:szCs w:val="14"/>
                <w:color w:val="auto"/>
              </w:rPr>
            </w:pPr>
          </w:p>
        </w:tc>
        <w:tc>
          <w:tcPr>
            <w:tcW w:w="960" w:type="dxa"/>
            <w:vAlign w:val="bottom"/>
            <w:tcBorders>
              <w:top w:val="single" w:sz="8" w:color="E0E7ED"/>
              <w:bottom w:val="single" w:sz="8" w:color="auto"/>
            </w:tcBorders>
          </w:tcPr>
          <w:p>
            <w:pPr>
              <w:spacing w:after="0"/>
              <w:rPr>
                <w:sz w:val="14"/>
                <w:szCs w:val="14"/>
                <w:color w:val="auto"/>
              </w:rPr>
            </w:pPr>
          </w:p>
        </w:tc>
        <w:tc>
          <w:tcPr>
            <w:tcW w:w="80" w:type="dxa"/>
            <w:vAlign w:val="bottom"/>
            <w:tcBorders>
              <w:top w:val="single" w:sz="8" w:color="E0E7ED"/>
              <w:bottom w:val="single" w:sz="8" w:color="E0E7ED"/>
            </w:tcBorders>
          </w:tcPr>
          <w:p>
            <w:pPr>
              <w:spacing w:after="0"/>
              <w:rPr>
                <w:sz w:val="14"/>
                <w:szCs w:val="14"/>
                <w:color w:val="auto"/>
              </w:rPr>
            </w:pPr>
          </w:p>
        </w:tc>
        <w:tc>
          <w:tcPr>
            <w:tcW w:w="1260" w:type="dxa"/>
            <w:vAlign w:val="bottom"/>
            <w:tcBorders>
              <w:top w:val="single" w:sz="8" w:color="E0E7ED"/>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Net interest margin</w:t>
            </w:r>
            <w:r>
              <w:rPr>
                <w:rFonts w:ascii="Arial" w:cs="Arial" w:eastAsia="Arial" w:hAnsi="Arial"/>
                <w:sz w:val="15"/>
                <w:szCs w:val="15"/>
                <w:color w:val="auto"/>
                <w:vertAlign w:val="superscript"/>
              </w:rPr>
              <w:t>(i)(v)</w:t>
            </w:r>
          </w:p>
        </w:tc>
        <w:tc>
          <w:tcPr>
            <w:tcW w:w="22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spacing w:after="0"/>
              <w:rPr>
                <w:sz w:val="17"/>
                <w:szCs w:val="17"/>
                <w:color w:val="auto"/>
              </w:rPr>
            </w:pPr>
          </w:p>
        </w:tc>
        <w:tc>
          <w:tcPr>
            <w:tcW w:w="6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153,996</w:t>
            </w:r>
          </w:p>
        </w:tc>
        <w:tc>
          <w:tcPr>
            <w:tcW w:w="80" w:type="dxa"/>
            <w:vAlign w:val="bottom"/>
            <w:tcBorders>
              <w:bottom w:val="single" w:sz="8" w:color="E0E7ED"/>
            </w:tcBorders>
            <w:shd w:val="clear" w:color="auto" w:fill="E0E7ED"/>
          </w:tcPr>
          <w:p>
            <w:pPr>
              <w:spacing w:after="0"/>
              <w:rPr>
                <w:sz w:val="17"/>
                <w:szCs w:val="17"/>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3.58 %</w:t>
            </w:r>
          </w:p>
        </w:tc>
        <w:tc>
          <w:tcPr>
            <w:tcW w:w="80" w:type="dxa"/>
            <w:vAlign w:val="bottom"/>
            <w:tcBorders>
              <w:bottom w:val="single" w:sz="8" w:color="E0E7ED"/>
            </w:tcBorders>
            <w:shd w:val="clear" w:color="auto" w:fill="E0E7ED"/>
          </w:tcPr>
          <w:p>
            <w:pPr>
              <w:spacing w:after="0"/>
              <w:rPr>
                <w:sz w:val="17"/>
                <w:szCs w:val="17"/>
                <w:color w:val="auto"/>
              </w:rPr>
            </w:pPr>
          </w:p>
        </w:tc>
        <w:tc>
          <w:tcPr>
            <w:tcW w:w="24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spacing w:after="0"/>
              <w:rPr>
                <w:sz w:val="17"/>
                <w:szCs w:val="17"/>
                <w:color w:val="auto"/>
              </w:rPr>
            </w:pP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153,243</w:t>
            </w:r>
          </w:p>
        </w:tc>
        <w:tc>
          <w:tcPr>
            <w:tcW w:w="80" w:type="dxa"/>
            <w:vAlign w:val="bottom"/>
            <w:tcBorders>
              <w:bottom w:val="single" w:sz="8" w:color="E0E7ED"/>
            </w:tcBorders>
            <w:shd w:val="clear" w:color="auto" w:fill="E0E7ED"/>
          </w:tcPr>
          <w:p>
            <w:pPr>
              <w:spacing w:after="0"/>
              <w:rPr>
                <w:sz w:val="17"/>
                <w:szCs w:val="17"/>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3.72 %</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20"/>
                <w:szCs w:val="20"/>
                <w:color w:val="auto"/>
              </w:rPr>
            </w:pPr>
            <w:r>
              <w:rPr>
                <w:rFonts w:ascii="Arial" w:cs="Arial" w:eastAsia="Arial" w:hAnsi="Arial"/>
                <w:sz w:val="10"/>
                <w:szCs w:val="10"/>
                <w:color w:val="auto"/>
              </w:rPr>
              <w:t>___________________________________________</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0" w:hanging="220"/>
        <w:spacing w:after="0"/>
        <w:tabs>
          <w:tab w:leader="none" w:pos="320" w:val="left"/>
        </w:tabs>
        <w:numPr>
          <w:ilvl w:val="0"/>
          <w:numId w:val="2"/>
        </w:numPr>
        <w:rPr>
          <w:rFonts w:ascii="Arial" w:cs="Arial" w:eastAsia="Arial" w:hAnsi="Arial"/>
          <w:sz w:val="10"/>
          <w:szCs w:val="10"/>
          <w:color w:val="auto"/>
        </w:rPr>
      </w:pPr>
      <w:r>
        <w:rPr>
          <w:rFonts w:ascii="Arial" w:cs="Arial" w:eastAsia="Arial" w:hAnsi="Arial"/>
          <w:sz w:val="10"/>
          <w:szCs w:val="10"/>
          <w:color w:val="auto"/>
        </w:rPr>
        <w:t>On a tax-equivalent basis and assuming a federal income tax rate of 21.0%.</w:t>
      </w:r>
    </w:p>
    <w:p>
      <w:pPr>
        <w:spacing w:after="0" w:line="1" w:lineRule="exact"/>
        <w:rPr>
          <w:rFonts w:ascii="Arial" w:cs="Arial" w:eastAsia="Arial" w:hAnsi="Arial"/>
          <w:sz w:val="10"/>
          <w:szCs w:val="10"/>
          <w:color w:val="auto"/>
        </w:rPr>
      </w:pPr>
    </w:p>
    <w:p>
      <w:pPr>
        <w:ind w:left="320" w:hanging="220"/>
        <w:spacing w:after="0"/>
        <w:tabs>
          <w:tab w:leader="none" w:pos="320" w:val="left"/>
        </w:tabs>
        <w:numPr>
          <w:ilvl w:val="0"/>
          <w:numId w:val="2"/>
        </w:numPr>
        <w:rPr>
          <w:rFonts w:ascii="Arial" w:cs="Arial" w:eastAsia="Arial" w:hAnsi="Arial"/>
          <w:sz w:val="10"/>
          <w:szCs w:val="10"/>
          <w:color w:val="auto"/>
        </w:rPr>
      </w:pPr>
      <w:r>
        <w:rPr>
          <w:rFonts w:ascii="Arial" w:cs="Arial" w:eastAsia="Arial" w:hAnsi="Arial"/>
          <w:sz w:val="10"/>
          <w:szCs w:val="10"/>
          <w:color w:val="auto"/>
        </w:rPr>
        <w:t>Investment securities include debt securities available for sale, debt securities held to maturity, and equity securities.</w:t>
      </w:r>
    </w:p>
    <w:p>
      <w:pPr>
        <w:spacing w:after="0" w:line="2" w:lineRule="exact"/>
        <w:rPr>
          <w:rFonts w:ascii="Arial" w:cs="Arial" w:eastAsia="Arial" w:hAnsi="Arial"/>
          <w:sz w:val="10"/>
          <w:szCs w:val="10"/>
          <w:color w:val="auto"/>
        </w:rPr>
      </w:pPr>
    </w:p>
    <w:p>
      <w:pPr>
        <w:ind w:left="300" w:hanging="200"/>
        <w:spacing w:after="0"/>
        <w:tabs>
          <w:tab w:leader="none" w:pos="300" w:val="left"/>
        </w:tabs>
        <w:numPr>
          <w:ilvl w:val="0"/>
          <w:numId w:val="2"/>
        </w:numPr>
        <w:rPr>
          <w:rFonts w:ascii="Arial" w:cs="Arial" w:eastAsia="Arial" w:hAnsi="Arial"/>
          <w:sz w:val="10"/>
          <w:szCs w:val="10"/>
          <w:color w:val="auto"/>
        </w:rPr>
      </w:pPr>
      <w:r>
        <w:rPr>
          <w:rFonts w:ascii="Arial" w:cs="Arial" w:eastAsia="Arial" w:hAnsi="Arial"/>
          <w:sz w:val="10"/>
          <w:szCs w:val="10"/>
          <w:color w:val="auto"/>
        </w:rPr>
        <w:t>Non-accrual loans have been included in average portfolio loans.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2"/>
        </w:numPr>
        <w:rPr>
          <w:rFonts w:ascii="Arial" w:cs="Arial" w:eastAsia="Arial" w:hAnsi="Arial"/>
          <w:sz w:val="10"/>
          <w:szCs w:val="10"/>
          <w:color w:val="auto"/>
        </w:rPr>
      </w:pPr>
      <w:r>
        <w:rPr>
          <w:rFonts w:ascii="Arial" w:cs="Arial" w:eastAsia="Arial" w:hAnsi="Arial"/>
          <w:sz w:val="10"/>
          <w:szCs w:val="10"/>
          <w:color w:val="auto"/>
        </w:rPr>
        <w:t>Includes, as applicable, short-term borrowings, long-term borrowings, subordinated notes, and junior subordinated debt owed to unconsolidated trusts.</w:t>
      </w:r>
    </w:p>
    <w:p>
      <w:pPr>
        <w:spacing w:after="0" w:line="2" w:lineRule="exact"/>
        <w:rPr>
          <w:rFonts w:ascii="Arial" w:cs="Arial" w:eastAsia="Arial" w:hAnsi="Arial"/>
          <w:sz w:val="10"/>
          <w:szCs w:val="10"/>
          <w:color w:val="auto"/>
        </w:rPr>
      </w:pPr>
    </w:p>
    <w:p>
      <w:pPr>
        <w:ind w:left="320" w:hanging="220"/>
        <w:spacing w:after="0" w:line="225" w:lineRule="auto"/>
        <w:tabs>
          <w:tab w:leader="none" w:pos="320" w:val="left"/>
        </w:tabs>
        <w:numPr>
          <w:ilvl w:val="0"/>
          <w:numId w:val="2"/>
        </w:numPr>
        <w:rPr>
          <w:rFonts w:ascii="Arial" w:cs="Arial" w:eastAsia="Arial" w:hAnsi="Arial"/>
          <w:sz w:val="10"/>
          <w:szCs w:val="10"/>
          <w:color w:val="auto"/>
        </w:rPr>
      </w:pPr>
      <w:r>
        <w:rPr>
          <w:rFonts w:ascii="Arial" w:cs="Arial" w:eastAsia="Arial" w:hAnsi="Arial"/>
          <w:sz w:val="10"/>
          <w:szCs w:val="10"/>
          <w:color w:val="auto"/>
        </w:rPr>
        <w:t>For a reconciliation of non-GAAP measures, see “</w:t>
      </w:r>
      <w:r>
        <w:rPr>
          <w:rFonts w:ascii="Arial" w:cs="Arial" w:eastAsia="Arial" w:hAnsi="Arial"/>
          <w:sz w:val="10"/>
          <w:szCs w:val="10"/>
          <w:u w:val="single" w:color="auto"/>
          <w:color w:val="0000FF"/>
        </w:rPr>
        <w:t>Non-GAAP Financial Information</w:t>
      </w:r>
      <w:r>
        <w:rPr>
          <w:rFonts w:ascii="Arial" w:cs="Arial" w:eastAsia="Arial" w:hAnsi="Arial"/>
          <w:sz w:val="10"/>
          <w:szCs w:val="10"/>
          <w:color w:val="auto"/>
        </w:rPr>
        <w:t>.”</w:t>
      </w:r>
    </w:p>
    <w:p>
      <w:pPr>
        <w:ind w:left="320" w:hanging="220"/>
        <w:spacing w:after="0"/>
        <w:tabs>
          <w:tab w:leader="none" w:pos="320" w:val="left"/>
        </w:tabs>
        <w:numPr>
          <w:ilvl w:val="0"/>
          <w:numId w:val="2"/>
        </w:numPr>
        <w:rPr>
          <w:rFonts w:ascii="Arial" w:cs="Arial" w:eastAsia="Arial" w:hAnsi="Arial"/>
          <w:sz w:val="10"/>
          <w:szCs w:val="10"/>
          <w:color w:val="auto"/>
        </w:rPr>
      </w:pPr>
      <w:r>
        <w:rPr>
          <w:rFonts w:ascii="Arial" w:cs="Arial" w:eastAsia="Arial" w:hAnsi="Arial"/>
          <w:sz w:val="10"/>
          <w:szCs w:val="10"/>
          <w:color w:val="auto"/>
        </w:rPr>
        <w:t>Annualized.</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4</w:t>
      </w:r>
    </w:p>
    <w:p>
      <w:pPr>
        <w:sectPr>
          <w:pgSz w:w="11900" w:h="16838" w:orient="portrait"/>
          <w:cols w:equalWidth="0" w:num="1">
            <w:col w:w="11300"/>
          </w:cols>
          <w:pgMar w:left="300" w:top="912"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Noninterest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9"/>
              </w:rPr>
              <w:t>June 30,</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20" w:type="dxa"/>
            <w:vAlign w:val="bottom"/>
            <w:gridSpan w:val="2"/>
          </w:tcPr>
          <w:p>
            <w:pPr>
              <w:ind w:left="10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060" w:type="dxa"/>
            <w:vAlign w:val="bottom"/>
          </w:tcPr>
          <w:p>
            <w:pPr>
              <w:jc w:val="right"/>
              <w:ind w:right="24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69"/>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INCOME</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2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Wealth management fees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19,846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19,981</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17,184</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59,197</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51,325</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Payment technology solutions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5,108</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4,968</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5,092</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15,153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15,121</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Treasury management services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4,789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4,228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14,069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11,634</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Capital markets income</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1,472</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1,871</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1,936</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5,714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4,515</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Card services and ATM fees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4,813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14,192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13,388</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service charges on deposit accounts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1,361</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1,407</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1,617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4,274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4,663</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Income on bank owned life insurance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4,912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4,814</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Net securities gains (losses)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(703)</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2,445</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(288)</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802</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(10,059)</w:t>
            </w:r>
          </w:p>
        </w:tc>
        <w:tc>
          <w:tcPr>
            <w:tcW w:w="0" w:type="dxa"/>
            <w:vAlign w:val="bottom"/>
          </w:tcPr>
          <w:p>
            <w:pPr>
              <w:spacing w:after="0"/>
              <w:rPr>
                <w:sz w:val="1"/>
                <w:szCs w:val="1"/>
                <w:color w:val="auto"/>
              </w:rPr>
            </w:pPr>
          </w:p>
        </w:tc>
      </w:tr>
      <w:tr>
        <w:trPr>
          <w:trHeight w:val="181"/>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income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2,102</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2,400</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5,007</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8,665</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11,883</w:t>
            </w:r>
          </w:p>
        </w:tc>
        <w:tc>
          <w:tcPr>
            <w:tcW w:w="0" w:type="dxa"/>
            <w:vAlign w:val="bottom"/>
          </w:tcPr>
          <w:p>
            <w:pPr>
              <w:spacing w:after="0"/>
              <w:rPr>
                <w:sz w:val="1"/>
                <w:szCs w:val="1"/>
                <w:color w:val="auto"/>
              </w:rPr>
            </w:pPr>
          </w:p>
        </w:tc>
      </w:tr>
      <w:tr>
        <w:trPr>
          <w:trHeight w:val="202"/>
        </w:trPr>
        <w:tc>
          <w:tcPr>
            <w:tcW w:w="476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Total noninterest income</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40,402</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44,311</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41,198</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126,978</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107,284</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Compared to the Second Quarter of 2026</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Total noninterest income decreased by 8.8% compared to the second quarter of 2026, primarily due to a $3.1 million unfavorable swing in net securities gains (losses). Net securities gains and losses were largely unrealized.</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Wealth management fees were impacted by a $0.7 million decrease in seasonal tax preparation fees.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Other noninterest income was impacted by a $0.7 million lower-of-cost-or-market (“LOCOM”) adjustment recorded in connection with the repositioning of a pool of lender finance loans to held for sale as part of our ongoing portfolio management efforts.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Compared to the Third Quarter of 2025</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Total noninterest income decreased by 1.9% compared to the third quarter of 2025, primarily due to $2.9 million in declines from other noninterest income, partially offset by $2.7 million in increases from wealth management fees.</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Busey’s Wealth Management division ended the third quarter of 2026 with $16.72 billion in assets under care, compared to $14.96 billion at the end of the third quarter of 2025. Busey’s portfolio management team continues to focus on long-term returns and managing risk in the face of volatile markets and has outperformed its blended benchmark</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over the last three, five, and seven years.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Declines in other noninterest income were primarily driven by decreases in income from private equity investments, mortgage revenue, and the aforementioned LOCOM adjustment.</w:t>
      </w:r>
    </w:p>
    <w:p>
      <w:pPr>
        <w:spacing w:after="0" w:line="200" w:lineRule="exact"/>
        <w:rPr>
          <w:sz w:val="20"/>
          <w:szCs w:val="20"/>
          <w:color w:val="auto"/>
        </w:rPr>
      </w:pPr>
    </w:p>
    <w:p>
      <w:pPr>
        <w:spacing w:after="0" w:line="202" w:lineRule="exact"/>
        <w:rPr>
          <w:sz w:val="20"/>
          <w:szCs w:val="20"/>
          <w:color w:val="auto"/>
        </w:rPr>
      </w:pPr>
    </w:p>
    <w:p>
      <w:pPr>
        <w:ind w:left="8780"/>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5</w:t>
      </w:r>
    </w:p>
    <w:p>
      <w:pPr>
        <w:sectPr>
          <w:pgSz w:w="11900" w:h="16838" w:orient="portrait"/>
          <w:cols w:equalWidth="0" w:num="1">
            <w:col w:w="11300"/>
          </w:cols>
          <w:pgMar w:left="300" w:top="912"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Operating Efficiency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jc w:val="center"/>
              <w:ind w:right="260"/>
              <w:spacing w:after="0" w:line="97" w:lineRule="exact"/>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9"/>
              </w:rPr>
              <w:t>June 30,</w:t>
            </w:r>
          </w:p>
        </w:tc>
        <w:tc>
          <w:tcPr>
            <w:tcW w:w="180" w:type="dxa"/>
            <w:vAlign w:val="bottom"/>
          </w:tcPr>
          <w:p>
            <w:pPr>
              <w:spacing w:after="0"/>
              <w:rPr>
                <w:sz w:val="8"/>
                <w:szCs w:val="8"/>
                <w:color w:val="auto"/>
              </w:rPr>
            </w:pPr>
          </w:p>
        </w:tc>
        <w:tc>
          <w:tcPr>
            <w:tcW w:w="1140" w:type="dxa"/>
            <w:vAlign w:val="bottom"/>
            <w:gridSpan w:val="2"/>
          </w:tcPr>
          <w:p>
            <w:pPr>
              <w:jc w:val="center"/>
              <w:ind w:right="240"/>
              <w:spacing w:after="0" w:line="97"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8"/>
                <w:szCs w:val="8"/>
                <w:color w:val="auto"/>
              </w:rPr>
            </w:pPr>
          </w:p>
        </w:tc>
        <w:tc>
          <w:tcPr>
            <w:tcW w:w="1120" w:type="dxa"/>
            <w:vAlign w:val="bottom"/>
            <w:gridSpan w:val="2"/>
          </w:tcPr>
          <w:p>
            <w:pPr>
              <w:jc w:val="center"/>
              <w:ind w:right="260"/>
              <w:spacing w:after="0" w:line="97"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8"/>
                <w:szCs w:val="8"/>
                <w:color w:val="auto"/>
              </w:rPr>
            </w:pPr>
          </w:p>
        </w:tc>
        <w:tc>
          <w:tcPr>
            <w:tcW w:w="1060" w:type="dxa"/>
            <w:vAlign w:val="bottom"/>
          </w:tcPr>
          <w:p>
            <w:pPr>
              <w:jc w:val="center"/>
              <w:ind w:right="142"/>
              <w:spacing w:after="0" w:line="97" w:lineRule="exact"/>
              <w:rPr>
                <w:sz w:val="20"/>
                <w:szCs w:val="20"/>
                <w:color w:val="auto"/>
              </w:rPr>
            </w:pPr>
            <w:r>
              <w:rPr>
                <w:rFonts w:ascii="Arial" w:cs="Arial" w:eastAsia="Arial" w:hAnsi="Arial"/>
                <w:sz w:val="10"/>
                <w:szCs w:val="10"/>
                <w:b w:val="1"/>
                <w:bCs w:val="1"/>
                <w:color w:val="auto"/>
                <w:w w:val="96"/>
              </w:rPr>
              <w:t>September 30,</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169"/>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EXPENSE</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2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Salaries and employee benefits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66,432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67,677</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74,145</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219,339</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220,068</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9,436</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8,868</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9,714</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28,168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33,310</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7,850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23,479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21,613</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2,530</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2,336</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2,143</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7,043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6,296</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3,041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8,787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15,316</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Amortization of intangible assets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4,151</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4,232</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4,507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12,674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12,182</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Interchange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3,368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3,976</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FDIC insurance</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1,293</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2,349</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3,151</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6,093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7,742</w:t>
            </w:r>
          </w:p>
        </w:tc>
        <w:tc>
          <w:tcPr>
            <w:tcW w:w="0" w:type="dxa"/>
            <w:vAlign w:val="bottom"/>
          </w:tcPr>
          <w:p>
            <w:pPr>
              <w:spacing w:after="0"/>
              <w:rPr>
                <w:sz w:val="1"/>
                <w:szCs w:val="1"/>
                <w:color w:val="auto"/>
              </w:rPr>
            </w:pPr>
          </w:p>
        </w:tc>
      </w:tr>
      <w:tr>
        <w:trPr>
          <w:trHeight w:val="181"/>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expense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15,916</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15,186</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14,109</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44,601</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39,378</w:t>
            </w:r>
          </w:p>
        </w:tc>
        <w:tc>
          <w:tcPr>
            <w:tcW w:w="0" w:type="dxa"/>
            <w:vAlign w:val="bottom"/>
          </w:tcPr>
          <w:p>
            <w:pPr>
              <w:spacing w:after="0"/>
              <w:rPr>
                <w:sz w:val="1"/>
                <w:szCs w:val="1"/>
                <w:color w:val="auto"/>
              </w:rPr>
            </w:pPr>
          </w:p>
        </w:tc>
      </w:tr>
      <w:tr>
        <w:trPr>
          <w:trHeight w:val="193"/>
        </w:trPr>
        <w:tc>
          <w:tcPr>
            <w:tcW w:w="476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Total noninterest expense</w:t>
            </w:r>
          </w:p>
        </w:tc>
        <w:tc>
          <w:tcPr>
            <w:tcW w:w="180" w:type="dxa"/>
            <w:vAlign w:val="bottom"/>
            <w:tcBorders>
              <w:bottom w:val="single" w:sz="8" w:color="E0E7ED"/>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2"/>
                <w:szCs w:val="12"/>
                <w:color w:val="auto"/>
              </w:rPr>
              <w:t>111,398</w:t>
            </w:r>
          </w:p>
        </w:tc>
        <w:tc>
          <w:tcPr>
            <w:tcW w:w="8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112,635</w:t>
            </w:r>
          </w:p>
        </w:tc>
        <w:tc>
          <w:tcPr>
            <w:tcW w:w="8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120,018</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353,552</w:t>
            </w:r>
          </w:p>
        </w:tc>
        <w:tc>
          <w:tcPr>
            <w:tcW w:w="6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359,881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080" w:type="dxa"/>
            <w:vAlign w:val="bottom"/>
            <w:gridSpan w:val="4"/>
          </w:tcPr>
          <w:p>
            <w:pPr>
              <w:spacing w:after="0"/>
              <w:rPr>
                <w:sz w:val="20"/>
                <w:szCs w:val="20"/>
                <w:color w:val="auto"/>
              </w:rPr>
            </w:pPr>
            <w:r>
              <w:rPr>
                <w:rFonts w:ascii="Arial" w:cs="Arial" w:eastAsia="Arial" w:hAnsi="Arial"/>
                <w:sz w:val="12"/>
                <w:szCs w:val="12"/>
                <w:color w:val="auto"/>
              </w:rPr>
              <w:t>Adjusted noninterest expense</w:t>
            </w:r>
            <w:r>
              <w:rPr>
                <w:rFonts w:ascii="Arial" w:cs="Arial" w:eastAsia="Arial" w:hAnsi="Arial"/>
                <w:sz w:val="15"/>
                <w:szCs w:val="15"/>
                <w:color w:val="auto"/>
                <w:vertAlign w:val="superscript"/>
              </w:rPr>
              <w:t>2</w:t>
            </w:r>
            <w:r>
              <w:rPr>
                <w:rFonts w:ascii="Arial" w:cs="Arial" w:eastAsia="Arial" w:hAnsi="Arial"/>
                <w:sz w:val="12"/>
                <w:szCs w:val="12"/>
                <w:color w:val="auto"/>
              </w:rPr>
              <w:t>, which excludes acquisition and restructuring expenses, was as follows: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7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47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jc w:val="center"/>
              <w:ind w:right="260"/>
              <w:spacing w:after="0" w:line="97" w:lineRule="exact"/>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9"/>
              </w:rPr>
              <w:t>June 30,</w:t>
            </w:r>
          </w:p>
        </w:tc>
        <w:tc>
          <w:tcPr>
            <w:tcW w:w="180" w:type="dxa"/>
            <w:vAlign w:val="bottom"/>
          </w:tcPr>
          <w:p>
            <w:pPr>
              <w:spacing w:after="0"/>
              <w:rPr>
                <w:sz w:val="8"/>
                <w:szCs w:val="8"/>
                <w:color w:val="auto"/>
              </w:rPr>
            </w:pPr>
          </w:p>
        </w:tc>
        <w:tc>
          <w:tcPr>
            <w:tcW w:w="1140" w:type="dxa"/>
            <w:vAlign w:val="bottom"/>
            <w:gridSpan w:val="2"/>
          </w:tcPr>
          <w:p>
            <w:pPr>
              <w:jc w:val="center"/>
              <w:ind w:right="240"/>
              <w:spacing w:after="0" w:line="97"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8"/>
                <w:szCs w:val="8"/>
                <w:color w:val="auto"/>
              </w:rPr>
            </w:pPr>
          </w:p>
        </w:tc>
        <w:tc>
          <w:tcPr>
            <w:tcW w:w="1120" w:type="dxa"/>
            <w:vAlign w:val="bottom"/>
            <w:gridSpan w:val="2"/>
          </w:tcPr>
          <w:p>
            <w:pPr>
              <w:jc w:val="center"/>
              <w:ind w:right="260"/>
              <w:spacing w:after="0" w:line="97" w:lineRule="exact"/>
              <w:rPr>
                <w:sz w:val="20"/>
                <w:szCs w:val="20"/>
                <w:color w:val="auto"/>
              </w:rPr>
            </w:pPr>
            <w:r>
              <w:rPr>
                <w:rFonts w:ascii="Arial" w:cs="Arial" w:eastAsia="Arial" w:hAnsi="Arial"/>
                <w:sz w:val="10"/>
                <w:szCs w:val="10"/>
                <w:b w:val="1"/>
                <w:bCs w:val="1"/>
                <w:color w:val="auto"/>
                <w:w w:val="96"/>
              </w:rPr>
              <w:t>September 30,</w:t>
            </w:r>
          </w:p>
        </w:tc>
        <w:tc>
          <w:tcPr>
            <w:tcW w:w="200" w:type="dxa"/>
            <w:vAlign w:val="bottom"/>
          </w:tcPr>
          <w:p>
            <w:pPr>
              <w:spacing w:after="0"/>
              <w:rPr>
                <w:sz w:val="8"/>
                <w:szCs w:val="8"/>
                <w:color w:val="auto"/>
              </w:rPr>
            </w:pPr>
          </w:p>
        </w:tc>
        <w:tc>
          <w:tcPr>
            <w:tcW w:w="1060" w:type="dxa"/>
            <w:vAlign w:val="bottom"/>
          </w:tcPr>
          <w:p>
            <w:pPr>
              <w:jc w:val="center"/>
              <w:ind w:right="142"/>
              <w:spacing w:after="0" w:line="97" w:lineRule="exact"/>
              <w:rPr>
                <w:sz w:val="20"/>
                <w:szCs w:val="20"/>
                <w:color w:val="auto"/>
              </w:rPr>
            </w:pPr>
            <w:r>
              <w:rPr>
                <w:rFonts w:ascii="Arial" w:cs="Arial" w:eastAsia="Arial" w:hAnsi="Arial"/>
                <w:sz w:val="10"/>
                <w:szCs w:val="10"/>
                <w:b w:val="1"/>
                <w:bCs w:val="1"/>
                <w:color w:val="auto"/>
                <w:w w:val="96"/>
              </w:rPr>
              <w:t>September 30,</w:t>
            </w:r>
          </w:p>
        </w:tc>
        <w:tc>
          <w:tcPr>
            <w:tcW w:w="0" w:type="dxa"/>
            <w:vAlign w:val="bottom"/>
          </w:tcPr>
          <w:p>
            <w:pPr>
              <w:spacing w:after="0"/>
              <w:rPr>
                <w:sz w:val="1"/>
                <w:szCs w:val="1"/>
                <w:color w:val="auto"/>
              </w:rPr>
            </w:pPr>
          </w:p>
        </w:tc>
      </w:tr>
      <w:tr>
        <w:trPr>
          <w:trHeight w:val="117"/>
        </w:trPr>
        <w:tc>
          <w:tcPr>
            <w:tcW w:w="476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169"/>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EXPENSE WITH NON-GAAP ADJUSTMENTS</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2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Salaries and employee benefits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65,708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65,632</w:t>
            </w:r>
          </w:p>
        </w:tc>
        <w:tc>
          <w:tcPr>
            <w:tcW w:w="8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68,535</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200,446</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187,023</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9,436</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8,868</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9,290</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28,088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26,620</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7,850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23,479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21,604</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2,530</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2,336</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2,077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7,043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6,229</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2,337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7,964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7,347</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Amortization of intangible assets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4,151</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4,232</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4,507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12,674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12,182</w:t>
            </w:r>
          </w:p>
        </w:tc>
        <w:tc>
          <w:tcPr>
            <w:tcW w:w="0" w:type="dxa"/>
            <w:vAlign w:val="bottom"/>
          </w:tcPr>
          <w:p>
            <w:pPr>
              <w:spacing w:after="0"/>
              <w:rPr>
                <w:sz w:val="1"/>
                <w:szCs w:val="1"/>
                <w:color w:val="auto"/>
              </w:rPr>
            </w:pPr>
          </w:p>
        </w:tc>
      </w:tr>
      <w:tr>
        <w:trPr>
          <w:trHeight w:val="181"/>
        </w:trPr>
        <w:tc>
          <w:tcPr>
            <w:tcW w:w="4760" w:type="dxa"/>
            <w:vAlign w:val="bottom"/>
          </w:tcPr>
          <w:p>
            <w:pPr>
              <w:ind w:left="120"/>
              <w:spacing w:after="0"/>
              <w:rPr>
                <w:sz w:val="20"/>
                <w:szCs w:val="20"/>
                <w:color w:val="auto"/>
              </w:rPr>
            </w:pPr>
            <w:r>
              <w:rPr>
                <w:rFonts w:ascii="Arial" w:cs="Arial" w:eastAsia="Arial" w:hAnsi="Arial"/>
                <w:sz w:val="12"/>
                <w:szCs w:val="12"/>
                <w:color w:val="auto"/>
              </w:rPr>
              <w:t>Interchange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3,368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3,976</w:t>
            </w:r>
          </w:p>
        </w:tc>
        <w:tc>
          <w:tcPr>
            <w:tcW w:w="0" w:type="dxa"/>
            <w:vAlign w:val="bottom"/>
          </w:tcPr>
          <w:p>
            <w:pPr>
              <w:spacing w:after="0"/>
              <w:rPr>
                <w:sz w:val="1"/>
                <w:szCs w:val="1"/>
                <w:color w:val="auto"/>
              </w:rPr>
            </w:pPr>
          </w:p>
        </w:tc>
      </w:tr>
      <w:tr>
        <w:trPr>
          <w:trHeight w:val="197"/>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FDIC insurance</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1,293</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2,349</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3,151</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6,093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7,742</w:t>
            </w:r>
          </w:p>
        </w:tc>
        <w:tc>
          <w:tcPr>
            <w:tcW w:w="0" w:type="dxa"/>
            <w:vAlign w:val="bottom"/>
          </w:tcPr>
          <w:p>
            <w:pPr>
              <w:spacing w:after="0"/>
              <w:rPr>
                <w:sz w:val="1"/>
                <w:szCs w:val="1"/>
                <w:color w:val="auto"/>
              </w:rPr>
            </w:pPr>
          </w:p>
        </w:tc>
      </w:tr>
      <w:tr>
        <w:trPr>
          <w:trHeight w:val="181"/>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expense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15,539</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14,809</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13,369</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43,470</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37,325</w:t>
            </w:r>
          </w:p>
        </w:tc>
        <w:tc>
          <w:tcPr>
            <w:tcW w:w="0" w:type="dxa"/>
            <w:vAlign w:val="bottom"/>
          </w:tcPr>
          <w:p>
            <w:pPr>
              <w:spacing w:after="0"/>
              <w:rPr>
                <w:sz w:val="1"/>
                <w:szCs w:val="1"/>
                <w:color w:val="auto"/>
              </w:rPr>
            </w:pPr>
          </w:p>
        </w:tc>
      </w:tr>
      <w:tr>
        <w:trPr>
          <w:trHeight w:val="202"/>
        </w:trPr>
        <w:tc>
          <w:tcPr>
            <w:tcW w:w="476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noninterest expense (Non-GAAP)</w:t>
            </w:r>
            <w:r>
              <w:rPr>
                <w:rFonts w:ascii="Arial" w:cs="Arial" w:eastAsia="Arial" w:hAnsi="Arial"/>
                <w:sz w:val="15"/>
                <w:szCs w:val="15"/>
                <w:color w:val="auto"/>
                <w:vertAlign w:val="superscript"/>
              </w:rPr>
              <w:t>(i)</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110,297</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109,509</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112,811</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332,625</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310,048</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3"/>
        </w:numPr>
        <w:rPr>
          <w:rFonts w:ascii="Arial" w:cs="Arial" w:eastAsia="Arial" w:hAnsi="Arial"/>
          <w:sz w:val="10"/>
          <w:szCs w:val="10"/>
          <w:color w:val="auto"/>
        </w:rPr>
      </w:pPr>
      <w:r>
        <w:rPr>
          <w:rFonts w:ascii="Arial" w:cs="Arial" w:eastAsia="Arial" w:hAnsi="Arial"/>
          <w:sz w:val="10"/>
          <w:szCs w:val="10"/>
          <w:color w:val="auto"/>
        </w:rPr>
        <w:t>Beginning in 2026, to better align with industry standards, Busey revised its calculation of adjusted noninterest expense, for all periods presented, to exclude any adjustment for amortization of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Compared to the Second Quarter of 2026</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Total noninterest expense decreased by 1.1% compared to the second quarter of 2026. Excluding acquisition and restructuring expenses, total noninterest expense increased by 0.7%, primarily due to increases in data processing and other noninterest expense, partially offset by a decrease in expense for FDIC insurance. FDIC insurance costs declined as a result of prior-period adjustments. Increases in other noninterest expense were driven by business development and loan costs.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Compared to the Third Quarter of 2025</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Total noninterest expense decreased by 7.2% compared to the third quarter of 2025. Excluding acquisition and restructuring expenses, total noninterest expense declined by 2.2%, primarily due to decreases in expense for salaries and employee benefits and FDIC insurance, partially offset by an increase in other noninterest expense. Increases in other noninterest expense were driven by marketing, business development, and check card service fees.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Busey remains focused on prudently managing its expense base and operating efficiency. The efficiency ratio</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54.4% for the third quarter of 2026, compared to 54.0% for the second quarter of 2026, and 54.8% for the third quarter of 2025.</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6</w:t>
      </w:r>
    </w:p>
    <w:p>
      <w:pPr>
        <w:sectPr>
          <w:pgSz w:w="11900" w:h="16838" w:orient="portrait"/>
          <w:cols w:equalWidth="0" w:num="1">
            <w:col w:w="11300"/>
          </w:cols>
          <w:pgMar w:left="300" w:top="91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BALANCE SHEET STRENGTH</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Busey’s financial strength is built on a long-term conservative operating approach. That focus has endured over time and will continue to guide us in the future.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CONDENSED CONSOLIDATED BALANCE SHEETS </w:t>
      </w:r>
      <w:r>
        <w:rPr>
          <w:rFonts w:ascii="Arial" w:cs="Arial" w:eastAsia="Arial" w:hAnsi="Arial"/>
          <w:sz w:val="12"/>
          <w:szCs w:val="12"/>
          <w:b w:val="1"/>
          <w:bCs w:val="1"/>
          <w:i w:val="1"/>
          <w:i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8"/>
                <w:szCs w:val="8"/>
                <w:color w:val="auto"/>
              </w:rPr>
            </w:pPr>
          </w:p>
        </w:tc>
        <w:tc>
          <w:tcPr>
            <w:tcW w:w="10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060" w:type="dxa"/>
            <w:vAlign w:val="bottom"/>
          </w:tcPr>
          <w:p>
            <w:pPr>
              <w:jc w:val="right"/>
              <w:ind w:right="241"/>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01"/>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69"/>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883,053</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665,373</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371,894</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Interest-bearing time deposits in other banks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24,450</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14,450</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13,580</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Debt securities available for sale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2,669,937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2,265,167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2,099,259</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Debt securities held to maturity</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685,134</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703,988</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784,821</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Equity securities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15,557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16,397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15,931</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Loans held for sale</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68,081</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8,660</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8,943</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Portfolio loans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12,822,489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13,195,154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13,598,266</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Allowance for credit losses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(164,280)</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(164,204)</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(174,181)</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Restricted bank stock</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77,067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83,171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77,006</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Premises and equipment, net</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190,257</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191,953</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190,721</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467,137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471,288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485,203</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assets</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819,724</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740,470</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717,185</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E0E7ED"/>
            </w:tcBorders>
          </w:tcPr>
          <w:p>
            <w:pPr>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18,558,606</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18,191,867</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18,188,628</w:t>
            </w:r>
          </w:p>
        </w:tc>
        <w:tc>
          <w:tcPr>
            <w:tcW w:w="0" w:type="dxa"/>
            <w:vAlign w:val="bottom"/>
          </w:tcPr>
          <w:p>
            <w:pPr>
              <w:spacing w:after="0"/>
              <w:rPr>
                <w:sz w:val="1"/>
                <w:szCs w:val="1"/>
                <w:color w:val="auto"/>
              </w:rPr>
            </w:pPr>
          </w:p>
        </w:tc>
      </w:tr>
      <w:tr>
        <w:trPr>
          <w:trHeight w:val="153"/>
        </w:trPr>
        <w:tc>
          <w:tcPr>
            <w:tcW w:w="740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400" w:type="dxa"/>
            <w:vAlign w:val="bottom"/>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0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220"/>
              <w:spacing w:after="0"/>
              <w:rPr>
                <w:sz w:val="20"/>
                <w:szCs w:val="20"/>
                <w:color w:val="auto"/>
              </w:rPr>
            </w:pPr>
            <w:r>
              <w:rPr>
                <w:rFonts w:ascii="Arial" w:cs="Arial" w:eastAsia="Arial" w:hAnsi="Arial"/>
                <w:sz w:val="12"/>
                <w:szCs w:val="12"/>
                <w:color w:val="auto"/>
              </w:rPr>
              <w:t>Total deposits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15,537,566</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15,128,745</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15,070,162</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Securities sold under agreements to repurchase</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154,693</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144,061</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147,152</w:t>
            </w:r>
          </w:p>
        </w:tc>
        <w:tc>
          <w:tcPr>
            <w:tcW w:w="0" w:type="dxa"/>
            <w:vAlign w:val="bottom"/>
          </w:tcPr>
          <w:p>
            <w:pPr>
              <w:spacing w:after="0"/>
              <w:rPr>
                <w:sz w:val="1"/>
                <w:szCs w:val="1"/>
                <w:color w:val="auto"/>
              </w:rPr>
            </w:pPr>
          </w:p>
        </w:tc>
      </w:tr>
      <w:tr>
        <w:trPr>
          <w:trHeight w:val="181"/>
        </w:trPr>
        <w:tc>
          <w:tcPr>
            <w:tcW w:w="7400" w:type="dxa"/>
            <w:vAlign w:val="bottom"/>
          </w:tcPr>
          <w:p>
            <w:pPr>
              <w:ind w:left="220"/>
              <w:spacing w:after="0"/>
              <w:rPr>
                <w:sz w:val="20"/>
                <w:szCs w:val="20"/>
                <w:color w:val="auto"/>
              </w:rPr>
            </w:pPr>
            <w:r>
              <w:rPr>
                <w:rFonts w:ascii="Arial" w:cs="Arial" w:eastAsia="Arial" w:hAnsi="Arial"/>
                <w:sz w:val="12"/>
                <w:szCs w:val="12"/>
                <w:color w:val="auto"/>
              </w:rPr>
              <w:t>Borrowings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302,214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285,734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272,971</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Other liabilities</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307,854</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250,157</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249,508</w:t>
            </w:r>
          </w:p>
        </w:tc>
        <w:tc>
          <w:tcPr>
            <w:tcW w:w="0" w:type="dxa"/>
            <w:vAlign w:val="bottom"/>
          </w:tcPr>
          <w:p>
            <w:pPr>
              <w:spacing w:after="0"/>
              <w:rPr>
                <w:sz w:val="1"/>
                <w:szCs w:val="1"/>
                <w:color w:val="auto"/>
              </w:rPr>
            </w:pPr>
          </w:p>
        </w:tc>
      </w:tr>
      <w:tr>
        <w:trPr>
          <w:trHeight w:val="178"/>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liabilities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16,302,327</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15,808,697</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15,739,793</w:t>
            </w:r>
          </w:p>
        </w:tc>
        <w:tc>
          <w:tcPr>
            <w:tcW w:w="0" w:type="dxa"/>
            <w:vAlign w:val="bottom"/>
          </w:tcPr>
          <w:p>
            <w:pPr>
              <w:spacing w:after="0"/>
              <w:rPr>
                <w:sz w:val="1"/>
                <w:szCs w:val="1"/>
                <w:color w:val="auto"/>
              </w:rPr>
            </w:pPr>
          </w:p>
        </w:tc>
      </w:tr>
      <w:tr>
        <w:trPr>
          <w:trHeight w:val="159"/>
        </w:trPr>
        <w:tc>
          <w:tcPr>
            <w:tcW w:w="740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400" w:type="dxa"/>
            <w:vAlign w:val="bottom"/>
          </w:tcPr>
          <w:p>
            <w:pPr>
              <w:ind w:left="120"/>
              <w:spacing w:after="0"/>
              <w:rPr>
                <w:sz w:val="20"/>
                <w:szCs w:val="20"/>
                <w:color w:val="auto"/>
              </w:rPr>
            </w:pPr>
            <w:r>
              <w:rPr>
                <w:rFonts w:ascii="Arial" w:cs="Arial" w:eastAsia="Arial" w:hAnsi="Arial"/>
                <w:sz w:val="12"/>
                <w:szCs w:val="12"/>
                <w:b w:val="1"/>
                <w:bCs w:val="1"/>
                <w:color w:val="auto"/>
              </w:rPr>
              <w:t>Stockholders’ equity</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Retained earnings</w:t>
            </w:r>
          </w:p>
        </w:tc>
        <w:tc>
          <w:tcPr>
            <w:tcW w:w="1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424,880</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0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395,409</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303,077</w:t>
            </w:r>
          </w:p>
        </w:tc>
        <w:tc>
          <w:tcPr>
            <w:tcW w:w="0" w:type="dxa"/>
            <w:vAlign w:val="bottom"/>
          </w:tcPr>
          <w:p>
            <w:pPr>
              <w:spacing w:after="0"/>
              <w:rPr>
                <w:sz w:val="1"/>
                <w:szCs w:val="1"/>
                <w:color w:val="auto"/>
              </w:rPr>
            </w:pPr>
          </w:p>
        </w:tc>
      </w:tr>
      <w:tr>
        <w:trPr>
          <w:trHeight w:val="181"/>
        </w:trPr>
        <w:tc>
          <w:tcPr>
            <w:tcW w:w="7400" w:type="dxa"/>
            <w:vAlign w:val="bottom"/>
          </w:tcPr>
          <w:p>
            <w:pPr>
              <w:ind w:left="220"/>
              <w:spacing w:after="0"/>
              <w:rPr>
                <w:sz w:val="20"/>
                <w:szCs w:val="20"/>
                <w:color w:val="auto"/>
              </w:rPr>
            </w:pPr>
            <w:r>
              <w:rPr>
                <w:rFonts w:ascii="Arial" w:cs="Arial" w:eastAsia="Arial" w:hAnsi="Arial"/>
                <w:sz w:val="12"/>
                <w:szCs w:val="12"/>
                <w:color w:val="auto"/>
              </w:rPr>
              <w:t>Accumulated other comprehensive income (loss)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(241,880)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(141,080)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(136,801)</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Other stockholders' equity</w:t>
            </w:r>
            <w:r>
              <w:rPr>
                <w:rFonts w:ascii="Arial" w:cs="Arial" w:eastAsia="Arial" w:hAnsi="Arial"/>
                <w:sz w:val="15"/>
                <w:szCs w:val="15"/>
                <w:color w:val="auto"/>
                <w:vertAlign w:val="superscript"/>
              </w:rPr>
              <w:t>(i)</w:t>
            </w:r>
          </w:p>
        </w:tc>
        <w:tc>
          <w:tcPr>
            <w:tcW w:w="18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2,073,279</w:t>
            </w:r>
          </w:p>
        </w:tc>
        <w:tc>
          <w:tcPr>
            <w:tcW w:w="8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00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2,128,841</w:t>
            </w:r>
          </w:p>
        </w:tc>
        <w:tc>
          <w:tcPr>
            <w:tcW w:w="6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2,282,559</w:t>
            </w:r>
          </w:p>
        </w:tc>
        <w:tc>
          <w:tcPr>
            <w:tcW w:w="0" w:type="dxa"/>
            <w:vAlign w:val="bottom"/>
          </w:tcPr>
          <w:p>
            <w:pPr>
              <w:spacing w:after="0"/>
              <w:rPr>
                <w:sz w:val="1"/>
                <w:szCs w:val="1"/>
                <w:color w:val="auto"/>
              </w:rPr>
            </w:pPr>
          </w:p>
        </w:tc>
      </w:tr>
      <w:tr>
        <w:trPr>
          <w:trHeight w:val="170"/>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stockholders’ equity</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2,256,279</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2,383,170</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2,448,835</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b w:val="1"/>
                <w:bCs w:val="1"/>
                <w:color w:val="auto"/>
              </w:rPr>
              <w:t>Total liabilities and stockholders’ equity</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18,558,606</w:t>
            </w:r>
          </w:p>
        </w:tc>
        <w:tc>
          <w:tcPr>
            <w:tcW w:w="80" w:type="dxa"/>
            <w:vAlign w:val="bottom"/>
            <w:tcBorders>
              <w:bottom w:val="single" w:sz="8" w:color="E0E7ED"/>
            </w:tcBorders>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18,191,867</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18,188,628</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 w:lineRule="exact"/>
        <w:rPr>
          <w:sz w:val="20"/>
          <w:szCs w:val="20"/>
          <w:color w:val="auto"/>
        </w:rPr>
      </w:pPr>
    </w:p>
    <w:p>
      <w:pPr>
        <w:ind w:left="320" w:hanging="220"/>
        <w:spacing w:after="0"/>
        <w:tabs>
          <w:tab w:leader="none" w:pos="320" w:val="left"/>
        </w:tabs>
        <w:numPr>
          <w:ilvl w:val="0"/>
          <w:numId w:val="4"/>
        </w:numPr>
        <w:rPr>
          <w:rFonts w:ascii="Arial" w:cs="Arial" w:eastAsia="Arial" w:hAnsi="Arial"/>
          <w:sz w:val="10"/>
          <w:szCs w:val="10"/>
          <w:color w:val="auto"/>
        </w:rPr>
      </w:pPr>
      <w:r>
        <w:rPr>
          <w:rFonts w:ascii="Arial" w:cs="Arial" w:eastAsia="Arial" w:hAnsi="Arial"/>
          <w:sz w:val="10"/>
          <w:szCs w:val="10"/>
          <w:color w:val="auto"/>
        </w:rPr>
        <w:t>Net balance of preferred stock ($0.001 par value), common stock ($0.001 par value), additional paid-in capital, and treasury stock.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Loans Held for Sale</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 pool of lender finance commercial loans acquired in the acquisition of CrossFirst Bankshares, Inc. (“CrossFirst”) was reclassified to held for sale during the third quarter of 2026. As a result of the transfer, Busey recognized both (1) a $0.7 million LOCOM adjustment as a reduction to other noninterest income, primarily attributable to the purchase premium assigned to these loans at acquisition, and (2) a $0.7 million release of allowance for credit losses as a reduction to provision expense. The loans were subsequently sold in the fourth quarter. As of September 30, 2026, loans held for sale included $3.0 million of mortgage loans and $65.1 million of commercial loans.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7</w:t>
      </w:r>
    </w:p>
    <w:p>
      <w:pPr>
        <w:sectPr>
          <w:pgSz w:w="11900" w:h="16838" w:orient="portrait"/>
          <w:cols w:equalWidth="0" w:num="1">
            <w:col w:w="11300"/>
          </w:cols>
          <w:pgMar w:left="300" w:top="910"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Portfolio Loans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Busey remains steadfast in its conservative approach to underwriting and disciplined approach to pricing. Busey’s loan portfolio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8"/>
                <w:szCs w:val="8"/>
                <w:color w:val="auto"/>
              </w:rPr>
            </w:pPr>
          </w:p>
        </w:tc>
        <w:tc>
          <w:tcPr>
            <w:tcW w:w="10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060" w:type="dxa"/>
            <w:vAlign w:val="bottom"/>
          </w:tcPr>
          <w:p>
            <w:pPr>
              <w:jc w:val="right"/>
              <w:ind w:right="24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69"/>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PORTFOLIO LOANS</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Commercial loans: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Commercial and industrial and other commercial</w:t>
            </w: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3,770,796</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3,959,997</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4,395,871</w:t>
            </w:r>
          </w:p>
        </w:tc>
        <w:tc>
          <w:tcPr>
            <w:tcW w:w="0" w:type="dxa"/>
            <w:vAlign w:val="bottom"/>
          </w:tcPr>
          <w:p>
            <w:pPr>
              <w:spacing w:after="0"/>
              <w:rPr>
                <w:sz w:val="1"/>
                <w:szCs w:val="1"/>
                <w:color w:val="auto"/>
              </w:rPr>
            </w:pPr>
          </w:p>
        </w:tc>
      </w:tr>
      <w:tr>
        <w:trPr>
          <w:trHeight w:val="181"/>
        </w:trPr>
        <w:tc>
          <w:tcPr>
            <w:tcW w:w="7400" w:type="dxa"/>
            <w:vAlign w:val="bottom"/>
          </w:tcPr>
          <w:p>
            <w:pPr>
              <w:ind w:left="22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5,258,021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5,452,781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5,424,095</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Real estate construction</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1,066,709</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1,027,069</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1,099,524</w:t>
            </w:r>
          </w:p>
        </w:tc>
        <w:tc>
          <w:tcPr>
            <w:tcW w:w="0" w:type="dxa"/>
            <w:vAlign w:val="bottom"/>
          </w:tcPr>
          <w:p>
            <w:pPr>
              <w:spacing w:after="0"/>
              <w:rPr>
                <w:sz w:val="1"/>
                <w:szCs w:val="1"/>
                <w:color w:val="auto"/>
              </w:rPr>
            </w:pPr>
          </w:p>
        </w:tc>
      </w:tr>
      <w:tr>
        <w:trPr>
          <w:trHeight w:val="178"/>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commercial loans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10,095,526</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10,439,847</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10,919,490</w:t>
            </w:r>
          </w:p>
        </w:tc>
        <w:tc>
          <w:tcPr>
            <w:tcW w:w="0" w:type="dxa"/>
            <w:vAlign w:val="bottom"/>
          </w:tcPr>
          <w:p>
            <w:pPr>
              <w:spacing w:after="0"/>
              <w:rPr>
                <w:sz w:val="1"/>
                <w:szCs w:val="1"/>
                <w:color w:val="auto"/>
              </w:rPr>
            </w:pPr>
          </w:p>
        </w:tc>
      </w:tr>
      <w:tr>
        <w:trPr>
          <w:trHeight w:val="17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Retail loans:</w:t>
            </w:r>
          </w:p>
        </w:tc>
        <w:tc>
          <w:tcPr>
            <w:tcW w:w="18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220"/>
              <w:spacing w:after="0"/>
              <w:rPr>
                <w:sz w:val="20"/>
                <w:szCs w:val="20"/>
                <w:color w:val="auto"/>
              </w:rPr>
            </w:pPr>
            <w:r>
              <w:rPr>
                <w:rFonts w:ascii="Arial" w:cs="Arial" w:eastAsia="Arial" w:hAnsi="Arial"/>
                <w:sz w:val="12"/>
                <w:szCs w:val="12"/>
                <w:color w:val="auto"/>
              </w:rPr>
              <w:t>Retail real estate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2,089,618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2,116,360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2,196,246</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Retail other</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637,345</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638,947</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482,530</w:t>
            </w:r>
          </w:p>
        </w:tc>
        <w:tc>
          <w:tcPr>
            <w:tcW w:w="0" w:type="dxa"/>
            <w:vAlign w:val="bottom"/>
          </w:tcPr>
          <w:p>
            <w:pPr>
              <w:spacing w:after="0"/>
              <w:rPr>
                <w:sz w:val="1"/>
                <w:szCs w:val="1"/>
                <w:color w:val="auto"/>
              </w:rPr>
            </w:pPr>
          </w:p>
        </w:tc>
      </w:tr>
      <w:tr>
        <w:trPr>
          <w:trHeight w:val="178"/>
        </w:trPr>
        <w:tc>
          <w:tcPr>
            <w:tcW w:w="74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Total retail loans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2,726,963</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2,755,307</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2,678,776</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Total portfolio loans</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12,822,489</w:t>
            </w:r>
          </w:p>
        </w:tc>
        <w:tc>
          <w:tcPr>
            <w:tcW w:w="80" w:type="dxa"/>
            <w:vAlign w:val="bottom"/>
            <w:tcBorders>
              <w:bottom w:val="single" w:sz="8" w:color="E0E7ED"/>
            </w:tcBorders>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13,195,154</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13,598,266</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CRE loans comprised 41.0% of Busey’s total loan portfolio as of September 30, 2026, and CRE properties were 26.6% owner occupied. Owner-occupied commercial real estate is generally dependent on the performance of the borrowers’ businesses, whereas non-owner-occupied commercial real estate is generally reliant on property cash flows generated by third-party tenants.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8"/>
                <w:szCs w:val="8"/>
                <w:color w:val="auto"/>
              </w:rPr>
            </w:pPr>
          </w:p>
        </w:tc>
        <w:tc>
          <w:tcPr>
            <w:tcW w:w="10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060" w:type="dxa"/>
            <w:vAlign w:val="bottom"/>
          </w:tcPr>
          <w:p>
            <w:pPr>
              <w:jc w:val="right"/>
              <w:ind w:right="245"/>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06"/>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69"/>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COMMERCIAL REAL ESTATE LOANS</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Non-owner-occupied commercial real estate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3,861,572</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
              <w:spacing w:after="0"/>
              <w:rPr>
                <w:sz w:val="20"/>
                <w:szCs w:val="20"/>
                <w:color w:val="auto"/>
              </w:rPr>
            </w:pPr>
            <w:r>
              <w:rPr>
                <w:rFonts w:ascii="Arial" w:cs="Arial" w:eastAsia="Arial" w:hAnsi="Arial"/>
                <w:sz w:val="12"/>
                <w:szCs w:val="12"/>
                <w:color w:val="auto"/>
              </w:rPr>
              <w:t>4,019,517</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5"/>
              <w:spacing w:after="0"/>
              <w:rPr>
                <w:sz w:val="20"/>
                <w:szCs w:val="20"/>
                <w:color w:val="auto"/>
              </w:rPr>
            </w:pPr>
            <w:r>
              <w:rPr>
                <w:rFonts w:ascii="Arial" w:cs="Arial" w:eastAsia="Arial" w:hAnsi="Arial"/>
                <w:sz w:val="12"/>
                <w:szCs w:val="12"/>
                <w:color w:val="auto"/>
              </w:rPr>
              <w:t>4,034,429</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Owner-occupied commercial real estate</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1,396,449</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6"/>
              <w:spacing w:after="0"/>
              <w:rPr>
                <w:sz w:val="20"/>
                <w:szCs w:val="20"/>
                <w:color w:val="auto"/>
              </w:rPr>
            </w:pPr>
            <w:r>
              <w:rPr>
                <w:rFonts w:ascii="Arial" w:cs="Arial" w:eastAsia="Arial" w:hAnsi="Arial"/>
                <w:sz w:val="12"/>
                <w:szCs w:val="12"/>
                <w:color w:val="auto"/>
              </w:rPr>
              <w:t>1,433,264</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5"/>
              <w:spacing w:after="0"/>
              <w:rPr>
                <w:sz w:val="20"/>
                <w:szCs w:val="20"/>
                <w:color w:val="auto"/>
              </w:rPr>
            </w:pPr>
            <w:r>
              <w:rPr>
                <w:rFonts w:ascii="Arial" w:cs="Arial" w:eastAsia="Arial" w:hAnsi="Arial"/>
                <w:sz w:val="12"/>
                <w:szCs w:val="12"/>
                <w:color w:val="auto"/>
              </w:rPr>
              <w:t>1,389,666</w:t>
            </w:r>
          </w:p>
        </w:tc>
        <w:tc>
          <w:tcPr>
            <w:tcW w:w="0" w:type="dxa"/>
            <w:vAlign w:val="bottom"/>
          </w:tcPr>
          <w:p>
            <w:pPr>
              <w:spacing w:after="0"/>
              <w:rPr>
                <w:sz w:val="1"/>
                <w:szCs w:val="1"/>
                <w:color w:val="auto"/>
              </w:rPr>
            </w:pPr>
          </w:p>
        </w:tc>
      </w:tr>
      <w:tr>
        <w:trPr>
          <w:trHeight w:val="186"/>
        </w:trPr>
        <w:tc>
          <w:tcPr>
            <w:tcW w:w="7400" w:type="dxa"/>
            <w:vAlign w:val="bottom"/>
          </w:tcPr>
          <w:p>
            <w:pPr>
              <w:spacing w:after="0"/>
              <w:rPr>
                <w:sz w:val="20"/>
                <w:szCs w:val="20"/>
                <w:color w:val="auto"/>
              </w:rPr>
            </w:pPr>
            <w:r>
              <w:rPr>
                <w:rFonts w:ascii="Arial" w:cs="Arial" w:eastAsia="Arial" w:hAnsi="Arial"/>
                <w:sz w:val="12"/>
                <w:szCs w:val="12"/>
                <w:color w:val="auto"/>
              </w:rPr>
              <w:t>Total commercial real estate loans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5,258,021</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5,452,781</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5,424,095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8</w:t>
      </w:r>
    </w:p>
    <w:p>
      <w:pPr>
        <w:sectPr>
          <w:pgSz w:w="11900" w:h="16838" w:orient="portrait"/>
          <w:cols w:equalWidth="0" w:num="1">
            <w:col w:w="11300"/>
          </w:cols>
          <w:pgMar w:left="300" w:top="912"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Asset Quality</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Despite the previously mentioned credit relationship that went on non-accural status, asset quality remains strong. Busey maintains a well-diversified loan portfolio and, as a matter of policy and practice, limits concentration exposure in any particular loan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1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80" w:type="dxa"/>
            <w:vAlign w:val="bottom"/>
          </w:tcPr>
          <w:p>
            <w:pPr>
              <w:spacing w:after="0"/>
              <w:rPr>
                <w:sz w:val="8"/>
                <w:szCs w:val="8"/>
                <w:color w:val="auto"/>
              </w:rPr>
            </w:pPr>
          </w:p>
        </w:tc>
        <w:tc>
          <w:tcPr>
            <w:tcW w:w="1140" w:type="dxa"/>
            <w:vAlign w:val="bottom"/>
            <w:gridSpan w:val="2"/>
          </w:tcPr>
          <w:p>
            <w:pPr>
              <w:jc w:val="center"/>
              <w:ind w:right="36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140" w:type="dxa"/>
            <w:vAlign w:val="bottom"/>
          </w:tcPr>
          <w:p>
            <w:pPr>
              <w:jc w:val="right"/>
              <w:ind w:right="28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7120" w:type="dxa"/>
            <w:vAlign w:val="bottom"/>
            <w:tcBorders>
              <w:bottom w:val="single" w:sz="8" w:color="E0E7ED"/>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assets</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18,558,606</w:t>
            </w: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18,191,867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18,188,628</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20"/>
                <w:szCs w:val="20"/>
                <w:color w:val="auto"/>
              </w:rPr>
            </w:pPr>
            <w:r>
              <w:rPr>
                <w:rFonts w:ascii="Arial" w:cs="Arial" w:eastAsia="Arial" w:hAnsi="Arial"/>
                <w:sz w:val="12"/>
                <w:szCs w:val="12"/>
                <w:b w:val="1"/>
                <w:bCs w:val="1"/>
                <w:color w:val="auto"/>
              </w:rPr>
              <w:t>Portfolio loans</w:t>
            </w:r>
          </w:p>
        </w:tc>
        <w:tc>
          <w:tcPr>
            <w:tcW w:w="220" w:type="dxa"/>
            <w:vAlign w:val="bottom"/>
          </w:tcPr>
          <w:p>
            <w:pPr>
              <w:spacing w:after="0"/>
              <w:rPr>
                <w:sz w:val="16"/>
                <w:szCs w:val="16"/>
                <w:color w:val="auto"/>
              </w:rPr>
            </w:pP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12,822,489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03"/>
              <w:spacing w:after="0"/>
              <w:rPr>
                <w:sz w:val="20"/>
                <w:szCs w:val="20"/>
                <w:color w:val="auto"/>
              </w:rPr>
            </w:pPr>
            <w:r>
              <w:rPr>
                <w:rFonts w:ascii="Arial" w:cs="Arial" w:eastAsia="Arial" w:hAnsi="Arial"/>
                <w:sz w:val="12"/>
                <w:szCs w:val="12"/>
                <w:color w:val="auto"/>
              </w:rPr>
              <w:t>13,195,154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13,598,266</w:t>
            </w:r>
          </w:p>
        </w:tc>
        <w:tc>
          <w:tcPr>
            <w:tcW w:w="0" w:type="dxa"/>
            <w:vAlign w:val="bottom"/>
          </w:tcPr>
          <w:p>
            <w:pPr>
              <w:spacing w:after="0"/>
              <w:rPr>
                <w:sz w:val="1"/>
                <w:szCs w:val="1"/>
                <w:color w:val="auto"/>
              </w:rPr>
            </w:pPr>
          </w:p>
        </w:tc>
      </w:tr>
      <w:tr>
        <w:trPr>
          <w:trHeight w:val="194"/>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Loans 30 – 89 days past due</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16,877</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8,135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18,914</w:t>
            </w:r>
          </w:p>
        </w:tc>
        <w:tc>
          <w:tcPr>
            <w:tcW w:w="0" w:type="dxa"/>
            <w:vAlign w:val="bottom"/>
          </w:tcPr>
          <w:p>
            <w:pPr>
              <w:spacing w:after="0"/>
              <w:rPr>
                <w:sz w:val="1"/>
                <w:szCs w:val="1"/>
                <w:color w:val="auto"/>
              </w:rPr>
            </w:pPr>
          </w:p>
        </w:tc>
      </w:tr>
      <w:tr>
        <w:trPr>
          <w:trHeight w:val="181"/>
        </w:trPr>
        <w:tc>
          <w:tcPr>
            <w:tcW w:w="7120" w:type="dxa"/>
            <w:vAlign w:val="bottom"/>
          </w:tcPr>
          <w:p>
            <w:pPr>
              <w:spacing w:after="0"/>
              <w:rPr>
                <w:sz w:val="20"/>
                <w:szCs w:val="20"/>
                <w:color w:val="auto"/>
              </w:rPr>
            </w:pPr>
            <w:r>
              <w:rPr>
                <w:rFonts w:ascii="Arial" w:cs="Arial" w:eastAsia="Arial" w:hAnsi="Arial"/>
                <w:sz w:val="12"/>
                <w:szCs w:val="12"/>
                <w:color w:val="auto"/>
              </w:rPr>
              <w:t>Non-performing loans: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Non-accrual loans</w:t>
            </w:r>
          </w:p>
        </w:tc>
        <w:tc>
          <w:tcPr>
            <w:tcW w:w="22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80,949</w:t>
            </w: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62,766</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46,096</w:t>
            </w:r>
          </w:p>
        </w:tc>
        <w:tc>
          <w:tcPr>
            <w:tcW w:w="0" w:type="dxa"/>
            <w:vAlign w:val="bottom"/>
          </w:tcPr>
          <w:p>
            <w:pPr>
              <w:spacing w:after="0"/>
              <w:rPr>
                <w:sz w:val="1"/>
                <w:szCs w:val="1"/>
                <w:color w:val="auto"/>
              </w:rPr>
            </w:pPr>
          </w:p>
        </w:tc>
      </w:tr>
      <w:tr>
        <w:trPr>
          <w:trHeight w:val="181"/>
        </w:trPr>
        <w:tc>
          <w:tcPr>
            <w:tcW w:w="71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Loans 90+ days past due and still accruing</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689</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4,668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1,418</w:t>
            </w:r>
          </w:p>
        </w:tc>
        <w:tc>
          <w:tcPr>
            <w:tcW w:w="0" w:type="dxa"/>
            <w:vAlign w:val="bottom"/>
          </w:tcPr>
          <w:p>
            <w:pPr>
              <w:spacing w:after="0"/>
              <w:rPr>
                <w:sz w:val="1"/>
                <w:szCs w:val="1"/>
                <w:color w:val="auto"/>
              </w:rPr>
            </w:pPr>
          </w:p>
        </w:tc>
      </w:tr>
      <w:tr>
        <w:trPr>
          <w:trHeight w:val="186"/>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loans</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81,638</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67,434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47,514</w:t>
            </w:r>
          </w:p>
        </w:tc>
        <w:tc>
          <w:tcPr>
            <w:tcW w:w="0" w:type="dxa"/>
            <w:vAlign w:val="bottom"/>
          </w:tcPr>
          <w:p>
            <w:pPr>
              <w:spacing w:after="0"/>
              <w:rPr>
                <w:sz w:val="1"/>
                <w:szCs w:val="1"/>
                <w:color w:val="auto"/>
              </w:rPr>
            </w:pPr>
          </w:p>
        </w:tc>
      </w:tr>
      <w:tr>
        <w:trPr>
          <w:trHeight w:val="181"/>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Other non-performing assets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1,969</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2,871</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10,210</w:t>
            </w:r>
          </w:p>
        </w:tc>
        <w:tc>
          <w:tcPr>
            <w:tcW w:w="0" w:type="dxa"/>
            <w:vAlign w:val="bottom"/>
          </w:tcPr>
          <w:p>
            <w:pPr>
              <w:spacing w:after="0"/>
              <w:rPr>
                <w:sz w:val="1"/>
                <w:szCs w:val="1"/>
                <w:color w:val="auto"/>
              </w:rPr>
            </w:pPr>
          </w:p>
        </w:tc>
      </w:tr>
      <w:tr>
        <w:trPr>
          <w:trHeight w:val="186"/>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83,607</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70,305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57,724</w:t>
            </w:r>
          </w:p>
        </w:tc>
        <w:tc>
          <w:tcPr>
            <w:tcW w:w="0" w:type="dxa"/>
            <w:vAlign w:val="bottom"/>
          </w:tcPr>
          <w:p>
            <w:pPr>
              <w:spacing w:after="0"/>
              <w:rPr>
                <w:sz w:val="1"/>
                <w:szCs w:val="1"/>
                <w:color w:val="auto"/>
              </w:rPr>
            </w:pPr>
          </w:p>
        </w:tc>
      </w:tr>
      <w:tr>
        <w:trPr>
          <w:trHeight w:val="181"/>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Substandard (excludes 90+ days past due)</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161,253</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155,737</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103,329</w:t>
            </w:r>
          </w:p>
        </w:tc>
        <w:tc>
          <w:tcPr>
            <w:tcW w:w="0" w:type="dxa"/>
            <w:vAlign w:val="bottom"/>
          </w:tcPr>
          <w:p>
            <w:pPr>
              <w:spacing w:after="0"/>
              <w:rPr>
                <w:sz w:val="1"/>
                <w:szCs w:val="1"/>
                <w:color w:val="auto"/>
              </w:rPr>
            </w:pPr>
          </w:p>
        </w:tc>
      </w:tr>
      <w:tr>
        <w:trPr>
          <w:trHeight w:val="202"/>
        </w:trPr>
        <w:tc>
          <w:tcPr>
            <w:tcW w:w="712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Classified assets</w:t>
            </w: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244,860</w:t>
            </w:r>
          </w:p>
        </w:tc>
        <w:tc>
          <w:tcPr>
            <w:tcW w:w="80" w:type="dxa"/>
            <w:vAlign w:val="bottom"/>
            <w:tcBorders>
              <w:bottom w:val="single" w:sz="8" w:color="E0E7ED"/>
            </w:tcBorders>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226,042</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161,053</w:t>
            </w:r>
          </w:p>
        </w:tc>
        <w:tc>
          <w:tcPr>
            <w:tcW w:w="0" w:type="dxa"/>
            <w:vAlign w:val="bottom"/>
          </w:tcPr>
          <w:p>
            <w:pPr>
              <w:spacing w:after="0"/>
              <w:rPr>
                <w:sz w:val="1"/>
                <w:szCs w:val="1"/>
                <w:color w:val="auto"/>
              </w:rPr>
            </w:pPr>
          </w:p>
        </w:tc>
      </w:tr>
      <w:tr>
        <w:trPr>
          <w:trHeight w:val="153"/>
        </w:trPr>
        <w:tc>
          <w:tcPr>
            <w:tcW w:w="7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Allowance for credit losses</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164,280</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164,204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174,181</w:t>
            </w: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RATIOS</w:t>
            </w:r>
          </w:p>
        </w:tc>
        <w:tc>
          <w:tcPr>
            <w:tcW w:w="3020" w:type="dxa"/>
            <w:vAlign w:val="bottom"/>
            <w:shd w:val="clear" w:color="auto" w:fill="E0E7ED"/>
          </w:tcPr>
          <w:p>
            <w:pPr>
              <w:spacing w:after="0"/>
              <w:rPr>
                <w:sz w:val="16"/>
                <w:szCs w:val="16"/>
                <w:color w:val="auto"/>
              </w:rPr>
            </w:pPr>
          </w:p>
        </w:tc>
        <w:tc>
          <w:tcPr>
            <w:tcW w:w="140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r>
      <w:tr>
        <w:trPr>
          <w:trHeight w:val="181"/>
        </w:trPr>
        <w:tc>
          <w:tcPr>
            <w:tcW w:w="5960" w:type="dxa"/>
            <w:vAlign w:val="bottom"/>
          </w:tcPr>
          <w:p>
            <w:pPr>
              <w:spacing w:after="0"/>
              <w:rPr>
                <w:sz w:val="20"/>
                <w:szCs w:val="20"/>
                <w:color w:val="auto"/>
              </w:rPr>
            </w:pPr>
            <w:r>
              <w:rPr>
                <w:rFonts w:ascii="Arial" w:cs="Arial" w:eastAsia="Arial" w:hAnsi="Arial"/>
                <w:sz w:val="12"/>
                <w:szCs w:val="12"/>
                <w:color w:val="auto"/>
              </w:rPr>
              <w:t>Non-performing loans to portfolio loans</w:t>
            </w:r>
          </w:p>
        </w:tc>
        <w:tc>
          <w:tcPr>
            <w:tcW w:w="3020" w:type="dxa"/>
            <w:vAlign w:val="bottom"/>
          </w:tcPr>
          <w:p>
            <w:pPr>
              <w:jc w:val="right"/>
              <w:ind w:right="460"/>
              <w:spacing w:after="0"/>
              <w:rPr>
                <w:sz w:val="20"/>
                <w:szCs w:val="20"/>
                <w:color w:val="auto"/>
              </w:rPr>
            </w:pPr>
            <w:r>
              <w:rPr>
                <w:rFonts w:ascii="Arial" w:cs="Arial" w:eastAsia="Arial" w:hAnsi="Arial"/>
                <w:sz w:val="12"/>
                <w:szCs w:val="12"/>
                <w:color w:val="auto"/>
              </w:rPr>
              <w:t>0.64 %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0.51 %</w:t>
            </w:r>
          </w:p>
        </w:tc>
        <w:tc>
          <w:tcPr>
            <w:tcW w:w="920" w:type="dxa"/>
            <w:vAlign w:val="bottom"/>
          </w:tcPr>
          <w:p>
            <w:pPr>
              <w:jc w:val="right"/>
              <w:spacing w:after="0"/>
              <w:rPr>
                <w:sz w:val="20"/>
                <w:szCs w:val="20"/>
                <w:color w:val="auto"/>
              </w:rPr>
            </w:pPr>
            <w:r>
              <w:rPr>
                <w:rFonts w:ascii="Arial" w:cs="Arial" w:eastAsia="Arial" w:hAnsi="Arial"/>
                <w:sz w:val="12"/>
                <w:szCs w:val="12"/>
                <w:color w:val="auto"/>
              </w:rPr>
              <w:t>0.35 %</w:t>
            </w:r>
          </w:p>
        </w:tc>
      </w:tr>
      <w:tr>
        <w:trPr>
          <w:trHeight w:val="197"/>
        </w:trPr>
        <w:tc>
          <w:tcPr>
            <w:tcW w:w="596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 to total assets</w:t>
            </w:r>
          </w:p>
        </w:tc>
        <w:tc>
          <w:tcPr>
            <w:tcW w:w="302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0.45 %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0.39 %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0.32 %</w:t>
            </w:r>
          </w:p>
        </w:tc>
      </w:tr>
      <w:tr>
        <w:trPr>
          <w:trHeight w:val="181"/>
        </w:trPr>
        <w:tc>
          <w:tcPr>
            <w:tcW w:w="5960" w:type="dxa"/>
            <w:vAlign w:val="bottom"/>
          </w:tcPr>
          <w:p>
            <w:pPr>
              <w:spacing w:after="0"/>
              <w:rPr>
                <w:sz w:val="20"/>
                <w:szCs w:val="20"/>
                <w:color w:val="auto"/>
              </w:rPr>
            </w:pPr>
            <w:r>
              <w:rPr>
                <w:rFonts w:ascii="Arial" w:cs="Arial" w:eastAsia="Arial" w:hAnsi="Arial"/>
                <w:sz w:val="12"/>
                <w:szCs w:val="12"/>
                <w:color w:val="auto"/>
              </w:rPr>
              <w:t>Non-performing assets to portfolio loans and other non-performing assets</w:t>
            </w:r>
          </w:p>
        </w:tc>
        <w:tc>
          <w:tcPr>
            <w:tcW w:w="3020" w:type="dxa"/>
            <w:vAlign w:val="bottom"/>
          </w:tcPr>
          <w:p>
            <w:pPr>
              <w:jc w:val="right"/>
              <w:ind w:right="460"/>
              <w:spacing w:after="0"/>
              <w:rPr>
                <w:sz w:val="20"/>
                <w:szCs w:val="20"/>
                <w:color w:val="auto"/>
              </w:rPr>
            </w:pPr>
            <w:r>
              <w:rPr>
                <w:rFonts w:ascii="Arial" w:cs="Arial" w:eastAsia="Arial" w:hAnsi="Arial"/>
                <w:sz w:val="12"/>
                <w:szCs w:val="12"/>
                <w:color w:val="auto"/>
              </w:rPr>
              <w:t>0.65 %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0.53 %</w:t>
            </w:r>
          </w:p>
        </w:tc>
        <w:tc>
          <w:tcPr>
            <w:tcW w:w="920" w:type="dxa"/>
            <w:vAlign w:val="bottom"/>
          </w:tcPr>
          <w:p>
            <w:pPr>
              <w:jc w:val="right"/>
              <w:spacing w:after="0"/>
              <w:rPr>
                <w:sz w:val="20"/>
                <w:szCs w:val="20"/>
                <w:color w:val="auto"/>
              </w:rPr>
            </w:pPr>
            <w:r>
              <w:rPr>
                <w:rFonts w:ascii="Arial" w:cs="Arial" w:eastAsia="Arial" w:hAnsi="Arial"/>
                <w:sz w:val="12"/>
                <w:szCs w:val="12"/>
                <w:color w:val="auto"/>
              </w:rPr>
              <w:t>0.42 %</w:t>
            </w:r>
          </w:p>
        </w:tc>
      </w:tr>
      <w:tr>
        <w:trPr>
          <w:trHeight w:val="197"/>
        </w:trPr>
        <w:tc>
          <w:tcPr>
            <w:tcW w:w="5960" w:type="dxa"/>
            <w:vAlign w:val="bottom"/>
            <w:shd w:val="clear" w:color="auto" w:fill="E0E7ED"/>
          </w:tcPr>
          <w:p>
            <w:pPr>
              <w:spacing w:after="0"/>
              <w:rPr>
                <w:sz w:val="20"/>
                <w:szCs w:val="20"/>
                <w:color w:val="auto"/>
              </w:rPr>
            </w:pPr>
            <w:r>
              <w:rPr>
                <w:rFonts w:ascii="Arial" w:cs="Arial" w:eastAsia="Arial" w:hAnsi="Arial"/>
                <w:sz w:val="12"/>
                <w:szCs w:val="12"/>
                <w:color w:val="auto"/>
              </w:rPr>
              <w:t>Allowance for credit losses to portfolio loans</w:t>
            </w:r>
          </w:p>
        </w:tc>
        <w:tc>
          <w:tcPr>
            <w:tcW w:w="302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1.28 %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1.24 %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1.28 %</w:t>
            </w:r>
          </w:p>
        </w:tc>
      </w:tr>
      <w:tr>
        <w:trPr>
          <w:trHeight w:val="181"/>
        </w:trPr>
        <w:tc>
          <w:tcPr>
            <w:tcW w:w="5960" w:type="dxa"/>
            <w:vAlign w:val="bottom"/>
          </w:tcPr>
          <w:p>
            <w:pPr>
              <w:spacing w:after="0"/>
              <w:rPr>
                <w:sz w:val="20"/>
                <w:szCs w:val="20"/>
                <w:color w:val="auto"/>
              </w:rPr>
            </w:pPr>
            <w:r>
              <w:rPr>
                <w:rFonts w:ascii="Arial" w:cs="Arial" w:eastAsia="Arial" w:hAnsi="Arial"/>
                <w:sz w:val="12"/>
                <w:szCs w:val="12"/>
                <w:color w:val="auto"/>
              </w:rPr>
              <w:t>Coverage ratio of the allowance for credit losses to non-performing loans</w:t>
            </w:r>
          </w:p>
        </w:tc>
        <w:tc>
          <w:tcPr>
            <w:tcW w:w="3020" w:type="dxa"/>
            <w:vAlign w:val="bottom"/>
          </w:tcPr>
          <w:p>
            <w:pPr>
              <w:jc w:val="right"/>
              <w:ind w:right="460"/>
              <w:spacing w:after="0"/>
              <w:rPr>
                <w:sz w:val="20"/>
                <w:szCs w:val="20"/>
                <w:color w:val="auto"/>
              </w:rPr>
            </w:pPr>
            <w:r>
              <w:rPr>
                <w:rFonts w:ascii="Arial" w:cs="Arial" w:eastAsia="Arial" w:hAnsi="Arial"/>
                <w:sz w:val="12"/>
                <w:szCs w:val="12"/>
                <w:color w:val="auto"/>
              </w:rPr>
              <w:t>2.01 x</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2.44 x</w:t>
            </w:r>
          </w:p>
        </w:tc>
        <w:tc>
          <w:tcPr>
            <w:tcW w:w="920" w:type="dxa"/>
            <w:vAlign w:val="bottom"/>
          </w:tcPr>
          <w:p>
            <w:pPr>
              <w:jc w:val="right"/>
              <w:spacing w:after="0"/>
              <w:rPr>
                <w:sz w:val="20"/>
                <w:szCs w:val="20"/>
                <w:color w:val="auto"/>
              </w:rPr>
            </w:pPr>
            <w:r>
              <w:rPr>
                <w:rFonts w:ascii="Arial" w:cs="Arial" w:eastAsia="Arial" w:hAnsi="Arial"/>
                <w:sz w:val="12"/>
                <w:szCs w:val="12"/>
                <w:color w:val="auto"/>
              </w:rPr>
              <w:t>3.67 x</w:t>
            </w:r>
          </w:p>
        </w:tc>
      </w:tr>
      <w:tr>
        <w:trPr>
          <w:trHeight w:val="197"/>
        </w:trPr>
        <w:tc>
          <w:tcPr>
            <w:tcW w:w="5960" w:type="dxa"/>
            <w:vAlign w:val="bottom"/>
            <w:shd w:val="clear" w:color="auto" w:fill="E0E7ED"/>
          </w:tcPr>
          <w:p>
            <w:pPr>
              <w:spacing w:after="0"/>
              <w:rPr>
                <w:sz w:val="20"/>
                <w:szCs w:val="20"/>
                <w:color w:val="auto"/>
              </w:rPr>
            </w:pPr>
            <w:r>
              <w:rPr>
                <w:rFonts w:ascii="Arial" w:cs="Arial" w:eastAsia="Arial" w:hAnsi="Arial"/>
                <w:sz w:val="12"/>
                <w:szCs w:val="12"/>
                <w:color w:val="auto"/>
              </w:rPr>
              <w:t>Classified assets to Bank Tier 1 capital</w:t>
            </w:r>
            <w:r>
              <w:rPr>
                <w:rFonts w:ascii="Arial" w:cs="Arial" w:eastAsia="Arial" w:hAnsi="Arial"/>
                <w:sz w:val="15"/>
                <w:szCs w:val="15"/>
                <w:color w:val="auto"/>
                <w:vertAlign w:val="superscript"/>
              </w:rPr>
              <w:t>(i)</w:t>
            </w:r>
            <w:r>
              <w:rPr>
                <w:rFonts w:ascii="Arial" w:cs="Arial" w:eastAsia="Arial" w:hAnsi="Arial"/>
                <w:sz w:val="12"/>
                <w:szCs w:val="12"/>
                <w:color w:val="auto"/>
              </w:rPr>
              <w:t xml:space="preserve"> and allowance for credit losses</w:t>
            </w:r>
          </w:p>
        </w:tc>
        <w:tc>
          <w:tcPr>
            <w:tcW w:w="302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10.61 %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9.69 %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7.03 %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5"/>
        </w:numPr>
        <w:rPr>
          <w:rFonts w:ascii="Arial" w:cs="Arial" w:eastAsia="Arial" w:hAnsi="Arial"/>
          <w:sz w:val="10"/>
          <w:szCs w:val="10"/>
          <w:color w:val="auto"/>
        </w:rPr>
      </w:pPr>
      <w:r>
        <w:rPr>
          <w:rFonts w:ascii="Arial" w:cs="Arial" w:eastAsia="Arial" w:hAnsi="Arial"/>
          <w:sz w:val="10"/>
          <w:szCs w:val="10"/>
          <w:color w:val="auto"/>
        </w:rPr>
        <w:t>Capital amounts for the third quarter of 2026 are not yet finalized and are subject to change.</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Non-performing assets increased by $13.3 million compared to June 30, 2026, and increased by $25.9 million compared to September 30, 2025. The quarter-over-quarter increase was driven by one commercial relationship totaling $37.6 million. Due to emerging circumstances, the relationship was moved to a non-accrual status, incurred a partial charge-off of $10.0 million, and was allocated an individual reserve of $17.8 million against the remaining $27.6 million September 30, 2026, balance. Non-performing assets represented 0.45% of total assets as of September 30, 2026, a 6 basis point increase from June 30, 2026, and a 13 basis point increase from September 30, 2025.</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Classified assets increased by $18.8 million compared to June 30, 2026, and increased by $83.8 million compared to September 30, 2025.</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allowance for credit losses was $164.3 million as of September 30, 2026, equal to 2.0 times the balance of non-performing loans and representing 1.28% of total portfolio loans.</w:t>
      </w:r>
    </w:p>
    <w:p>
      <w:pPr>
        <w:spacing w:after="0" w:line="200" w:lineRule="exact"/>
        <w:rPr>
          <w:sz w:val="20"/>
          <w:szCs w:val="20"/>
          <w:color w:val="auto"/>
        </w:rPr>
      </w:pPr>
    </w:p>
    <w:p>
      <w:pPr>
        <w:spacing w:after="0" w:line="202" w:lineRule="exact"/>
        <w:rPr>
          <w:sz w:val="20"/>
          <w:szCs w:val="20"/>
          <w:color w:val="auto"/>
        </w:rPr>
      </w:pPr>
    </w:p>
    <w:p>
      <w:pPr>
        <w:ind w:left="8780"/>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9</w:t>
      </w:r>
    </w:p>
    <w:p>
      <w:pPr>
        <w:sectPr>
          <w:pgSz w:w="11900" w:h="16838" w:orient="portrait"/>
          <w:cols w:equalWidth="0" w:num="1">
            <w:col w:w="11300"/>
          </w:cols>
          <w:pgMar w:left="300" w:top="910"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Busey’s net charge-offs and provision for credit losses were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NET CHARGE-OFFS (RECOVERIES) AND PROVISION EXPENSE (RELEASE) </w:t>
      </w:r>
      <w:r>
        <w:rPr>
          <w:rFonts w:ascii="Arial" w:cs="Arial" w:eastAsia="Arial" w:hAnsi="Arial"/>
          <w:sz w:val="12"/>
          <w:szCs w:val="12"/>
          <w:b w:val="1"/>
          <w:bCs w:val="1"/>
          <w:i w:val="1"/>
          <w:i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tcPr>
          <w:p>
            <w:pPr>
              <w:ind w:left="70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06"/>
        </w:trPr>
        <w:tc>
          <w:tcPr>
            <w:tcW w:w="44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9"/>
                <w:szCs w:val="9"/>
                <w:color w:val="auto"/>
              </w:rPr>
            </w:pPr>
          </w:p>
        </w:tc>
        <w:tc>
          <w:tcPr>
            <w:tcW w:w="1200" w:type="dxa"/>
            <w:vAlign w:val="bottom"/>
            <w:gridSpan w:val="2"/>
          </w:tcPr>
          <w:p>
            <w:pPr>
              <w:ind w:left="140"/>
              <w:spacing w:after="0" w:line="106"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9"/>
                <w:szCs w:val="9"/>
                <w:color w:val="auto"/>
              </w:rPr>
            </w:pPr>
          </w:p>
        </w:tc>
        <w:tc>
          <w:tcPr>
            <w:tcW w:w="124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9"/>
                <w:szCs w:val="9"/>
                <w:color w:val="auto"/>
              </w:rPr>
            </w:pPr>
          </w:p>
        </w:tc>
        <w:tc>
          <w:tcPr>
            <w:tcW w:w="1200" w:type="dxa"/>
            <w:vAlign w:val="bottom"/>
            <w:gridSpan w:val="2"/>
          </w:tcPr>
          <w:p>
            <w:pPr>
              <w:ind w:left="140"/>
              <w:spacing w:after="0" w:line="106"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9"/>
                <w:szCs w:val="9"/>
                <w:color w:val="auto"/>
              </w:rPr>
            </w:pPr>
          </w:p>
        </w:tc>
        <w:tc>
          <w:tcPr>
            <w:tcW w:w="1200" w:type="dxa"/>
            <w:vAlign w:val="bottom"/>
            <w:gridSpan w:val="2"/>
          </w:tcPr>
          <w:p>
            <w:pPr>
              <w:ind w:left="140"/>
              <w:spacing w:after="0" w:line="106"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9"/>
                <w:szCs w:val="9"/>
                <w:color w:val="auto"/>
              </w:rPr>
            </w:pPr>
          </w:p>
        </w:tc>
        <w:tc>
          <w:tcPr>
            <w:tcW w:w="1120" w:type="dxa"/>
            <w:vAlign w:val="bottom"/>
          </w:tcPr>
          <w:p>
            <w:pPr>
              <w:jc w:val="right"/>
              <w:ind w:right="284"/>
              <w:spacing w:after="0" w:line="106"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BE2E9"/>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DBE2E9"/>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89"/>
              </w:rPr>
              <w:t>2026</w:t>
            </w:r>
          </w:p>
        </w:tc>
        <w:tc>
          <w:tcPr>
            <w:tcW w:w="60" w:type="dxa"/>
            <w:vAlign w:val="bottom"/>
            <w:tcBorders>
              <w:bottom w:val="single" w:sz="8" w:color="DBE2E9"/>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DBE2E9"/>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DBE2E9"/>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64"/>
              <w:spacing w:after="0" w:line="117" w:lineRule="exact"/>
              <w:rPr>
                <w:sz w:val="20"/>
                <w:szCs w:val="20"/>
                <w:color w:val="auto"/>
              </w:rPr>
            </w:pPr>
            <w:r>
              <w:rPr>
                <w:rFonts w:ascii="Arial" w:cs="Arial" w:eastAsia="Arial" w:hAnsi="Arial"/>
                <w:sz w:val="9"/>
                <w:szCs w:val="9"/>
                <w:b w:val="1"/>
                <w:bCs w:val="1"/>
                <w:color w:val="auto"/>
              </w:rPr>
              <w:t>2025</w:t>
            </w:r>
            <w:r>
              <w:rPr>
                <w:rFonts w:ascii="Arial" w:cs="Arial" w:eastAsia="Arial" w:hAnsi="Arial"/>
                <w:sz w:val="13"/>
                <w:szCs w:val="13"/>
                <w:b w:val="1"/>
                <w:bCs w:val="1"/>
                <w:color w:val="auto"/>
                <w:vertAlign w:val="superscript"/>
              </w:rPr>
              <w:t>(i)</w:t>
            </w:r>
          </w:p>
        </w:tc>
        <w:tc>
          <w:tcPr>
            <w:tcW w:w="0" w:type="dxa"/>
            <w:vAlign w:val="bottom"/>
          </w:tcPr>
          <w:p>
            <w:pPr>
              <w:spacing w:after="0"/>
              <w:rPr>
                <w:sz w:val="1"/>
                <w:szCs w:val="1"/>
                <w:color w:val="auto"/>
              </w:rPr>
            </w:pPr>
          </w:p>
        </w:tc>
      </w:tr>
      <w:tr>
        <w:trPr>
          <w:trHeight w:val="178"/>
        </w:trPr>
        <w:tc>
          <w:tcPr>
            <w:tcW w:w="4420" w:type="dxa"/>
            <w:vAlign w:val="bottom"/>
            <w:shd w:val="clear" w:color="auto" w:fill="DBE2E9"/>
          </w:tcPr>
          <w:p>
            <w:pPr>
              <w:spacing w:after="0"/>
              <w:rPr>
                <w:sz w:val="20"/>
                <w:szCs w:val="20"/>
                <w:color w:val="auto"/>
              </w:rPr>
            </w:pPr>
            <w:r>
              <w:rPr>
                <w:rFonts w:ascii="Arial" w:cs="Arial" w:eastAsia="Arial" w:hAnsi="Arial"/>
                <w:sz w:val="12"/>
                <w:szCs w:val="12"/>
                <w:color w:val="auto"/>
              </w:rPr>
              <w:t>Net charge-offs</w:t>
            </w: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3"/>
              <w:spacing w:after="0"/>
              <w:rPr>
                <w:sz w:val="20"/>
                <w:szCs w:val="20"/>
                <w:color w:val="auto"/>
              </w:rPr>
            </w:pPr>
            <w:r>
              <w:rPr>
                <w:rFonts w:ascii="Arial" w:cs="Arial" w:eastAsia="Arial" w:hAnsi="Arial"/>
                <w:sz w:val="12"/>
                <w:szCs w:val="12"/>
                <w:color w:val="auto"/>
              </w:rPr>
              <w:t>11,368</w:t>
            </w:r>
          </w:p>
        </w:tc>
        <w:tc>
          <w:tcPr>
            <w:tcW w:w="80" w:type="dxa"/>
            <w:vAlign w:val="bottom"/>
            <w:shd w:val="clear" w:color="auto" w:fill="DBE2E9"/>
          </w:tcPr>
          <w:p>
            <w:pPr>
              <w:spacing w:after="0"/>
              <w:rPr>
                <w:sz w:val="15"/>
                <w:szCs w:val="15"/>
                <w:color w:val="auto"/>
              </w:rPr>
            </w:pPr>
          </w:p>
        </w:tc>
        <w:tc>
          <w:tcPr>
            <w:tcW w:w="12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E2E9"/>
          </w:tcPr>
          <w:p>
            <w:pPr>
              <w:jc w:val="right"/>
              <w:ind w:right="105"/>
              <w:spacing w:after="0"/>
              <w:rPr>
                <w:sz w:val="20"/>
                <w:szCs w:val="20"/>
                <w:color w:val="auto"/>
              </w:rPr>
            </w:pPr>
            <w:r>
              <w:rPr>
                <w:rFonts w:ascii="Arial" w:cs="Arial" w:eastAsia="Arial" w:hAnsi="Arial"/>
                <w:sz w:val="12"/>
                <w:szCs w:val="12"/>
                <w:color w:val="auto"/>
              </w:rPr>
              <w:t>6,382</w:t>
            </w:r>
          </w:p>
        </w:tc>
        <w:tc>
          <w:tcPr>
            <w:tcW w:w="60" w:type="dxa"/>
            <w:vAlign w:val="bottom"/>
            <w:shd w:val="clear" w:color="auto" w:fill="DBE2E9"/>
          </w:tcPr>
          <w:p>
            <w:pPr>
              <w:spacing w:after="0"/>
              <w:rPr>
                <w:sz w:val="15"/>
                <w:szCs w:val="15"/>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3"/>
              <w:spacing w:after="0"/>
              <w:rPr>
                <w:sz w:val="20"/>
                <w:szCs w:val="20"/>
                <w:color w:val="auto"/>
              </w:rPr>
            </w:pPr>
            <w:r>
              <w:rPr>
                <w:rFonts w:ascii="Arial" w:cs="Arial" w:eastAsia="Arial" w:hAnsi="Arial"/>
                <w:sz w:val="12"/>
                <w:szCs w:val="12"/>
                <w:color w:val="auto"/>
              </w:rPr>
              <w:t>5,848</w:t>
            </w:r>
          </w:p>
        </w:tc>
        <w:tc>
          <w:tcPr>
            <w:tcW w:w="80" w:type="dxa"/>
            <w:vAlign w:val="bottom"/>
            <w:shd w:val="clear" w:color="auto" w:fill="DBE2E9"/>
          </w:tcPr>
          <w:p>
            <w:pPr>
              <w:spacing w:after="0"/>
              <w:rPr>
                <w:sz w:val="15"/>
                <w:szCs w:val="15"/>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5"/>
              <w:spacing w:after="0"/>
              <w:rPr>
                <w:sz w:val="20"/>
                <w:szCs w:val="20"/>
                <w:color w:val="auto"/>
              </w:rPr>
            </w:pPr>
            <w:r>
              <w:rPr>
                <w:rFonts w:ascii="Arial" w:cs="Arial" w:eastAsia="Arial" w:hAnsi="Arial"/>
                <w:sz w:val="12"/>
                <w:szCs w:val="12"/>
                <w:color w:val="auto"/>
              </w:rPr>
              <w:t>25,112</w:t>
            </w:r>
          </w:p>
        </w:tc>
        <w:tc>
          <w:tcPr>
            <w:tcW w:w="80" w:type="dxa"/>
            <w:vAlign w:val="bottom"/>
            <w:shd w:val="clear" w:color="auto" w:fill="DBE2E9"/>
          </w:tcPr>
          <w:p>
            <w:pPr>
              <w:spacing w:after="0"/>
              <w:rPr>
                <w:sz w:val="15"/>
                <w:szCs w:val="15"/>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4"/>
              <w:spacing w:after="0"/>
              <w:rPr>
                <w:sz w:val="20"/>
                <w:szCs w:val="20"/>
                <w:color w:val="auto"/>
              </w:rPr>
            </w:pPr>
            <w:r>
              <w:rPr>
                <w:rFonts w:ascii="Arial" w:cs="Arial" w:eastAsia="Arial" w:hAnsi="Arial"/>
                <w:sz w:val="12"/>
                <w:szCs w:val="12"/>
                <w:color w:val="auto"/>
              </w:rPr>
              <w:t>50,158</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DBE2E9"/>
          </w:tcPr>
          <w:p>
            <w:pPr>
              <w:spacing w:after="0"/>
              <w:rPr>
                <w:sz w:val="20"/>
                <w:szCs w:val="20"/>
                <w:color w:val="auto"/>
              </w:rPr>
            </w:pPr>
            <w:r>
              <w:rPr>
                <w:rFonts w:ascii="Arial" w:cs="Arial" w:eastAsia="Arial" w:hAnsi="Arial"/>
                <w:sz w:val="12"/>
                <w:szCs w:val="12"/>
                <w:color w:val="auto"/>
              </w:rPr>
              <w:t>Provision for loan losses</w:t>
            </w: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3"/>
              <w:spacing w:after="0"/>
              <w:rPr>
                <w:sz w:val="20"/>
                <w:szCs w:val="20"/>
                <w:color w:val="auto"/>
              </w:rPr>
            </w:pPr>
            <w:r>
              <w:rPr>
                <w:rFonts w:ascii="Arial" w:cs="Arial" w:eastAsia="Arial" w:hAnsi="Arial"/>
                <w:sz w:val="12"/>
                <w:szCs w:val="12"/>
                <w:color w:val="auto"/>
              </w:rPr>
              <w:t>11,444</w:t>
            </w:r>
          </w:p>
        </w:tc>
        <w:tc>
          <w:tcPr>
            <w:tcW w:w="80" w:type="dxa"/>
            <w:vAlign w:val="bottom"/>
            <w:shd w:val="clear" w:color="auto" w:fill="DBE2E9"/>
          </w:tcPr>
          <w:p>
            <w:pPr>
              <w:spacing w:after="0"/>
              <w:rPr>
                <w:sz w:val="16"/>
                <w:szCs w:val="16"/>
                <w:color w:val="auto"/>
              </w:rPr>
            </w:pPr>
          </w:p>
        </w:tc>
        <w:tc>
          <w:tcPr>
            <w:tcW w:w="12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E2E9"/>
          </w:tcPr>
          <w:p>
            <w:pPr>
              <w:jc w:val="right"/>
              <w:ind w:right="105"/>
              <w:spacing w:after="0"/>
              <w:rPr>
                <w:sz w:val="20"/>
                <w:szCs w:val="20"/>
                <w:color w:val="auto"/>
              </w:rPr>
            </w:pPr>
            <w:r>
              <w:rPr>
                <w:rFonts w:ascii="Arial" w:cs="Arial" w:eastAsia="Arial" w:hAnsi="Arial"/>
                <w:sz w:val="12"/>
                <w:szCs w:val="12"/>
                <w:color w:val="auto"/>
              </w:rPr>
              <w:t>1,532</w:t>
            </w:r>
          </w:p>
        </w:tc>
        <w:tc>
          <w:tcPr>
            <w:tcW w:w="60" w:type="dxa"/>
            <w:vAlign w:val="bottom"/>
            <w:shd w:val="clear" w:color="auto" w:fill="DBE2E9"/>
          </w:tcPr>
          <w:p>
            <w:pPr>
              <w:spacing w:after="0"/>
              <w:rPr>
                <w:sz w:val="16"/>
                <w:szCs w:val="16"/>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63"/>
              <w:spacing w:after="0"/>
              <w:rPr>
                <w:sz w:val="20"/>
                <w:szCs w:val="20"/>
                <w:color w:val="auto"/>
              </w:rPr>
            </w:pPr>
            <w:r>
              <w:rPr>
                <w:rFonts w:ascii="Arial" w:cs="Arial" w:eastAsia="Arial" w:hAnsi="Arial"/>
                <w:sz w:val="12"/>
                <w:szCs w:val="12"/>
                <w:color w:val="auto"/>
              </w:rPr>
              <w:t>(3,305)</w:t>
            </w:r>
          </w:p>
        </w:tc>
        <w:tc>
          <w:tcPr>
            <w:tcW w:w="80" w:type="dxa"/>
            <w:vAlign w:val="bottom"/>
            <w:shd w:val="clear" w:color="auto" w:fill="DBE2E9"/>
          </w:tcPr>
          <w:p>
            <w:pPr>
              <w:spacing w:after="0"/>
              <w:rPr>
                <w:sz w:val="16"/>
                <w:szCs w:val="16"/>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5"/>
              <w:spacing w:after="0"/>
              <w:rPr>
                <w:sz w:val="20"/>
                <w:szCs w:val="20"/>
                <w:color w:val="auto"/>
              </w:rPr>
            </w:pPr>
            <w:r>
              <w:rPr>
                <w:rFonts w:ascii="Arial" w:cs="Arial" w:eastAsia="Arial" w:hAnsi="Arial"/>
                <w:sz w:val="12"/>
                <w:szCs w:val="12"/>
                <w:color w:val="auto"/>
              </w:rPr>
              <w:t>15,369</w:t>
            </w:r>
          </w:p>
        </w:tc>
        <w:tc>
          <w:tcPr>
            <w:tcW w:w="80" w:type="dxa"/>
            <w:vAlign w:val="bottom"/>
            <w:shd w:val="clear" w:color="auto" w:fill="DBE2E9"/>
          </w:tcPr>
          <w:p>
            <w:pPr>
              <w:spacing w:after="0"/>
              <w:rPr>
                <w:sz w:val="16"/>
                <w:szCs w:val="16"/>
                <w:color w:val="auto"/>
              </w:rPr>
            </w:pPr>
          </w:p>
        </w:tc>
        <w:tc>
          <w:tcPr>
            <w:tcW w:w="200" w:type="dxa"/>
            <w:vAlign w:val="bottom"/>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DBE2E9"/>
          </w:tcPr>
          <w:p>
            <w:pPr>
              <w:jc w:val="right"/>
              <w:ind w:right="104"/>
              <w:spacing w:after="0"/>
              <w:rPr>
                <w:sz w:val="20"/>
                <w:szCs w:val="20"/>
                <w:color w:val="auto"/>
              </w:rPr>
            </w:pPr>
            <w:r>
              <w:rPr>
                <w:rFonts w:ascii="Arial" w:cs="Arial" w:eastAsia="Arial" w:hAnsi="Arial"/>
                <w:sz w:val="12"/>
                <w:szCs w:val="12"/>
                <w:color w:val="auto"/>
              </w:rPr>
              <w:t>40,152</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DBE2E9"/>
            </w:tcBorders>
          </w:tcPr>
          <w:p>
            <w:pPr>
              <w:spacing w:after="0"/>
              <w:rPr>
                <w:sz w:val="20"/>
                <w:szCs w:val="20"/>
                <w:color w:val="auto"/>
              </w:rPr>
            </w:pPr>
            <w:r>
              <w:rPr>
                <w:rFonts w:ascii="Arial" w:cs="Arial" w:eastAsia="Arial" w:hAnsi="Arial"/>
                <w:sz w:val="12"/>
                <w:szCs w:val="12"/>
                <w:color w:val="auto"/>
              </w:rPr>
              <w:t>Provision for unfunded commitments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(1,802)</w:t>
            </w:r>
          </w:p>
        </w:tc>
        <w:tc>
          <w:tcPr>
            <w:tcW w:w="80" w:type="dxa"/>
            <w:vAlign w:val="bottom"/>
            <w:tcBorders>
              <w:bottom w:val="single" w:sz="8" w:color="DBE2E9"/>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657</w:t>
            </w:r>
          </w:p>
        </w:tc>
        <w:tc>
          <w:tcPr>
            <w:tcW w:w="60" w:type="dxa"/>
            <w:vAlign w:val="bottom"/>
            <w:tcBorders>
              <w:bottom w:val="single" w:sz="8" w:color="DBE2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2,320</w:t>
            </w:r>
          </w:p>
        </w:tc>
        <w:tc>
          <w:tcPr>
            <w:tcW w:w="80" w:type="dxa"/>
            <w:vAlign w:val="bottom"/>
            <w:tcBorders>
              <w:bottom w:val="single" w:sz="8" w:color="DBE2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rPr>
              <w:t>(480)</w:t>
            </w:r>
          </w:p>
        </w:tc>
        <w:tc>
          <w:tcPr>
            <w:tcW w:w="80" w:type="dxa"/>
            <w:vAlign w:val="bottom"/>
            <w:tcBorders>
              <w:bottom w:val="single" w:sz="8" w:color="DBE2E9"/>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10,156</w:t>
            </w:r>
          </w:p>
        </w:tc>
        <w:tc>
          <w:tcPr>
            <w:tcW w:w="0" w:type="dxa"/>
            <w:vAlign w:val="bottom"/>
          </w:tcPr>
          <w:p>
            <w:pPr>
              <w:spacing w:after="0"/>
              <w:rPr>
                <w:sz w:val="1"/>
                <w:szCs w:val="1"/>
                <w:color w:val="auto"/>
              </w:rPr>
            </w:pPr>
          </w:p>
        </w:tc>
      </w:tr>
      <w:tr>
        <w:trPr>
          <w:trHeight w:val="202"/>
        </w:trPr>
        <w:tc>
          <w:tcPr>
            <w:tcW w:w="4420" w:type="dxa"/>
            <w:vAlign w:val="bottom"/>
            <w:tcBorders>
              <w:bottom w:val="single" w:sz="8" w:color="DBE2E9"/>
            </w:tcBorders>
            <w:shd w:val="clear" w:color="auto" w:fill="DBE2E9"/>
          </w:tcPr>
          <w:p>
            <w:pPr>
              <w:spacing w:after="0"/>
              <w:rPr>
                <w:sz w:val="20"/>
                <w:szCs w:val="20"/>
                <w:color w:val="auto"/>
              </w:rPr>
            </w:pPr>
            <w:r>
              <w:rPr>
                <w:rFonts w:ascii="Arial" w:cs="Arial" w:eastAsia="Arial" w:hAnsi="Arial"/>
                <w:sz w:val="12"/>
                <w:szCs w:val="12"/>
                <w:color w:val="auto"/>
              </w:rPr>
              <w:t>Provision for credit losses</w:t>
            </w: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3"/>
              <w:spacing w:after="0"/>
              <w:rPr>
                <w:sz w:val="20"/>
                <w:szCs w:val="20"/>
                <w:color w:val="auto"/>
              </w:rPr>
            </w:pPr>
            <w:r>
              <w:rPr>
                <w:rFonts w:ascii="Arial" w:cs="Arial" w:eastAsia="Arial" w:hAnsi="Arial"/>
                <w:sz w:val="12"/>
                <w:szCs w:val="12"/>
                <w:color w:val="auto"/>
              </w:rPr>
              <w:t>9,642</w:t>
            </w:r>
          </w:p>
        </w:tc>
        <w:tc>
          <w:tcPr>
            <w:tcW w:w="80" w:type="dxa"/>
            <w:vAlign w:val="bottom"/>
            <w:tcBorders>
              <w:bottom w:val="single" w:sz="8" w:color="DBE2E9"/>
            </w:tcBorders>
            <w:shd w:val="clear" w:color="auto" w:fill="DBE2E9"/>
          </w:tcPr>
          <w:p>
            <w:pPr>
              <w:spacing w:after="0"/>
              <w:rPr>
                <w:sz w:val="17"/>
                <w:szCs w:val="17"/>
                <w:color w:val="auto"/>
              </w:rPr>
            </w:pPr>
          </w:p>
        </w:tc>
        <w:tc>
          <w:tcPr>
            <w:tcW w:w="12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BE2E9"/>
          </w:tcPr>
          <w:p>
            <w:pPr>
              <w:jc w:val="right"/>
              <w:ind w:right="105"/>
              <w:spacing w:after="0"/>
              <w:rPr>
                <w:sz w:val="20"/>
                <w:szCs w:val="20"/>
                <w:color w:val="auto"/>
              </w:rPr>
            </w:pPr>
            <w:r>
              <w:rPr>
                <w:rFonts w:ascii="Arial" w:cs="Arial" w:eastAsia="Arial" w:hAnsi="Arial"/>
                <w:sz w:val="12"/>
                <w:szCs w:val="12"/>
                <w:color w:val="auto"/>
              </w:rPr>
              <w:t>2,189</w:t>
            </w:r>
          </w:p>
        </w:tc>
        <w:tc>
          <w:tcPr>
            <w:tcW w:w="60" w:type="dxa"/>
            <w:vAlign w:val="bottom"/>
            <w:tcBorders>
              <w:bottom w:val="single" w:sz="8" w:color="DBE2E9"/>
            </w:tcBorders>
            <w:shd w:val="clear" w:color="auto" w:fill="DBE2E9"/>
          </w:tcPr>
          <w:p>
            <w:pPr>
              <w:spacing w:after="0"/>
              <w:rPr>
                <w:sz w:val="17"/>
                <w:szCs w:val="17"/>
                <w:color w:val="auto"/>
              </w:rPr>
            </w:pP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63"/>
              <w:spacing w:after="0"/>
              <w:rPr>
                <w:sz w:val="20"/>
                <w:szCs w:val="20"/>
                <w:color w:val="auto"/>
              </w:rPr>
            </w:pPr>
            <w:r>
              <w:rPr>
                <w:rFonts w:ascii="Arial" w:cs="Arial" w:eastAsia="Arial" w:hAnsi="Arial"/>
                <w:sz w:val="12"/>
                <w:szCs w:val="12"/>
                <w:color w:val="auto"/>
              </w:rPr>
              <w:t>(985)</w:t>
            </w:r>
          </w:p>
        </w:tc>
        <w:tc>
          <w:tcPr>
            <w:tcW w:w="80" w:type="dxa"/>
            <w:vAlign w:val="bottom"/>
            <w:tcBorders>
              <w:bottom w:val="single" w:sz="8" w:color="DBE2E9"/>
            </w:tcBorders>
            <w:shd w:val="clear" w:color="auto" w:fill="DBE2E9"/>
          </w:tcPr>
          <w:p>
            <w:pPr>
              <w:spacing w:after="0"/>
              <w:rPr>
                <w:sz w:val="17"/>
                <w:szCs w:val="17"/>
                <w:color w:val="auto"/>
              </w:rPr>
            </w:pP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5"/>
              <w:spacing w:after="0"/>
              <w:rPr>
                <w:sz w:val="20"/>
                <w:szCs w:val="20"/>
                <w:color w:val="auto"/>
              </w:rPr>
            </w:pPr>
            <w:r>
              <w:rPr>
                <w:rFonts w:ascii="Arial" w:cs="Arial" w:eastAsia="Arial" w:hAnsi="Arial"/>
                <w:sz w:val="12"/>
                <w:szCs w:val="12"/>
                <w:color w:val="auto"/>
              </w:rPr>
              <w:t>14,889</w:t>
            </w:r>
          </w:p>
        </w:tc>
        <w:tc>
          <w:tcPr>
            <w:tcW w:w="80" w:type="dxa"/>
            <w:vAlign w:val="bottom"/>
            <w:tcBorders>
              <w:bottom w:val="single" w:sz="8" w:color="DBE2E9"/>
            </w:tcBorders>
            <w:shd w:val="clear" w:color="auto" w:fill="DBE2E9"/>
          </w:tcPr>
          <w:p>
            <w:pPr>
              <w:spacing w:after="0"/>
              <w:rPr>
                <w:sz w:val="17"/>
                <w:szCs w:val="17"/>
                <w:color w:val="auto"/>
              </w:rPr>
            </w:pPr>
          </w:p>
        </w:tc>
        <w:tc>
          <w:tcPr>
            <w:tcW w:w="200" w:type="dxa"/>
            <w:vAlign w:val="bottom"/>
            <w:tcBorders>
              <w:bottom w:val="single" w:sz="8" w:color="auto"/>
            </w:tcBorders>
            <w:shd w:val="clear" w:color="auto" w:fill="DBE2E9"/>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DBE2E9"/>
          </w:tcPr>
          <w:p>
            <w:pPr>
              <w:jc w:val="right"/>
              <w:ind w:right="104"/>
              <w:spacing w:after="0"/>
              <w:rPr>
                <w:sz w:val="20"/>
                <w:szCs w:val="20"/>
                <w:color w:val="auto"/>
              </w:rPr>
            </w:pPr>
            <w:r>
              <w:rPr>
                <w:rFonts w:ascii="Arial" w:cs="Arial" w:eastAsia="Arial" w:hAnsi="Arial"/>
                <w:sz w:val="12"/>
                <w:szCs w:val="12"/>
                <w:color w:val="auto"/>
              </w:rPr>
              <w:t>50,308</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DBE2E9"/>
          </w:tcPr>
          <w:p>
            <w:pPr>
              <w:spacing w:after="0"/>
              <w:rPr>
                <w:sz w:val="20"/>
                <w:szCs w:val="20"/>
                <w:color w:val="auto"/>
              </w:rPr>
            </w:pPr>
            <w:r>
              <w:rPr>
                <w:rFonts w:ascii="Arial" w:cs="Arial" w:eastAsia="Arial" w:hAnsi="Arial"/>
                <w:sz w:val="12"/>
                <w:szCs w:val="12"/>
                <w:color w:val="auto"/>
              </w:rPr>
              <w:t>Net charge-off ratio</w:t>
            </w:r>
            <w:r>
              <w:rPr>
                <w:rFonts w:ascii="Arial" w:cs="Arial" w:eastAsia="Arial" w:hAnsi="Arial"/>
                <w:sz w:val="15"/>
                <w:szCs w:val="15"/>
                <w:color w:val="auto"/>
                <w:vertAlign w:val="superscript"/>
              </w:rPr>
              <w:t>(ii)</w:t>
            </w:r>
          </w:p>
        </w:tc>
        <w:tc>
          <w:tcPr>
            <w:tcW w:w="200" w:type="dxa"/>
            <w:vAlign w:val="bottom"/>
            <w:shd w:val="clear" w:color="auto" w:fill="DBE2E9"/>
          </w:tcPr>
          <w:p>
            <w:pPr>
              <w:spacing w:after="0"/>
              <w:rPr>
                <w:sz w:val="16"/>
                <w:szCs w:val="16"/>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0.35 %</w:t>
            </w:r>
          </w:p>
        </w:tc>
        <w:tc>
          <w:tcPr>
            <w:tcW w:w="80" w:type="dxa"/>
            <w:vAlign w:val="bottom"/>
            <w:shd w:val="clear" w:color="auto" w:fill="DBE2E9"/>
          </w:tcPr>
          <w:p>
            <w:pPr>
              <w:spacing w:after="0"/>
              <w:rPr>
                <w:sz w:val="16"/>
                <w:szCs w:val="16"/>
                <w:color w:val="auto"/>
              </w:rPr>
            </w:pPr>
          </w:p>
        </w:tc>
        <w:tc>
          <w:tcPr>
            <w:tcW w:w="120" w:type="dxa"/>
            <w:vAlign w:val="bottom"/>
            <w:shd w:val="clear" w:color="auto" w:fill="DBE2E9"/>
          </w:tcPr>
          <w:p>
            <w:pPr>
              <w:spacing w:after="0"/>
              <w:rPr>
                <w:sz w:val="16"/>
                <w:szCs w:val="16"/>
                <w:color w:val="auto"/>
              </w:rPr>
            </w:pPr>
          </w:p>
        </w:tc>
        <w:tc>
          <w:tcPr>
            <w:tcW w:w="11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0.19 %</w:t>
            </w:r>
          </w:p>
        </w:tc>
        <w:tc>
          <w:tcPr>
            <w:tcW w:w="60" w:type="dxa"/>
            <w:vAlign w:val="bottom"/>
            <w:shd w:val="clear" w:color="auto" w:fill="DBE2E9"/>
          </w:tcPr>
          <w:p>
            <w:pPr>
              <w:spacing w:after="0"/>
              <w:rPr>
                <w:sz w:val="16"/>
                <w:szCs w:val="16"/>
                <w:color w:val="auto"/>
              </w:rPr>
            </w:pPr>
          </w:p>
        </w:tc>
        <w:tc>
          <w:tcPr>
            <w:tcW w:w="200" w:type="dxa"/>
            <w:vAlign w:val="bottom"/>
            <w:shd w:val="clear" w:color="auto" w:fill="DBE2E9"/>
          </w:tcPr>
          <w:p>
            <w:pPr>
              <w:spacing w:after="0"/>
              <w:rPr>
                <w:sz w:val="16"/>
                <w:szCs w:val="16"/>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0.17 %</w:t>
            </w:r>
          </w:p>
        </w:tc>
        <w:tc>
          <w:tcPr>
            <w:tcW w:w="80" w:type="dxa"/>
            <w:vAlign w:val="bottom"/>
            <w:shd w:val="clear" w:color="auto" w:fill="DBE2E9"/>
          </w:tcPr>
          <w:p>
            <w:pPr>
              <w:spacing w:after="0"/>
              <w:rPr>
                <w:sz w:val="16"/>
                <w:szCs w:val="16"/>
                <w:color w:val="auto"/>
              </w:rPr>
            </w:pPr>
          </w:p>
        </w:tc>
        <w:tc>
          <w:tcPr>
            <w:tcW w:w="200" w:type="dxa"/>
            <w:vAlign w:val="bottom"/>
            <w:shd w:val="clear" w:color="auto" w:fill="DBE2E9"/>
          </w:tcPr>
          <w:p>
            <w:pPr>
              <w:spacing w:after="0"/>
              <w:rPr>
                <w:sz w:val="16"/>
                <w:szCs w:val="16"/>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0.25 %</w:t>
            </w:r>
          </w:p>
        </w:tc>
        <w:tc>
          <w:tcPr>
            <w:tcW w:w="80" w:type="dxa"/>
            <w:vAlign w:val="bottom"/>
            <w:shd w:val="clear" w:color="auto" w:fill="DBE2E9"/>
          </w:tcPr>
          <w:p>
            <w:pPr>
              <w:spacing w:after="0"/>
              <w:rPr>
                <w:sz w:val="16"/>
                <w:szCs w:val="16"/>
                <w:color w:val="auto"/>
              </w:rPr>
            </w:pPr>
          </w:p>
        </w:tc>
        <w:tc>
          <w:tcPr>
            <w:tcW w:w="200" w:type="dxa"/>
            <w:vAlign w:val="bottom"/>
            <w:shd w:val="clear" w:color="auto" w:fill="DBE2E9"/>
          </w:tcPr>
          <w:p>
            <w:pPr>
              <w:spacing w:after="0"/>
              <w:rPr>
                <w:sz w:val="16"/>
                <w:szCs w:val="16"/>
                <w:color w:val="auto"/>
              </w:rPr>
            </w:pPr>
          </w:p>
        </w:tc>
        <w:tc>
          <w:tcPr>
            <w:tcW w:w="1120" w:type="dxa"/>
            <w:vAlign w:val="bottom"/>
            <w:shd w:val="clear" w:color="auto" w:fill="DBE2E9"/>
          </w:tcPr>
          <w:p>
            <w:pPr>
              <w:jc w:val="right"/>
              <w:spacing w:after="0"/>
              <w:rPr>
                <w:sz w:val="20"/>
                <w:szCs w:val="20"/>
                <w:color w:val="auto"/>
              </w:rPr>
            </w:pPr>
            <w:r>
              <w:rPr>
                <w:rFonts w:ascii="Arial" w:cs="Arial" w:eastAsia="Arial" w:hAnsi="Arial"/>
                <w:sz w:val="12"/>
                <w:szCs w:val="12"/>
                <w:color w:val="auto"/>
              </w:rPr>
              <w:t>0.54 %</w:t>
            </w:r>
          </w:p>
        </w:tc>
        <w:tc>
          <w:tcPr>
            <w:tcW w:w="0" w:type="dxa"/>
            <w:vAlign w:val="bottom"/>
          </w:tcPr>
          <w:p>
            <w:pPr>
              <w:spacing w:after="0"/>
              <w:rPr>
                <w:sz w:val="1"/>
                <w:szCs w:val="1"/>
                <w:color w:val="auto"/>
              </w:rPr>
            </w:pPr>
          </w:p>
        </w:tc>
      </w:tr>
      <w:tr>
        <w:trPr>
          <w:trHeight w:val="174"/>
        </w:trPr>
        <w:tc>
          <w:tcPr>
            <w:tcW w:w="4420" w:type="dxa"/>
            <w:vAlign w:val="bottom"/>
          </w:tcPr>
          <w:p>
            <w:pPr>
              <w:spacing w:after="0"/>
              <w:rPr>
                <w:sz w:val="20"/>
                <w:szCs w:val="20"/>
                <w:color w:val="auto"/>
              </w:rPr>
            </w:pPr>
            <w:r>
              <w:rPr>
                <w:rFonts w:ascii="Arial" w:cs="Arial" w:eastAsia="Arial" w:hAnsi="Arial"/>
                <w:sz w:val="10"/>
                <w:szCs w:val="10"/>
                <w:color w:val="auto"/>
              </w:rPr>
              <w:t>___________________________________________</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right="20" w:hanging="220"/>
        <w:spacing w:after="0" w:line="244" w:lineRule="auto"/>
        <w:tabs>
          <w:tab w:leader="none" w:pos="315"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 nine months ended September 30, 2025, included $42.4 million to establish an initial allowance for loan losses for loans purchased without credit deterioration (“non-PCD” loans) and $7.2 million to establish an initial allowance for unfunded commitments following the close of the CrossFirst acquisition in the first quarter of 2025 and adoption of a new CECL model in the second quarter of 2025.</w:t>
      </w:r>
    </w:p>
    <w:p>
      <w:pPr>
        <w:ind w:left="320" w:hanging="220"/>
        <w:spacing w:after="0"/>
        <w:tabs>
          <w:tab w:leader="none" w:pos="320" w:val="left"/>
        </w:tabs>
        <w:numPr>
          <w:ilvl w:val="0"/>
          <w:numId w:val="6"/>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Net charge-offs increased by $5.0 million when compared to the second quarter of 2026, and increased by $5.5 million when compared with the third quarter of 2025. The third quarter increase in net charge-offs was primarily the result of the commercial relationship for which Busey recorded a $10.0 million partial charge-off, as discussed above.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Deposits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Busey’s deposits were comprised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4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8"/>
                <w:szCs w:val="8"/>
                <w:color w:val="auto"/>
              </w:rPr>
            </w:pPr>
          </w:p>
        </w:tc>
        <w:tc>
          <w:tcPr>
            <w:tcW w:w="10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060" w:type="dxa"/>
            <w:vAlign w:val="bottom"/>
          </w:tcPr>
          <w:p>
            <w:pPr>
              <w:jc w:val="right"/>
              <w:ind w:right="243"/>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7400" w:type="dxa"/>
            <w:vAlign w:val="bottom"/>
            <w:tcBorders>
              <w:bottom w:val="single" w:sz="8" w:color="E0E7ED"/>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69"/>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DEPOSITS</w:t>
            </w:r>
          </w:p>
        </w:tc>
        <w:tc>
          <w:tcPr>
            <w:tcW w:w="18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0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Noninterest-bearing deposits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3,439,061</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5"/>
              <w:spacing w:after="0"/>
              <w:rPr>
                <w:sz w:val="20"/>
                <w:szCs w:val="20"/>
                <w:color w:val="auto"/>
              </w:rPr>
            </w:pPr>
            <w:r>
              <w:rPr>
                <w:rFonts w:ascii="Arial" w:cs="Arial" w:eastAsia="Arial" w:hAnsi="Arial"/>
                <w:sz w:val="12"/>
                <w:szCs w:val="12"/>
                <w:color w:val="auto"/>
              </w:rPr>
              <w:t>3,496,319</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3,554,936</w:t>
            </w:r>
          </w:p>
        </w:tc>
        <w:tc>
          <w:tcPr>
            <w:tcW w:w="0" w:type="dxa"/>
            <w:vAlign w:val="bottom"/>
          </w:tcPr>
          <w:p>
            <w:pPr>
              <w:spacing w:after="0"/>
              <w:rPr>
                <w:sz w:val="1"/>
                <w:szCs w:val="1"/>
                <w:color w:val="auto"/>
              </w:rPr>
            </w:pPr>
          </w:p>
        </w:tc>
      </w:tr>
      <w:tr>
        <w:trPr>
          <w:trHeight w:val="197"/>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Interest-bearing transaction deposits</w:t>
            </w: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3,546,503</w:t>
            </w: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00" w:type="dxa"/>
            <w:vAlign w:val="bottom"/>
            <w:shd w:val="clear" w:color="auto" w:fill="E0E7ED"/>
          </w:tcPr>
          <w:p>
            <w:pPr>
              <w:jc w:val="right"/>
              <w:ind w:right="5"/>
              <w:spacing w:after="0"/>
              <w:rPr>
                <w:sz w:val="20"/>
                <w:szCs w:val="20"/>
                <w:color w:val="auto"/>
              </w:rPr>
            </w:pPr>
            <w:r>
              <w:rPr>
                <w:rFonts w:ascii="Arial" w:cs="Arial" w:eastAsia="Arial" w:hAnsi="Arial"/>
                <w:sz w:val="12"/>
                <w:szCs w:val="12"/>
                <w:color w:val="auto"/>
              </w:rPr>
              <w:t>3,315,200</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3"/>
              <w:spacing w:after="0"/>
              <w:rPr>
                <w:sz w:val="20"/>
                <w:szCs w:val="20"/>
                <w:color w:val="auto"/>
              </w:rPr>
            </w:pPr>
            <w:r>
              <w:rPr>
                <w:rFonts w:ascii="Arial" w:cs="Arial" w:eastAsia="Arial" w:hAnsi="Arial"/>
                <w:sz w:val="12"/>
                <w:szCs w:val="12"/>
                <w:color w:val="auto"/>
              </w:rPr>
              <w:t>3,171,255</w:t>
            </w:r>
          </w:p>
        </w:tc>
        <w:tc>
          <w:tcPr>
            <w:tcW w:w="0" w:type="dxa"/>
            <w:vAlign w:val="bottom"/>
          </w:tcPr>
          <w:p>
            <w:pPr>
              <w:spacing w:after="0"/>
              <w:rPr>
                <w:sz w:val="1"/>
                <w:szCs w:val="1"/>
                <w:color w:val="auto"/>
              </w:rPr>
            </w:pPr>
          </w:p>
        </w:tc>
      </w:tr>
      <w:tr>
        <w:trPr>
          <w:trHeight w:val="181"/>
        </w:trPr>
        <w:tc>
          <w:tcPr>
            <w:tcW w:w="7400" w:type="dxa"/>
            <w:vAlign w:val="bottom"/>
          </w:tcPr>
          <w:p>
            <w:pPr>
              <w:ind w:left="120"/>
              <w:spacing w:after="0"/>
              <w:rPr>
                <w:sz w:val="20"/>
                <w:szCs w:val="20"/>
                <w:color w:val="auto"/>
              </w:rPr>
            </w:pPr>
            <w:r>
              <w:rPr>
                <w:rFonts w:ascii="Arial" w:cs="Arial" w:eastAsia="Arial" w:hAnsi="Arial"/>
                <w:sz w:val="12"/>
                <w:szCs w:val="12"/>
                <w:color w:val="auto"/>
              </w:rPr>
              <w:t>Savings deposits and money market deposits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6,147,198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Arial" w:cs="Arial" w:eastAsia="Arial" w:hAnsi="Arial"/>
                <w:sz w:val="12"/>
                <w:szCs w:val="12"/>
                <w:color w:val="auto"/>
              </w:rPr>
              <w:t>5,934,920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2"/>
                <w:szCs w:val="12"/>
                <w:color w:val="auto"/>
              </w:rPr>
              <w:t>5,910,183</w:t>
            </w:r>
          </w:p>
        </w:tc>
        <w:tc>
          <w:tcPr>
            <w:tcW w:w="0" w:type="dxa"/>
            <w:vAlign w:val="bottom"/>
          </w:tcPr>
          <w:p>
            <w:pPr>
              <w:spacing w:after="0"/>
              <w:rPr>
                <w:sz w:val="1"/>
                <w:szCs w:val="1"/>
                <w:color w:val="auto"/>
              </w:rPr>
            </w:pPr>
          </w:p>
        </w:tc>
      </w:tr>
      <w:tr>
        <w:trPr>
          <w:trHeight w:val="189"/>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Time deposits</w:t>
            </w:r>
          </w:p>
        </w:tc>
        <w:tc>
          <w:tcPr>
            <w:tcW w:w="18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2,404,804</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5"/>
              <w:spacing w:after="0"/>
              <w:rPr>
                <w:sz w:val="20"/>
                <w:szCs w:val="20"/>
                <w:color w:val="auto"/>
              </w:rPr>
            </w:pPr>
            <w:r>
              <w:rPr>
                <w:rFonts w:ascii="Arial" w:cs="Arial" w:eastAsia="Arial" w:hAnsi="Arial"/>
                <w:sz w:val="12"/>
                <w:szCs w:val="12"/>
                <w:color w:val="auto"/>
              </w:rPr>
              <w:t>2,382,306</w:t>
            </w:r>
          </w:p>
        </w:tc>
        <w:tc>
          <w:tcPr>
            <w:tcW w:w="6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3"/>
              <w:spacing w:after="0"/>
              <w:rPr>
                <w:sz w:val="20"/>
                <w:szCs w:val="20"/>
                <w:color w:val="auto"/>
              </w:rPr>
            </w:pPr>
            <w:r>
              <w:rPr>
                <w:rFonts w:ascii="Arial" w:cs="Arial" w:eastAsia="Arial" w:hAnsi="Arial"/>
                <w:sz w:val="12"/>
                <w:szCs w:val="12"/>
                <w:color w:val="auto"/>
              </w:rPr>
              <w:t>2,433,788</w:t>
            </w:r>
          </w:p>
        </w:tc>
        <w:tc>
          <w:tcPr>
            <w:tcW w:w="0" w:type="dxa"/>
            <w:vAlign w:val="bottom"/>
          </w:tcPr>
          <w:p>
            <w:pPr>
              <w:spacing w:after="0"/>
              <w:rPr>
                <w:sz w:val="1"/>
                <w:szCs w:val="1"/>
                <w:color w:val="auto"/>
              </w:rPr>
            </w:pPr>
          </w:p>
        </w:tc>
      </w:tr>
      <w:tr>
        <w:trPr>
          <w:trHeight w:val="186"/>
        </w:trPr>
        <w:tc>
          <w:tcPr>
            <w:tcW w:w="7400" w:type="dxa"/>
            <w:vAlign w:val="bottom"/>
          </w:tcPr>
          <w:p>
            <w:pPr>
              <w:spacing w:after="0"/>
              <w:rPr>
                <w:sz w:val="20"/>
                <w:szCs w:val="20"/>
                <w:color w:val="auto"/>
              </w:rPr>
            </w:pPr>
            <w:r>
              <w:rPr>
                <w:rFonts w:ascii="Arial" w:cs="Arial" w:eastAsia="Arial" w:hAnsi="Arial"/>
                <w:sz w:val="12"/>
                <w:szCs w:val="12"/>
                <w:color w:val="auto"/>
              </w:rPr>
              <w:t>Total deposits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15,537,566</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15,128,745</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15,070,162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Busey’s loan-to-deposit ratio improved to 82.5% as of September 30, 2026, compared to 87.2% as of June 30, 2026. Core deposits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accounted for 94.0% of total deposits as of September 30, 2026. The quality of Busey’s core deposit franchise is a critical value driver of the institution. In addition to the $3.44 billion of noninterest-bearing deposits, Busey also has $1.84 billion of interest-bearing non-maturity deposits that are priced at 1 basis point, providing stable, rate inelastic funding. Busey management believes we have ample on- and off-balance sheet liquidity to manage deposit fluctuations and the liquidity needs of our customers.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As of September 30, 2026, Busey’s available sources of on- and off-balance sheet liquidity</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totaled $9.36 billion. Furthermore, Busey’s balance sheet liquidity profile continues to be aided by the cash flows expected from Busey’s relatively short-duration securities portfolio. Those cash flows were approximately $138.0 million in the third quarter of 2026. Cash flows from our securities portfolio are expected to be approximately $89.6 million for the remainder of 2026, with a current book yield of 3.40%.</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10</w:t>
      </w:r>
    </w:p>
    <w:p>
      <w:pPr>
        <w:sectPr>
          <w:pgSz w:w="11900" w:h="16838" w:orient="portrait"/>
          <w:cols w:equalWidth="0" w:num="1">
            <w:col w:w="11300"/>
          </w:cols>
          <w:pgMar w:left="300" w:top="928"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Capital Strength</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The strength of our balance sheet is also reflected in our robust capital foundation. The following table presents Busey’s capital estimates</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and tangible equity position: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8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5"/>
              </w:rPr>
              <w:t>As of</w:t>
            </w: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40" w:type="dxa"/>
            <w:vAlign w:val="bottom"/>
          </w:tcPr>
          <w:p>
            <w:pPr>
              <w:spacing w:after="0"/>
              <w:rPr>
                <w:sz w:val="8"/>
                <w:szCs w:val="8"/>
                <w:color w:val="auto"/>
              </w:rPr>
            </w:pPr>
          </w:p>
        </w:tc>
        <w:tc>
          <w:tcPr>
            <w:tcW w:w="1280" w:type="dxa"/>
            <w:vAlign w:val="bottom"/>
            <w:gridSpan w:val="2"/>
          </w:tcPr>
          <w:p>
            <w:pPr>
              <w:ind w:left="160"/>
              <w:spacing w:after="0" w:line="97" w:lineRule="exact"/>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8"/>
                <w:szCs w:val="8"/>
                <w:color w:val="auto"/>
              </w:rPr>
            </w:pPr>
          </w:p>
        </w:tc>
        <w:tc>
          <w:tcPr>
            <w:tcW w:w="1200" w:type="dxa"/>
            <w:vAlign w:val="bottom"/>
            <w:gridSpan w:val="2"/>
          </w:tcPr>
          <w:p>
            <w:pPr>
              <w:jc w:val="center"/>
              <w:ind w:right="380"/>
              <w:spacing w:after="0" w:line="97" w:lineRule="exact"/>
              <w:rPr>
                <w:sz w:val="20"/>
                <w:szCs w:val="20"/>
                <w:color w:val="auto"/>
              </w:rPr>
            </w:pPr>
            <w:r>
              <w:rPr>
                <w:rFonts w:ascii="Arial" w:cs="Arial" w:eastAsia="Arial" w:hAnsi="Arial"/>
                <w:sz w:val="10"/>
                <w:szCs w:val="10"/>
                <w:b w:val="1"/>
                <w:bCs w:val="1"/>
                <w:color w:val="auto"/>
                <w:w w:val="94"/>
              </w:rPr>
              <w:t>June 30,</w:t>
            </w:r>
          </w:p>
        </w:tc>
        <w:tc>
          <w:tcPr>
            <w:tcW w:w="240" w:type="dxa"/>
            <w:vAlign w:val="bottom"/>
          </w:tcPr>
          <w:p>
            <w:pPr>
              <w:spacing w:after="0"/>
              <w:rPr>
                <w:sz w:val="8"/>
                <w:szCs w:val="8"/>
                <w:color w:val="auto"/>
              </w:rPr>
            </w:pPr>
          </w:p>
        </w:tc>
        <w:tc>
          <w:tcPr>
            <w:tcW w:w="1220" w:type="dxa"/>
            <w:vAlign w:val="bottom"/>
          </w:tcPr>
          <w:p>
            <w:pPr>
              <w:jc w:val="right"/>
              <w:ind w:right="343"/>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E0E7ED"/>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E0E7ED"/>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265"/>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Common equity Tier 1 capital to risk weighted assets</w:t>
            </w:r>
            <w:r>
              <w:rPr>
                <w:rFonts w:ascii="Arial" w:cs="Arial" w:eastAsia="Arial" w:hAnsi="Arial"/>
                <w:sz w:val="7"/>
                <w:szCs w:val="7"/>
                <w:color w:val="auto"/>
              </w:rPr>
              <w:t>(i)</w:t>
            </w:r>
          </w:p>
        </w:tc>
        <w:tc>
          <w:tcPr>
            <w:tcW w:w="24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12.47 %</w:t>
            </w:r>
          </w:p>
        </w:tc>
        <w:tc>
          <w:tcPr>
            <w:tcW w:w="6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12.53 %</w:t>
            </w:r>
          </w:p>
        </w:tc>
        <w:tc>
          <w:tcPr>
            <w:tcW w:w="6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12.33 %</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2"/>
                <w:szCs w:val="12"/>
                <w:color w:val="auto"/>
              </w:rPr>
              <w:t>Total capital to risk weighted assets</w:t>
            </w:r>
            <w:r>
              <w:rPr>
                <w:rFonts w:ascii="Arial" w:cs="Arial" w:eastAsia="Arial" w:hAnsi="Arial"/>
                <w:sz w:val="7"/>
                <w:szCs w:val="7"/>
                <w:color w:val="auto"/>
              </w:rPr>
              <w:t>(i)</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16.10 %</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16.10 %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15.89 %</w:t>
            </w:r>
          </w:p>
        </w:tc>
        <w:tc>
          <w:tcPr>
            <w:tcW w:w="0" w:type="dxa"/>
            <w:vAlign w:val="bottom"/>
          </w:tcPr>
          <w:p>
            <w:pPr>
              <w:spacing w:after="0"/>
              <w:rPr>
                <w:sz w:val="1"/>
                <w:szCs w:val="1"/>
                <w:color w:val="auto"/>
              </w:rPr>
            </w:pPr>
          </w:p>
        </w:tc>
      </w:tr>
      <w:tr>
        <w:trPr>
          <w:trHeight w:val="197"/>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Tangible common equity</w:t>
            </w:r>
            <w:r>
              <w:rPr>
                <w:rFonts w:ascii="Arial" w:cs="Arial" w:eastAsia="Arial" w:hAnsi="Arial"/>
                <w:sz w:val="7"/>
                <w:szCs w:val="7"/>
                <w:color w:val="auto"/>
              </w:rPr>
              <w:t>(ii)</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1,573,945</w:t>
            </w:r>
          </w:p>
        </w:tc>
        <w:tc>
          <w:tcPr>
            <w:tcW w:w="6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5"/>
              <w:spacing w:after="0"/>
              <w:rPr>
                <w:sz w:val="20"/>
                <w:szCs w:val="20"/>
                <w:color w:val="auto"/>
              </w:rPr>
            </w:pPr>
            <w:r>
              <w:rPr>
                <w:rFonts w:ascii="Arial" w:cs="Arial" w:eastAsia="Arial" w:hAnsi="Arial"/>
                <w:sz w:val="12"/>
                <w:szCs w:val="12"/>
                <w:color w:val="auto"/>
              </w:rPr>
              <w:t>1,696,685</w:t>
            </w:r>
          </w:p>
        </w:tc>
        <w:tc>
          <w:tcPr>
            <w:tcW w:w="60" w:type="dxa"/>
            <w:vAlign w:val="bottom"/>
            <w:shd w:val="clear" w:color="auto" w:fill="E0E7ED"/>
          </w:tcPr>
          <w:p>
            <w:pPr>
              <w:spacing w:after="0"/>
              <w:rPr>
                <w:sz w:val="17"/>
                <w:szCs w:val="17"/>
                <w:color w:val="auto"/>
              </w:rPr>
            </w:pP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1,748,435</w:t>
            </w:r>
          </w:p>
        </w:tc>
        <w:tc>
          <w:tcPr>
            <w:tcW w:w="0" w:type="dxa"/>
            <w:vAlign w:val="bottom"/>
          </w:tcPr>
          <w:p>
            <w:pPr>
              <w:spacing w:after="0"/>
              <w:rPr>
                <w:sz w:val="1"/>
                <w:szCs w:val="1"/>
                <w:color w:val="auto"/>
              </w:rPr>
            </w:pPr>
          </w:p>
        </w:tc>
      </w:tr>
      <w:tr>
        <w:trPr>
          <w:trHeight w:val="181"/>
        </w:trPr>
        <w:tc>
          <w:tcPr>
            <w:tcW w:w="6800" w:type="dxa"/>
            <w:vAlign w:val="bottom"/>
          </w:tcPr>
          <w:p>
            <w:pPr>
              <w:spacing w:after="0"/>
              <w:rPr>
                <w:sz w:val="20"/>
                <w:szCs w:val="20"/>
                <w:color w:val="auto"/>
              </w:rPr>
            </w:pPr>
            <w:r>
              <w:rPr>
                <w:rFonts w:ascii="Arial" w:cs="Arial" w:eastAsia="Arial" w:hAnsi="Arial"/>
                <w:sz w:val="12"/>
                <w:szCs w:val="12"/>
                <w:color w:val="auto"/>
              </w:rPr>
              <w:t>Tangible common equity to tangible assets</w:t>
            </w:r>
            <w:r>
              <w:rPr>
                <w:rFonts w:ascii="Arial" w:cs="Arial" w:eastAsia="Arial" w:hAnsi="Arial"/>
                <w:sz w:val="7"/>
                <w:szCs w:val="7"/>
                <w:color w:val="auto"/>
              </w:rPr>
              <w:t>(ii)</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8.70 %</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9.57 %</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9.88 %</w:t>
            </w:r>
          </w:p>
        </w:tc>
        <w:tc>
          <w:tcPr>
            <w:tcW w:w="0" w:type="dxa"/>
            <w:vAlign w:val="bottom"/>
          </w:tcPr>
          <w:p>
            <w:pPr>
              <w:spacing w:after="0"/>
              <w:rPr>
                <w:sz w:val="1"/>
                <w:szCs w:val="1"/>
                <w:color w:val="auto"/>
              </w:rPr>
            </w:pPr>
          </w:p>
        </w:tc>
      </w:tr>
      <w:tr>
        <w:trPr>
          <w:trHeight w:val="197"/>
        </w:trPr>
        <w:tc>
          <w:tcPr>
            <w:tcW w:w="6800" w:type="dxa"/>
            <w:vAlign w:val="bottom"/>
            <w:shd w:val="clear" w:color="auto" w:fill="E0E7ED"/>
          </w:tcPr>
          <w:p>
            <w:pPr>
              <w:spacing w:after="0"/>
              <w:rPr>
                <w:sz w:val="20"/>
                <w:szCs w:val="20"/>
                <w:color w:val="auto"/>
              </w:rPr>
            </w:pPr>
            <w:r>
              <w:rPr>
                <w:rFonts w:ascii="Arial" w:cs="Arial" w:eastAsia="Arial" w:hAnsi="Arial"/>
                <w:sz w:val="12"/>
                <w:szCs w:val="12"/>
                <w:color w:val="auto"/>
              </w:rPr>
              <w:t>Tangible book value per common share</w:t>
            </w:r>
            <w:r>
              <w:rPr>
                <w:rFonts w:ascii="Arial" w:cs="Arial" w:eastAsia="Arial" w:hAnsi="Arial"/>
                <w:sz w:val="7"/>
                <w:szCs w:val="7"/>
                <w:color w:val="auto"/>
              </w:rPr>
              <w:t>(ii)</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19.37</w:t>
            </w:r>
          </w:p>
        </w:tc>
        <w:tc>
          <w:tcPr>
            <w:tcW w:w="60" w:type="dxa"/>
            <w:vAlign w:val="bottom"/>
            <w:shd w:val="clear" w:color="auto" w:fill="E0E7ED"/>
          </w:tcPr>
          <w:p>
            <w:pPr>
              <w:spacing w:after="0"/>
              <w:rPr>
                <w:sz w:val="17"/>
                <w:szCs w:val="17"/>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5"/>
              <w:spacing w:after="0"/>
              <w:rPr>
                <w:sz w:val="20"/>
                <w:szCs w:val="20"/>
                <w:color w:val="auto"/>
              </w:rPr>
            </w:pPr>
            <w:r>
              <w:rPr>
                <w:rFonts w:ascii="Arial" w:cs="Arial" w:eastAsia="Arial" w:hAnsi="Arial"/>
                <w:sz w:val="12"/>
                <w:szCs w:val="12"/>
                <w:color w:val="auto"/>
              </w:rPr>
              <w:t>20.40</w:t>
            </w:r>
          </w:p>
        </w:tc>
        <w:tc>
          <w:tcPr>
            <w:tcW w:w="60" w:type="dxa"/>
            <w:vAlign w:val="bottom"/>
            <w:shd w:val="clear" w:color="auto" w:fill="E0E7ED"/>
          </w:tcPr>
          <w:p>
            <w:pPr>
              <w:spacing w:after="0"/>
              <w:rPr>
                <w:sz w:val="17"/>
                <w:szCs w:val="17"/>
                <w:color w:val="auto"/>
              </w:rPr>
            </w:pP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19.69</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20" w:lineRule="exact"/>
        <w:rPr>
          <w:sz w:val="20"/>
          <w:szCs w:val="20"/>
          <w:color w:val="auto"/>
        </w:rPr>
      </w:pPr>
    </w:p>
    <w:p>
      <w:pPr>
        <w:ind w:left="320" w:hanging="220"/>
        <w:spacing w:after="0"/>
        <w:tabs>
          <w:tab w:leader="none" w:pos="320" w:val="left"/>
        </w:tabs>
        <w:numPr>
          <w:ilvl w:val="0"/>
          <w:numId w:val="7"/>
        </w:numPr>
        <w:rPr>
          <w:rFonts w:ascii="Arial" w:cs="Arial" w:eastAsia="Arial" w:hAnsi="Arial"/>
          <w:sz w:val="10"/>
          <w:szCs w:val="10"/>
          <w:color w:val="auto"/>
        </w:rPr>
      </w:pPr>
      <w:r>
        <w:rPr>
          <w:rFonts w:ascii="Arial" w:cs="Arial" w:eastAsia="Arial" w:hAnsi="Arial"/>
          <w:sz w:val="10"/>
          <w:szCs w:val="10"/>
          <w:color w:val="auto"/>
        </w:rPr>
        <w:t>Capital amounts and ratios as of September 30, 2026, are not yet finalized and are subject to change.</w:t>
      </w:r>
    </w:p>
    <w:p>
      <w:pPr>
        <w:spacing w:after="0" w:line="11" w:lineRule="exact"/>
        <w:rPr>
          <w:rFonts w:ascii="Arial" w:cs="Arial" w:eastAsia="Arial" w:hAnsi="Arial"/>
          <w:sz w:val="10"/>
          <w:szCs w:val="10"/>
          <w:color w:val="auto"/>
        </w:rPr>
      </w:pPr>
    </w:p>
    <w:p>
      <w:pPr>
        <w:ind w:left="320" w:hanging="220"/>
        <w:spacing w:after="0"/>
        <w:tabs>
          <w:tab w:leader="none" w:pos="320" w:val="left"/>
        </w:tabs>
        <w:numPr>
          <w:ilvl w:val="0"/>
          <w:numId w:val="7"/>
        </w:numPr>
        <w:rPr>
          <w:rFonts w:ascii="Arial" w:cs="Arial" w:eastAsia="Arial" w:hAnsi="Arial"/>
          <w:sz w:val="10"/>
          <w:szCs w:val="10"/>
          <w:color w:val="auto"/>
        </w:rPr>
      </w:pPr>
      <w:r>
        <w:rPr>
          <w:rFonts w:ascii="Arial" w:cs="Arial" w:eastAsia="Arial" w:hAnsi="Arial"/>
          <w:sz w:val="10"/>
          <w:szCs w:val="10"/>
          <w:color w:val="auto"/>
        </w:rPr>
        <w:t>For a reconciliation of non-GAAP measures to the most directly comparable GAAP financial measures, see “</w:t>
      </w:r>
      <w:r>
        <w:rPr>
          <w:rFonts w:ascii="Arial" w:cs="Arial" w:eastAsia="Arial" w:hAnsi="Arial"/>
          <w:sz w:val="10"/>
          <w:szCs w:val="10"/>
          <w:u w:val="single" w:color="auto"/>
          <w:color w:val="0000FF"/>
        </w:rPr>
        <w:t>Non-GAAP Financial Information</w:t>
      </w:r>
      <w:r>
        <w:rPr>
          <w:rFonts w:ascii="Arial" w:cs="Arial" w:eastAsia="Arial" w:hAnsi="Arial"/>
          <w:sz w:val="10"/>
          <w:szCs w:val="10"/>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Dividends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Busey's strong capital levels, coupled with its earnings, have allowed it to provide a steady return to its stockholders through dividends. During the third quarter of 2026, Busey paid dividends of $ 0.26 per share on its outstanding shares of common stock. Busey also paid dividends of $20.00 per share on its outstanding shares of Series A Non-Cumulative Perpetual Preferred Stock and $0.515625 per share on its outstanding depositary shares, each representing a 1/40th interest in a share of Busey’s 8.25% Fixed-Rate Series B Non-Cumulative Perpetual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Share Repurchases</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During the third quarter of 2026, under its stock repurchase plan, Busey purchased 1,972,900 shares of its common stock at a weighted average price of $30.21 per share for a total of $59.6 million (excluding excise taxes). As of September 30, 2026, Busey had 1,925,875 shares remaining available for repurchase under the plan.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EARNINGS INVESTOR PRESENTATION</w:t>
      </w:r>
    </w:p>
    <w:p>
      <w:pPr>
        <w:spacing w:after="0" w:line="96" w:lineRule="exact"/>
        <w:rPr>
          <w:sz w:val="20"/>
          <w:szCs w:val="20"/>
          <w:color w:val="auto"/>
        </w:rPr>
      </w:pPr>
    </w:p>
    <w:p>
      <w:pPr>
        <w:jc w:val="both"/>
        <w:ind w:right="20"/>
        <w:spacing w:after="0" w:line="165" w:lineRule="exact"/>
        <w:rPr>
          <w:sz w:val="20"/>
          <w:szCs w:val="20"/>
          <w:color w:val="auto"/>
        </w:rPr>
      </w:pPr>
      <w:r>
        <w:rPr>
          <w:rFonts w:ascii="Arial" w:cs="Arial" w:eastAsia="Arial" w:hAnsi="Arial"/>
          <w:sz w:val="12"/>
          <w:szCs w:val="12"/>
          <w:color w:val="auto"/>
        </w:rPr>
        <w:t xml:space="preserve">For additional information on Busey’s financial condition and operating results, please refer to our </w:t>
      </w:r>
      <w:r>
        <w:rPr>
          <w:rFonts w:ascii="Arial" w:cs="Arial" w:eastAsia="Arial" w:hAnsi="Arial"/>
          <w:sz w:val="12"/>
          <w:szCs w:val="12"/>
          <w:b w:val="1"/>
          <w:bCs w:val="1"/>
          <w:i w:val="1"/>
          <w:iCs w:val="1"/>
          <w:color w:val="auto"/>
        </w:rPr>
        <w:t>Q3 2026 Earnings Investor Presentation</w:t>
      </w:r>
      <w:r>
        <w:rPr>
          <w:rFonts w:ascii="Arial" w:cs="Arial" w:eastAsia="Arial" w:hAnsi="Arial"/>
          <w:sz w:val="12"/>
          <w:szCs w:val="12"/>
          <w:color w:val="auto"/>
        </w:rPr>
        <w:t xml:space="preserve"> furnished via Form 8</w:t>
      </w:r>
      <w:r>
        <w:rPr>
          <w:rFonts w:ascii="MS PGothic" w:cs="MS PGothic" w:eastAsia="MS PGothic" w:hAnsi="MS PGothic"/>
          <w:sz w:val="12"/>
          <w:szCs w:val="12"/>
          <w:color w:val="auto"/>
        </w:rPr>
        <w:t>‑</w:t>
      </w:r>
      <w:r>
        <w:rPr>
          <w:rFonts w:ascii="Arial" w:cs="Arial" w:eastAsia="Arial" w:hAnsi="Arial"/>
          <w:sz w:val="12"/>
          <w:szCs w:val="12"/>
          <w:color w:val="auto"/>
        </w:rPr>
        <w:t>K on October 27, 2026, in connection with this earnings release.</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PROFILE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2026, First Busey Corporation (Nasdaq: BUSE) was an $18.56 billion financial holding company headquartered in Leawood, Kansas.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Busey Bank, a wholly-owned bank subsidiary of First Busey Corporation headquartered in Champaign, Illinois, had total assets of $18.51 billion as of September 30, 2026. Busey Bank currently has 80 banking centers, with 21 in central Illinois markets, 17 in suburban Chicago markets, 20 in the St. Louis Metropolitan Statistical Area, four in the Dallas-Fort Worth Metropolitan Statistical Area, three in the Kansas City Metropolitan Statistical Area, three in southwest Florida, three in Oklahoma, three in Colorado, three in Arizona, one in Indianapolis, Indiana, one in Wichita, Kansas, and one in Clayton, New Mexico. More information about Busey Bank can be found at busey.com.</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Through its Wealth Management division, Busey provides a full range of asset management, investment, brokerage, fiduciary, philanthropic advisory, tax preparation, and farm management services to individuals, businesses, and foundations. Assets under care totaled $16.72 billion as of September 30, 2026. More information about Busey’s Wealth Management services can be found at busey.com/wealthmanagement.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Busey Bank’s payment technology solutions specialize in the evolving financial technology needs of small and medium-sized businesses, highly regulated enterprise industries, and financial institutions. Busey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Busey simplifies client workflows through integrations enabling support with billing, reconciliation, bill reminders, and treasury services.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11</w:t>
      </w:r>
    </w:p>
    <w:p>
      <w:pPr>
        <w:sectPr>
          <w:pgSz w:w="11900" w:h="16838" w:orient="portrait"/>
          <w:cols w:equalWidth="0" w:num="1">
            <w:col w:w="11300"/>
          </w:cols>
          <w:pgMar w:left="300" w:top="930" w:right="29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Busey is honored to be consistently recognized as an outstanding financial services organization with the proven ability to preserve profitability, along with an engaged culture of integrity and commitment to community development. In 2026, Busey was recognized among the World’s Top Performing Banks by </w:t>
      </w:r>
      <w:r>
        <w:rPr>
          <w:rFonts w:ascii="Arial" w:cs="Arial" w:eastAsia="Arial" w:hAnsi="Arial"/>
          <w:sz w:val="12"/>
          <w:szCs w:val="12"/>
          <w:i w:val="1"/>
          <w:iCs w:val="1"/>
          <w:color w:val="auto"/>
        </w:rPr>
        <w:t>Forbes</w:t>
      </w:r>
      <w:r>
        <w:rPr>
          <w:rFonts w:ascii="Arial" w:cs="Arial" w:eastAsia="Arial" w:hAnsi="Arial"/>
          <w:sz w:val="12"/>
          <w:szCs w:val="12"/>
          <w:color w:val="auto"/>
        </w:rPr>
        <w:t xml:space="preserve"> and </w:t>
      </w:r>
      <w:r>
        <w:rPr>
          <w:rFonts w:ascii="Arial" w:cs="Arial" w:eastAsia="Arial" w:hAnsi="Arial"/>
          <w:sz w:val="12"/>
          <w:szCs w:val="12"/>
          <w:i w:val="1"/>
          <w:iCs w:val="1"/>
          <w:color w:val="auto"/>
        </w:rPr>
        <w:t>American Banker</w:t>
      </w:r>
      <w:r>
        <w:rPr>
          <w:rFonts w:ascii="Arial" w:cs="Arial" w:eastAsia="Arial" w:hAnsi="Arial"/>
          <w:sz w:val="12"/>
          <w:szCs w:val="12"/>
          <w:color w:val="auto"/>
        </w:rPr>
        <w:t xml:space="preserve">’s Top-Performing Banks with $10 to $50 billion in assets. Additionally, </w:t>
      </w:r>
      <w:r>
        <w:rPr>
          <w:rFonts w:ascii="Arial" w:cs="Arial" w:eastAsia="Arial" w:hAnsi="Arial"/>
          <w:sz w:val="12"/>
          <w:szCs w:val="12"/>
          <w:i w:val="1"/>
          <w:iCs w:val="1"/>
          <w:color w:val="auto"/>
        </w:rPr>
        <w:t>American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Banker </w:t>
      </w:r>
      <w:r>
        <w:rPr>
          <w:rFonts w:ascii="Arial" w:cs="Arial" w:eastAsia="Arial" w:hAnsi="Arial"/>
          <w:sz w:val="12"/>
          <w:szCs w:val="12"/>
          <w:color w:val="auto"/>
        </w:rPr>
        <w:t>has named Busey a Best Bank to Work For since 2016 while</w:t>
      </w:r>
      <w:r>
        <w:rPr>
          <w:rFonts w:ascii="Arial" w:cs="Arial" w:eastAsia="Arial" w:hAnsi="Arial"/>
          <w:sz w:val="12"/>
          <w:szCs w:val="12"/>
          <w:i w:val="1"/>
          <w:iCs w:val="1"/>
          <w:color w:val="auto"/>
        </w:rPr>
        <w:t xml:space="preserve"> Pensions and Investments </w:t>
      </w:r>
      <w:r>
        <w:rPr>
          <w:rFonts w:ascii="Arial" w:cs="Arial" w:eastAsia="Arial" w:hAnsi="Arial"/>
          <w:sz w:val="12"/>
          <w:szCs w:val="12"/>
          <w:color w:val="auto"/>
        </w:rPr>
        <w:t>has recognized Busey as a Best Place to Work in Money Management since 2018. At the local level, Busey is</w:t>
      </w:r>
      <w:r>
        <w:rPr>
          <w:rFonts w:ascii="Arial" w:cs="Arial" w:eastAsia="Arial" w:hAnsi="Arial"/>
          <w:sz w:val="12"/>
          <w:szCs w:val="12"/>
          <w:i w:val="1"/>
          <w:iCs w:val="1"/>
          <w:color w:val="auto"/>
        </w:rPr>
        <w:t xml:space="preserve"> </w:t>
      </w:r>
      <w:r>
        <w:rPr>
          <w:rFonts w:ascii="Arial" w:cs="Arial" w:eastAsia="Arial" w:hAnsi="Arial"/>
          <w:sz w:val="12"/>
          <w:szCs w:val="12"/>
          <w:color w:val="auto"/>
        </w:rPr>
        <w:t>continually honored among the Best Places to Work in Illinois (since 2016), Best Companies to Work For in Florida (since 2017) and Best Places to Work in Indiana (since 2024).</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INFORMATION</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This earnings release contains certain financial information determined by methods other than GAAP. Management uses these non-GAAP measures, together with the related GAAP measures, in analysis of Busey’s performance and in making business decisions, as well as for comparison to Busey’s peers. Busey believes the adjusted measures are useful for investors and management to understand the effects of certain non-core and non-recurring items and provide additional perspective on Busey’s performance over time.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reconciliations between these non-GAAP measures and what management believes to be the most directly comparable GAAP financial measures.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Tax-effected numbers included in these non-GAAP disclosures are based on estimated statutory rates, estimated federal income tax rates, or effective tax rates, as noted in the tables below.</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12</w:t>
      </w:r>
    </w:p>
    <w:p>
      <w:pPr>
        <w:sectPr>
          <w:pgSz w:w="11900" w:h="16838" w:orient="portrait"/>
          <w:cols w:equalWidth="0" w:num="1">
            <w:col w:w="11300"/>
          </w:cols>
          <w:pgMar w:left="300" w:top="928"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Calculation of Adjusted Net Income and Adjusted Diluted Earnings Per Common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38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8"/>
                <w:szCs w:val="8"/>
                <w:color w:val="auto"/>
              </w:rPr>
            </w:pPr>
          </w:p>
        </w:tc>
        <w:tc>
          <w:tcPr>
            <w:tcW w:w="120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9"/>
              </w:rPr>
              <w:t>June 30,</w:t>
            </w:r>
          </w:p>
        </w:tc>
        <w:tc>
          <w:tcPr>
            <w:tcW w:w="180" w:type="dxa"/>
            <w:vAlign w:val="bottom"/>
          </w:tcPr>
          <w:p>
            <w:pPr>
              <w:spacing w:after="0"/>
              <w:rPr>
                <w:sz w:val="8"/>
                <w:szCs w:val="8"/>
                <w:color w:val="auto"/>
              </w:rPr>
            </w:pPr>
          </w:p>
        </w:tc>
        <w:tc>
          <w:tcPr>
            <w:tcW w:w="114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20" w:type="dxa"/>
            <w:vAlign w:val="bottom"/>
            <w:gridSpan w:val="2"/>
          </w:tcPr>
          <w:p>
            <w:pPr>
              <w:ind w:left="10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060" w:type="dxa"/>
            <w:vAlign w:val="bottom"/>
          </w:tcPr>
          <w:p>
            <w:pPr>
              <w:jc w:val="right"/>
              <w:ind w:right="24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3880" w:type="dxa"/>
            <w:vAlign w:val="bottom"/>
            <w:tcBorders>
              <w:bottom w:val="single" w:sz="8" w:color="E0E7ED"/>
            </w:tcBorders>
            <w:vMerge w:val="continue"/>
          </w:tcPr>
          <w:p>
            <w:pPr>
              <w:spacing w:after="0"/>
              <w:rPr>
                <w:sz w:val="10"/>
                <w:szCs w:val="10"/>
                <w:color w:val="auto"/>
              </w:rPr>
            </w:pPr>
          </w:p>
        </w:tc>
        <w:tc>
          <w:tcPr>
            <w:tcW w:w="8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Borders>
              <w:bottom w:val="single" w:sz="8" w:color="E0E7ED"/>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38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income (GAAP)</w:t>
            </w:r>
          </w:p>
        </w:tc>
        <w:tc>
          <w:tcPr>
            <w:tcW w:w="880" w:type="dxa"/>
            <w:vAlign w:val="bottom"/>
            <w:shd w:val="clear" w:color="auto" w:fill="E0E7ED"/>
          </w:tcPr>
          <w:p>
            <w:pPr>
              <w:ind w:left="80"/>
              <w:spacing w:after="0"/>
              <w:rPr>
                <w:sz w:val="20"/>
                <w:szCs w:val="20"/>
                <w:color w:val="auto"/>
              </w:rPr>
            </w:pPr>
            <w:r>
              <w:rPr>
                <w:rFonts w:ascii="Arial" w:cs="Arial" w:eastAsia="Arial" w:hAnsi="Arial"/>
                <w:sz w:val="12"/>
                <w:szCs w:val="12"/>
                <w:color w:val="auto"/>
              </w:rPr>
              <w:t>[a]</w:t>
            </w: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55,845</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63,176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57,098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169,002</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74,512</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2"/>
                <w:szCs w:val="12"/>
                <w:color w:val="auto"/>
              </w:rPr>
              <w:t>Day 2 provision for credit losses</w:t>
            </w:r>
            <w:r>
              <w:rPr>
                <w:rFonts w:ascii="Arial" w:cs="Arial" w:eastAsia="Arial" w:hAnsi="Arial"/>
                <w:sz w:val="15"/>
                <w:szCs w:val="15"/>
                <w:color w:val="auto"/>
                <w:vertAlign w:val="superscript"/>
              </w:rPr>
              <w:t>(i)</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45,572</w:t>
            </w:r>
          </w:p>
        </w:tc>
        <w:tc>
          <w:tcPr>
            <w:tcW w:w="0" w:type="dxa"/>
            <w:vAlign w:val="bottom"/>
          </w:tcPr>
          <w:p>
            <w:pPr>
              <w:spacing w:after="0"/>
              <w:rPr>
                <w:sz w:val="1"/>
                <w:szCs w:val="1"/>
                <w:color w:val="auto"/>
              </w:rPr>
            </w:pPr>
          </w:p>
        </w:tc>
      </w:tr>
      <w:tr>
        <w:trPr>
          <w:trHeight w:val="157"/>
        </w:trPr>
        <w:tc>
          <w:tcPr>
            <w:tcW w:w="38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Adjustment of initial provision for unfunded commitments due to</w:t>
            </w:r>
          </w:p>
        </w:tc>
        <w:tc>
          <w:tcPr>
            <w:tcW w:w="8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adoption of new model</w:t>
            </w:r>
            <w:r>
              <w:rPr>
                <w:rFonts w:ascii="Arial" w:cs="Arial" w:eastAsia="Arial" w:hAnsi="Arial"/>
                <w:sz w:val="15"/>
                <w:szCs w:val="15"/>
                <w:color w:val="auto"/>
                <w:vertAlign w:val="superscript"/>
              </w:rPr>
              <w:t>(ii)</w:t>
            </w:r>
          </w:p>
        </w:tc>
        <w:tc>
          <w:tcPr>
            <w:tcW w:w="8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7ED"/>
          </w:tcPr>
          <w:p>
            <w:pPr>
              <w:spacing w:after="0"/>
              <w:rPr>
                <w:sz w:val="15"/>
                <w:szCs w:val="15"/>
                <w:color w:val="auto"/>
              </w:rPr>
            </w:pPr>
          </w:p>
        </w:tc>
        <w:tc>
          <w:tcPr>
            <w:tcW w:w="120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E0E7ED"/>
          </w:tcPr>
          <w:p>
            <w:pPr>
              <w:spacing w:after="0"/>
              <w:rPr>
                <w:sz w:val="15"/>
                <w:szCs w:val="15"/>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5"/>
                <w:szCs w:val="15"/>
                <w:color w:val="auto"/>
              </w:rPr>
            </w:pPr>
          </w:p>
        </w:tc>
        <w:tc>
          <w:tcPr>
            <w:tcW w:w="112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4,030</w:t>
            </w:r>
          </w:p>
        </w:tc>
        <w:tc>
          <w:tcPr>
            <w:tcW w:w="0" w:type="dxa"/>
            <w:vAlign w:val="bottom"/>
          </w:tcPr>
          <w:p>
            <w:pPr>
              <w:spacing w:after="0"/>
              <w:rPr>
                <w:sz w:val="1"/>
                <w:szCs w:val="1"/>
                <w:color w:val="auto"/>
              </w:rPr>
            </w:pPr>
          </w:p>
        </w:tc>
      </w:tr>
      <w:tr>
        <w:trPr>
          <w:trHeight w:val="181"/>
        </w:trPr>
        <w:tc>
          <w:tcPr>
            <w:tcW w:w="3880" w:type="dxa"/>
            <w:vAlign w:val="bottom"/>
          </w:tcPr>
          <w:p>
            <w:pPr>
              <w:ind w:left="120"/>
              <w:spacing w:after="0"/>
              <w:rPr>
                <w:sz w:val="20"/>
                <w:szCs w:val="20"/>
                <w:color w:val="auto"/>
              </w:rPr>
            </w:pPr>
            <w:r>
              <w:rPr>
                <w:rFonts w:ascii="Arial" w:cs="Arial" w:eastAsia="Arial" w:hAnsi="Arial"/>
                <w:sz w:val="12"/>
                <w:szCs w:val="12"/>
                <w:color w:val="auto"/>
              </w:rPr>
              <w:t>Other acquisition (income) expenses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7,251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7,572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49,877</w:t>
            </w:r>
          </w:p>
        </w:tc>
        <w:tc>
          <w:tcPr>
            <w:tcW w:w="0" w:type="dxa"/>
            <w:vAlign w:val="bottom"/>
          </w:tcPr>
          <w:p>
            <w:pPr>
              <w:spacing w:after="0"/>
              <w:rPr>
                <w:sz w:val="1"/>
                <w:szCs w:val="1"/>
                <w:color w:val="auto"/>
              </w:rPr>
            </w:pPr>
          </w:p>
        </w:tc>
      </w:tr>
      <w:tr>
        <w:trPr>
          <w:trHeight w:val="197"/>
        </w:trPr>
        <w:tc>
          <w:tcPr>
            <w:tcW w:w="38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Restructuring expenses</w:t>
            </w:r>
          </w:p>
        </w:tc>
        <w:tc>
          <w:tcPr>
            <w:tcW w:w="8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1,930</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13,355</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3880" w:type="dxa"/>
            <w:vAlign w:val="bottom"/>
          </w:tcPr>
          <w:p>
            <w:pPr>
              <w:ind w:left="120"/>
              <w:spacing w:after="0"/>
              <w:rPr>
                <w:sz w:val="20"/>
                <w:szCs w:val="20"/>
                <w:color w:val="auto"/>
              </w:rPr>
            </w:pPr>
            <w:r>
              <w:rPr>
                <w:rFonts w:ascii="Arial" w:cs="Arial" w:eastAsia="Arial" w:hAnsi="Arial"/>
                <w:sz w:val="12"/>
                <w:szCs w:val="12"/>
                <w:color w:val="auto"/>
              </w:rPr>
              <w:t>Net securities (gains) losses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(2,445)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10,059</w:t>
            </w:r>
          </w:p>
        </w:tc>
        <w:tc>
          <w:tcPr>
            <w:tcW w:w="0" w:type="dxa"/>
            <w:vAlign w:val="bottom"/>
          </w:tcPr>
          <w:p>
            <w:pPr>
              <w:spacing w:after="0"/>
              <w:rPr>
                <w:sz w:val="1"/>
                <w:szCs w:val="1"/>
                <w:color w:val="auto"/>
              </w:rPr>
            </w:pPr>
          </w:p>
        </w:tc>
      </w:tr>
      <w:tr>
        <w:trPr>
          <w:trHeight w:val="197"/>
        </w:trPr>
        <w:tc>
          <w:tcPr>
            <w:tcW w:w="38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Related tax benefit</w:t>
            </w:r>
            <w:r>
              <w:rPr>
                <w:rFonts w:ascii="Arial" w:cs="Arial" w:eastAsia="Arial" w:hAnsi="Arial"/>
                <w:sz w:val="15"/>
                <w:szCs w:val="15"/>
                <w:color w:val="auto"/>
                <w:vertAlign w:val="superscript"/>
              </w:rPr>
              <w:t>(iii)</w:t>
            </w:r>
          </w:p>
        </w:tc>
        <w:tc>
          <w:tcPr>
            <w:tcW w:w="8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(451)</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(170)</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(2,141)</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(5,031)</w:t>
            </w: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(29,181)</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2"/>
                <w:szCs w:val="12"/>
                <w:color w:val="auto"/>
              </w:rPr>
              <w:t>Non-recurring deferred tax adjustment</w:t>
            </w:r>
            <w:r>
              <w:rPr>
                <w:rFonts w:ascii="Arial" w:cs="Arial" w:eastAsia="Arial" w:hAnsi="Arial"/>
                <w:sz w:val="15"/>
                <w:szCs w:val="15"/>
                <w:color w:val="auto"/>
                <w:vertAlign w:val="superscript"/>
              </w:rPr>
              <w:t>(iv)</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4,919</w:t>
            </w:r>
          </w:p>
        </w:tc>
        <w:tc>
          <w:tcPr>
            <w:tcW w:w="0" w:type="dxa"/>
            <w:vAlign w:val="bottom"/>
          </w:tcPr>
          <w:p>
            <w:pPr>
              <w:spacing w:after="0"/>
              <w:rPr>
                <w:sz w:val="1"/>
                <w:szCs w:val="1"/>
                <w:color w:val="auto"/>
              </w:rPr>
            </w:pPr>
          </w:p>
        </w:tc>
      </w:tr>
      <w:tr>
        <w:trPr>
          <w:trHeight w:val="178"/>
        </w:trPr>
        <w:tc>
          <w:tcPr>
            <w:tcW w:w="3880" w:type="dxa"/>
            <w:vAlign w:val="bottom"/>
            <w:tcBorders>
              <w:top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net income (Non-GAAP)</w:t>
            </w:r>
          </w:p>
        </w:tc>
        <w:tc>
          <w:tcPr>
            <w:tcW w:w="880" w:type="dxa"/>
            <w:vAlign w:val="bottom"/>
            <w:tcBorders>
              <w:top w:val="single" w:sz="8" w:color="E0E7ED"/>
            </w:tcBorders>
            <w:shd w:val="clear" w:color="auto" w:fill="E0E7ED"/>
          </w:tcPr>
          <w:p>
            <w:pPr>
              <w:ind w:left="80"/>
              <w:spacing w:after="0"/>
              <w:rPr>
                <w:sz w:val="20"/>
                <w:szCs w:val="20"/>
                <w:color w:val="auto"/>
              </w:rPr>
            </w:pPr>
            <w:r>
              <w:rPr>
                <w:rFonts w:ascii="Arial" w:cs="Arial" w:eastAsia="Arial" w:hAnsi="Arial"/>
                <w:sz w:val="12"/>
                <w:szCs w:val="12"/>
                <w:color w:val="auto"/>
              </w:rPr>
              <w:t>[b]</w:t>
            </w:r>
          </w:p>
        </w:tc>
        <w:tc>
          <w:tcPr>
            <w:tcW w:w="180" w:type="dxa"/>
            <w:vAlign w:val="bottom"/>
            <w:tcBorders>
              <w:top w:val="single" w:sz="8" w:color="auto"/>
            </w:tcBorders>
            <w:shd w:val="clear" w:color="auto" w:fill="E0E7ED"/>
          </w:tcPr>
          <w:p>
            <w:pPr>
              <w:spacing w:after="0"/>
              <w:rPr>
                <w:sz w:val="15"/>
                <w:szCs w:val="15"/>
                <w:color w:val="auto"/>
              </w:rPr>
            </w:pP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57,198</w:t>
            </w:r>
          </w:p>
        </w:tc>
        <w:tc>
          <w:tcPr>
            <w:tcW w:w="8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1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63,687</w:t>
            </w:r>
          </w:p>
        </w:tc>
        <w:tc>
          <w:tcPr>
            <w:tcW w:w="8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62,496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1060" w:type="dxa"/>
            <w:vAlign w:val="bottom"/>
            <w:tcBorders>
              <w:top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184,096</w:t>
            </w:r>
          </w:p>
        </w:tc>
        <w:tc>
          <w:tcPr>
            <w:tcW w:w="6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1060" w:type="dxa"/>
            <w:vAlign w:val="bottom"/>
            <w:tcBorders>
              <w:top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159,788</w:t>
            </w:r>
          </w:p>
        </w:tc>
        <w:tc>
          <w:tcPr>
            <w:tcW w:w="0" w:type="dxa"/>
            <w:vAlign w:val="bottom"/>
          </w:tcPr>
          <w:p>
            <w:pPr>
              <w:spacing w:after="0"/>
              <w:rPr>
                <w:sz w:val="1"/>
                <w:szCs w:val="1"/>
                <w:color w:val="auto"/>
              </w:rPr>
            </w:pPr>
          </w:p>
        </w:tc>
      </w:tr>
      <w:tr>
        <w:trPr>
          <w:trHeight w:val="181"/>
        </w:trPr>
        <w:tc>
          <w:tcPr>
            <w:tcW w:w="38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Preferred dividends</w:t>
            </w:r>
          </w:p>
        </w:tc>
        <w:tc>
          <w:tcPr>
            <w:tcW w:w="880" w:type="dxa"/>
            <w:vAlign w:val="bottom"/>
            <w:tcBorders>
              <w:bottom w:val="single" w:sz="8" w:color="E0E7ED"/>
            </w:tcBorders>
          </w:tcPr>
          <w:p>
            <w:pPr>
              <w:ind w:left="80"/>
              <w:spacing w:after="0"/>
              <w:rPr>
                <w:sz w:val="20"/>
                <w:szCs w:val="20"/>
                <w:color w:val="auto"/>
              </w:rPr>
            </w:pPr>
            <w:r>
              <w:rPr>
                <w:rFonts w:ascii="Arial" w:cs="Arial" w:eastAsia="Arial" w:hAnsi="Arial"/>
                <w:sz w:val="12"/>
                <w:szCs w:val="12"/>
                <w:color w:val="auto"/>
              </w:rPr>
              <w:t>[c]</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4,589</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4,590</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5,131</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13,768</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5,286</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net income available to common stockholders (Non-GAAP)</w:t>
            </w:r>
          </w:p>
        </w:tc>
        <w:tc>
          <w:tcPr>
            <w:tcW w:w="880" w:type="dxa"/>
            <w:vAlign w:val="bottom"/>
            <w:tcBorders>
              <w:bottom w:val="single" w:sz="8" w:color="E0E7ED"/>
            </w:tcBorders>
            <w:shd w:val="clear" w:color="auto" w:fill="E0E7ED"/>
          </w:tcPr>
          <w:p>
            <w:pPr>
              <w:ind w:left="80"/>
              <w:spacing w:after="0"/>
              <w:rPr>
                <w:sz w:val="20"/>
                <w:szCs w:val="20"/>
                <w:color w:val="auto"/>
              </w:rPr>
            </w:pPr>
            <w:r>
              <w:rPr>
                <w:rFonts w:ascii="Arial" w:cs="Arial" w:eastAsia="Arial" w:hAnsi="Arial"/>
                <w:sz w:val="12"/>
                <w:szCs w:val="12"/>
                <w:color w:val="auto"/>
              </w:rPr>
              <w:t>[d]</w:t>
            </w: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52,609</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59,097</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57,365</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170,328</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154,502</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Weighted average number of common shares outstanding, diluted</w:t>
            </w:r>
          </w:p>
        </w:tc>
        <w:tc>
          <w:tcPr>
            <w:tcW w:w="8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20" w:type="dxa"/>
            <w:vAlign w:val="bottom"/>
            <w:shd w:val="clear" w:color="auto" w:fill="E0E7ED"/>
          </w:tcPr>
          <w:p>
            <w:pPr>
              <w:spacing w:after="0"/>
              <w:rPr>
                <w:sz w:val="13"/>
                <w:szCs w:val="13"/>
                <w:color w:val="auto"/>
              </w:rPr>
            </w:pPr>
          </w:p>
        </w:tc>
        <w:tc>
          <w:tcPr>
            <w:tcW w:w="112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(GAAP)</w:t>
            </w:r>
          </w:p>
        </w:tc>
        <w:tc>
          <w:tcPr>
            <w:tcW w:w="880" w:type="dxa"/>
            <w:vAlign w:val="bottom"/>
            <w:shd w:val="clear" w:color="auto" w:fill="E0E7ED"/>
          </w:tcPr>
          <w:p>
            <w:pPr>
              <w:ind w:left="80"/>
              <w:spacing w:after="0"/>
              <w:rPr>
                <w:sz w:val="20"/>
                <w:szCs w:val="20"/>
                <w:color w:val="auto"/>
              </w:rPr>
            </w:pPr>
            <w:r>
              <w:rPr>
                <w:rFonts w:ascii="Arial" w:cs="Arial" w:eastAsia="Arial" w:hAnsi="Arial"/>
                <w:sz w:val="12"/>
                <w:szCs w:val="12"/>
                <w:color w:val="auto"/>
              </w:rPr>
              <w:t>[e]</w:t>
            </w:r>
          </w:p>
        </w:tc>
        <w:tc>
          <w:tcPr>
            <w:tcW w:w="18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83,733,110</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85,385,382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90,218,382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85,634,496</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83,609,999</w:t>
            </w:r>
          </w:p>
        </w:tc>
        <w:tc>
          <w:tcPr>
            <w:tcW w:w="0" w:type="dxa"/>
            <w:vAlign w:val="bottom"/>
          </w:tcPr>
          <w:p>
            <w:pPr>
              <w:spacing w:after="0"/>
              <w:rPr>
                <w:sz w:val="1"/>
                <w:szCs w:val="1"/>
                <w:color w:val="auto"/>
              </w:rPr>
            </w:pPr>
          </w:p>
        </w:tc>
      </w:tr>
      <w:tr>
        <w:trPr>
          <w:trHeight w:val="184"/>
        </w:trPr>
        <w:tc>
          <w:tcPr>
            <w:tcW w:w="3880" w:type="dxa"/>
            <w:vAlign w:val="bottom"/>
          </w:tcPr>
          <w:p>
            <w:pPr>
              <w:spacing w:after="0"/>
              <w:rPr>
                <w:sz w:val="20"/>
                <w:szCs w:val="20"/>
                <w:color w:val="auto"/>
              </w:rPr>
            </w:pPr>
            <w:r>
              <w:rPr>
                <w:rFonts w:ascii="Arial" w:cs="Arial" w:eastAsia="Arial" w:hAnsi="Arial"/>
                <w:sz w:val="12"/>
                <w:szCs w:val="12"/>
                <w:b w:val="1"/>
                <w:bCs w:val="1"/>
                <w:color w:val="auto"/>
              </w:rPr>
              <w:t>Diluted earnings per common share (GAAP)</w:t>
            </w:r>
          </w:p>
        </w:tc>
        <w:tc>
          <w:tcPr>
            <w:tcW w:w="880" w:type="dxa"/>
            <w:vAlign w:val="bottom"/>
          </w:tcPr>
          <w:p>
            <w:pPr>
              <w:ind w:left="80"/>
              <w:spacing w:after="0"/>
              <w:rPr>
                <w:sz w:val="20"/>
                <w:szCs w:val="20"/>
                <w:color w:val="auto"/>
              </w:rPr>
            </w:pPr>
            <w:r>
              <w:rPr>
                <w:rFonts w:ascii="Arial" w:cs="Arial" w:eastAsia="Arial" w:hAnsi="Arial"/>
                <w:sz w:val="12"/>
                <w:szCs w:val="12"/>
                <w:color w:val="auto"/>
              </w:rPr>
              <w:t>[(a-c)÷e]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0.69</w:t>
            </w:r>
          </w:p>
        </w:tc>
        <w:tc>
          <w:tcPr>
            <w:tcW w:w="80" w:type="dxa"/>
            <w:vAlign w:val="bottom"/>
          </w:tcPr>
          <w:p>
            <w:pPr>
              <w:spacing w:after="0"/>
              <w:rPr>
                <w:sz w:val="16"/>
                <w:szCs w:val="16"/>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0.58</w:t>
            </w:r>
          </w:p>
        </w:tc>
        <w:tc>
          <w:tcPr>
            <w:tcW w:w="8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1.81</w:t>
            </w:r>
          </w:p>
        </w:tc>
        <w:tc>
          <w:tcPr>
            <w:tcW w:w="6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94"/>
        </w:trPr>
        <w:tc>
          <w:tcPr>
            <w:tcW w:w="3880" w:type="dxa"/>
            <w:vAlign w:val="bottom"/>
            <w:shd w:val="clear" w:color="auto" w:fill="E0E7ED"/>
          </w:tcPr>
          <w:p>
            <w:pPr>
              <w:spacing w:after="0"/>
              <w:rPr>
                <w:sz w:val="20"/>
                <w:szCs w:val="20"/>
                <w:color w:val="auto"/>
              </w:rPr>
            </w:pPr>
            <w:r>
              <w:rPr>
                <w:rFonts w:ascii="Arial" w:cs="Arial" w:eastAsia="Arial" w:hAnsi="Arial"/>
                <w:sz w:val="12"/>
                <w:szCs w:val="12"/>
                <w:color w:val="auto"/>
              </w:rPr>
              <w:t>Adjusted diluted earnings per common share (Non-GAAP)</w:t>
            </w:r>
          </w:p>
        </w:tc>
        <w:tc>
          <w:tcPr>
            <w:tcW w:w="880" w:type="dxa"/>
            <w:vAlign w:val="bottom"/>
            <w:shd w:val="clear" w:color="auto" w:fill="E0E7ED"/>
          </w:tcPr>
          <w:p>
            <w:pPr>
              <w:ind w:left="80"/>
              <w:spacing w:after="0"/>
              <w:rPr>
                <w:sz w:val="20"/>
                <w:szCs w:val="20"/>
                <w:color w:val="auto"/>
              </w:rPr>
            </w:pPr>
            <w:r>
              <w:rPr>
                <w:rFonts w:ascii="Arial" w:cs="Arial" w:eastAsia="Arial" w:hAnsi="Arial"/>
                <w:sz w:val="12"/>
                <w:szCs w:val="12"/>
                <w:color w:val="auto"/>
              </w:rPr>
              <w:t>[d÷e]</w:t>
            </w: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0.63</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0.69</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0.64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1.99</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right="20" w:hanging="220"/>
        <w:spacing w:after="0" w:line="244" w:lineRule="auto"/>
        <w:tabs>
          <w:tab w:leader="none" w:pos="315"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Day 2 provision represents the initial provision for credit losses recorded in connection with the CrossFirst acquisition to establish an allowance on non-PCD loans and unfunded commitments and is reflected within the provision for credit losses line on the Statements of Income.</w:t>
      </w:r>
    </w:p>
    <w:p>
      <w:pPr>
        <w:ind w:left="320" w:hanging="220"/>
        <w:spacing w:after="0" w:line="225" w:lineRule="auto"/>
        <w:tabs>
          <w:tab w:leader="none" w:pos="32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 the second quarter of 2025, Busey recorded an adjustment to the initial provision for unfunded commitments for CrossFirst acquisition-date balances based on revised estimates resulting from implementation of a new CECL model.</w:t>
      </w:r>
    </w:p>
    <w:p>
      <w:pPr>
        <w:ind w:left="320" w:hanging="220"/>
        <w:spacing w:after="0" w:line="244" w:lineRule="auto"/>
        <w:tabs>
          <w:tab w:leader="none" w:pos="313" w:val="left"/>
        </w:tabs>
        <w:numPr>
          <w:ilvl w:val="0"/>
          <w:numId w:val="8"/>
        </w:numPr>
        <w:rPr>
          <w:rFonts w:ascii="Arial" w:cs="Arial" w:eastAsia="Arial" w:hAnsi="Arial"/>
          <w:sz w:val="10"/>
          <w:szCs w:val="10"/>
          <w:color w:val="auto"/>
        </w:rPr>
      </w:pPr>
      <w:r>
        <w:rPr>
          <w:rFonts w:ascii="Arial" w:cs="Arial" w:eastAsia="Arial" w:hAnsi="Arial"/>
          <w:sz w:val="10"/>
          <w:szCs w:val="10"/>
          <w:color w:val="auto"/>
        </w:rPr>
        <w:t>Tax benefits were calculated using tax rates of 25.0% and 26.6% for the nine months ended September 30, 2026 and 2025, respectively. Tax benefits for quarterly periods were calculated as the year-to-date tax amounts less the tax reported for previous quarters during the year.</w:t>
      </w:r>
    </w:p>
    <w:p>
      <w:pPr>
        <w:ind w:left="320" w:right="20" w:hanging="220"/>
        <w:spacing w:after="0" w:line="248" w:lineRule="auto"/>
        <w:tabs>
          <w:tab w:leader="none" w:pos="318" w:val="left"/>
        </w:tabs>
        <w:numPr>
          <w:ilvl w:val="0"/>
          <w:numId w:val="8"/>
        </w:numPr>
        <w:rPr>
          <w:rFonts w:ascii="Arial" w:cs="Arial" w:eastAsia="Arial" w:hAnsi="Arial"/>
          <w:sz w:val="10"/>
          <w:szCs w:val="10"/>
          <w:color w:val="auto"/>
        </w:rPr>
      </w:pPr>
      <w:r>
        <w:rPr>
          <w:rFonts w:ascii="Arial" w:cs="Arial" w:eastAsia="Arial" w:hAnsi="Arial"/>
          <w:sz w:val="10"/>
          <w:szCs w:val="10"/>
          <w:color w:val="auto"/>
        </w:rPr>
        <w:t>A deferred tax valuation adjustment was recorded in the first quarter of 2025 in connection with the CrossFirst acquisition and the expansion of Busey’s footprint into new states. Additionally, 2025 included a write-off of deferred tax assets related to non-deductible compensation and acquisition-related expenses. Deferred tax adjustments are reflected within the income taxes line on the Statements of Income.</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13</w:t>
      </w:r>
    </w:p>
    <w:p>
      <w:pPr>
        <w:sectPr>
          <w:pgSz w:w="11900" w:h="16838" w:orient="portrait"/>
          <w:cols w:equalWidth="0" w:num="1">
            <w:col w:w="11300"/>
          </w:cols>
          <w:pgMar w:left="300" w:top="910" w:right="29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Calculation of Return On Average Assets, Return On Average Tangible Common Equity, and Related Adjusted Return Measures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1"/>
                <w:szCs w:val="11"/>
                <w:b w:val="1"/>
                <w:bCs w:val="1"/>
                <w:color w:val="auto"/>
              </w:rPr>
              <w:t>Nine Months Ended</w:t>
            </w:r>
          </w:p>
        </w:tc>
      </w:tr>
      <w:tr>
        <w:trPr>
          <w:trHeight w:val="97"/>
        </w:trPr>
        <w:tc>
          <w:tcPr>
            <w:tcW w:w="3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tcPr>
          <w:p>
            <w:pPr>
              <w:ind w:left="100"/>
              <w:spacing w:after="0" w:line="97" w:lineRule="exact"/>
              <w:rPr>
                <w:sz w:val="20"/>
                <w:szCs w:val="20"/>
                <w:color w:val="auto"/>
              </w:rPr>
            </w:pPr>
            <w:r>
              <w:rPr>
                <w:rFonts w:ascii="Arial" w:cs="Arial" w:eastAsia="Arial" w:hAnsi="Arial"/>
                <w:sz w:val="11"/>
                <w:szCs w:val="11"/>
                <w:b w:val="1"/>
                <w:bCs w:val="1"/>
                <w:color w:val="auto"/>
              </w:rPr>
              <w:t>September 30,</w:t>
            </w:r>
          </w:p>
        </w:tc>
        <w:tc>
          <w:tcPr>
            <w:tcW w:w="100" w:type="dxa"/>
            <w:vAlign w:val="bottom"/>
          </w:tcPr>
          <w:p>
            <w:pPr>
              <w:spacing w:after="0"/>
              <w:rPr>
                <w:sz w:val="8"/>
                <w:szCs w:val="8"/>
                <w:color w:val="auto"/>
              </w:rPr>
            </w:pPr>
          </w:p>
        </w:tc>
        <w:tc>
          <w:tcPr>
            <w:tcW w:w="1280" w:type="dxa"/>
            <w:vAlign w:val="bottom"/>
            <w:gridSpan w:val="2"/>
          </w:tcPr>
          <w:p>
            <w:pPr>
              <w:jc w:val="center"/>
              <w:ind w:right="160"/>
              <w:spacing w:after="0" w:line="97" w:lineRule="exact"/>
              <w:rPr>
                <w:sz w:val="20"/>
                <w:szCs w:val="20"/>
                <w:color w:val="auto"/>
              </w:rPr>
            </w:pPr>
            <w:r>
              <w:rPr>
                <w:rFonts w:ascii="Arial" w:cs="Arial" w:eastAsia="Arial" w:hAnsi="Arial"/>
                <w:sz w:val="11"/>
                <w:szCs w:val="11"/>
                <w:b w:val="1"/>
                <w:bCs w:val="1"/>
                <w:color w:val="auto"/>
                <w:w w:val="99"/>
              </w:rPr>
              <w:t>June 30,</w:t>
            </w:r>
          </w:p>
        </w:tc>
        <w:tc>
          <w:tcPr>
            <w:tcW w:w="180" w:type="dxa"/>
            <w:vAlign w:val="bottom"/>
          </w:tcPr>
          <w:p>
            <w:pPr>
              <w:spacing w:after="0"/>
              <w:rPr>
                <w:sz w:val="8"/>
                <w:szCs w:val="8"/>
                <w:color w:val="auto"/>
              </w:rPr>
            </w:pPr>
          </w:p>
        </w:tc>
        <w:tc>
          <w:tcPr>
            <w:tcW w:w="1220" w:type="dxa"/>
            <w:vAlign w:val="bottom"/>
            <w:gridSpan w:val="2"/>
          </w:tcPr>
          <w:p>
            <w:pPr>
              <w:ind w:left="120"/>
              <w:spacing w:after="0" w:line="97"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1220" w:type="dxa"/>
            <w:vAlign w:val="bottom"/>
            <w:gridSpan w:val="2"/>
          </w:tcPr>
          <w:p>
            <w:pPr>
              <w:ind w:left="120"/>
              <w:spacing w:after="0" w:line="97" w:lineRule="exact"/>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8"/>
                <w:szCs w:val="8"/>
                <w:color w:val="auto"/>
              </w:rPr>
            </w:pPr>
          </w:p>
        </w:tc>
        <w:tc>
          <w:tcPr>
            <w:tcW w:w="1140" w:type="dxa"/>
            <w:vAlign w:val="bottom"/>
          </w:tcPr>
          <w:p>
            <w:pPr>
              <w:jc w:val="right"/>
              <w:ind w:right="242"/>
              <w:spacing w:after="0" w:line="97" w:lineRule="exact"/>
              <w:rPr>
                <w:sz w:val="20"/>
                <w:szCs w:val="20"/>
                <w:color w:val="auto"/>
              </w:rPr>
            </w:pPr>
            <w:r>
              <w:rPr>
                <w:rFonts w:ascii="Arial" w:cs="Arial" w:eastAsia="Arial" w:hAnsi="Arial"/>
                <w:sz w:val="11"/>
                <w:szCs w:val="11"/>
                <w:b w:val="1"/>
                <w:bCs w:val="1"/>
                <w:color w:val="auto"/>
              </w:rPr>
              <w:t>September 30,</w:t>
            </w:r>
          </w:p>
        </w:tc>
      </w:tr>
      <w:tr>
        <w:trPr>
          <w:trHeight w:val="144"/>
        </w:trPr>
        <w:tc>
          <w:tcPr>
            <w:tcW w:w="312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130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7"/>
              </w:rPr>
              <w:t>2026</w:t>
            </w:r>
          </w:p>
        </w:tc>
        <w:tc>
          <w:tcPr>
            <w:tcW w:w="6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E0E7ED"/>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r>
      <w:tr>
        <w:trPr>
          <w:trHeight w:val="178"/>
        </w:trPr>
        <w:tc>
          <w:tcPr>
            <w:tcW w:w="3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income (GAAP)</w:t>
            </w:r>
          </w:p>
        </w:tc>
        <w:tc>
          <w:tcPr>
            <w:tcW w:w="1300" w:type="dxa"/>
            <w:vAlign w:val="bottom"/>
            <w:shd w:val="clear" w:color="auto" w:fill="E0E7ED"/>
          </w:tcPr>
          <w:p>
            <w:pPr>
              <w:ind w:left="540"/>
              <w:spacing w:after="0"/>
              <w:rPr>
                <w:sz w:val="20"/>
                <w:szCs w:val="20"/>
                <w:color w:val="auto"/>
              </w:rPr>
            </w:pPr>
            <w:r>
              <w:rPr>
                <w:rFonts w:ascii="Arial" w:cs="Arial" w:eastAsia="Arial" w:hAnsi="Arial"/>
                <w:sz w:val="12"/>
                <w:szCs w:val="12"/>
                <w:color w:val="auto"/>
              </w:rPr>
              <w:t>[a]</w:t>
            </w:r>
          </w:p>
        </w:tc>
        <w:tc>
          <w:tcPr>
            <w:tcW w:w="180" w:type="dxa"/>
            <w:vAlign w:val="bottom"/>
            <w:shd w:val="clear" w:color="auto" w:fill="E0E7ED"/>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55,845</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63,176</w:t>
            </w:r>
          </w:p>
        </w:tc>
        <w:tc>
          <w:tcPr>
            <w:tcW w:w="6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57,098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169,002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74,512</w:t>
            </w:r>
          </w:p>
        </w:tc>
      </w:tr>
      <w:tr>
        <w:trPr>
          <w:trHeight w:val="181"/>
        </w:trPr>
        <w:tc>
          <w:tcPr>
            <w:tcW w:w="3120" w:type="dxa"/>
            <w:vAlign w:val="bottom"/>
          </w:tcPr>
          <w:p>
            <w:pPr>
              <w:ind w:left="120"/>
              <w:spacing w:after="0"/>
              <w:rPr>
                <w:sz w:val="20"/>
                <w:szCs w:val="20"/>
                <w:color w:val="auto"/>
              </w:rPr>
            </w:pPr>
            <w:r>
              <w:rPr>
                <w:rFonts w:ascii="Arial" w:cs="Arial" w:eastAsia="Arial" w:hAnsi="Arial"/>
                <w:sz w:val="12"/>
                <w:szCs w:val="12"/>
                <w:color w:val="auto"/>
              </w:rPr>
              <w:t>Amortization of intangible assets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4,151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4,232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4,507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12,674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12,182</w:t>
            </w:r>
          </w:p>
        </w:tc>
      </w:tr>
      <w:tr>
        <w:trPr>
          <w:trHeight w:val="197"/>
        </w:trPr>
        <w:tc>
          <w:tcPr>
            <w:tcW w:w="31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Tax effect of amortization of intangible assets</w:t>
            </w:r>
            <w:r>
              <w:rPr>
                <w:rFonts w:ascii="Arial" w:cs="Arial" w:eastAsia="Arial" w:hAnsi="Arial"/>
                <w:sz w:val="15"/>
                <w:szCs w:val="15"/>
                <w:color w:val="auto"/>
                <w:vertAlign w:val="superscript"/>
              </w:rPr>
              <w:t>(i)</w:t>
            </w:r>
          </w:p>
        </w:tc>
        <w:tc>
          <w:tcPr>
            <w:tcW w:w="13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(1,038)</w:t>
            </w: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2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(1,058)</w:t>
            </w:r>
          </w:p>
        </w:tc>
        <w:tc>
          <w:tcPr>
            <w:tcW w:w="6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4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(1,210)</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4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(3,169)</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40" w:type="dxa"/>
            <w:vAlign w:val="bottom"/>
            <w:shd w:val="clear" w:color="auto" w:fill="E0E7ED"/>
          </w:tcPr>
          <w:p>
            <w:pPr>
              <w:jc w:val="right"/>
              <w:ind w:right="62"/>
              <w:spacing w:after="0"/>
              <w:rPr>
                <w:sz w:val="20"/>
                <w:szCs w:val="20"/>
                <w:color w:val="auto"/>
              </w:rPr>
            </w:pPr>
            <w:r>
              <w:rPr>
                <w:rFonts w:ascii="Arial" w:cs="Arial" w:eastAsia="Arial" w:hAnsi="Arial"/>
                <w:sz w:val="12"/>
                <w:szCs w:val="12"/>
                <w:color w:val="auto"/>
              </w:rPr>
              <w:t>(3,245)</w:t>
            </w:r>
          </w:p>
        </w:tc>
      </w:tr>
      <w:tr>
        <w:trPr>
          <w:trHeight w:val="181"/>
        </w:trPr>
        <w:tc>
          <w:tcPr>
            <w:tcW w:w="31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Preferred dividends</w:t>
            </w:r>
          </w:p>
        </w:tc>
        <w:tc>
          <w:tcPr>
            <w:tcW w:w="13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(4,589)</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(4,590)</w:t>
            </w:r>
          </w:p>
        </w:tc>
        <w:tc>
          <w:tcPr>
            <w:tcW w:w="6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(5,131)</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(13,768)</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(5,286)</w:t>
            </w:r>
          </w:p>
        </w:tc>
      </w:tr>
      <w:tr>
        <w:trPr>
          <w:trHeight w:val="202"/>
        </w:trPr>
        <w:tc>
          <w:tcPr>
            <w:tcW w:w="4420" w:type="dxa"/>
            <w:vAlign w:val="bottom"/>
            <w:tcBorders>
              <w:bottom w:val="single" w:sz="8" w:color="E0E7ED"/>
            </w:tcBorders>
            <w:gridSpan w:val="2"/>
            <w:shd w:val="clear" w:color="auto" w:fill="E0E7ED"/>
          </w:tcPr>
          <w:p>
            <w:pPr>
              <w:spacing w:after="0"/>
              <w:rPr>
                <w:sz w:val="20"/>
                <w:szCs w:val="20"/>
                <w:color w:val="auto"/>
              </w:rPr>
            </w:pPr>
            <w:r>
              <w:rPr>
                <w:rFonts w:ascii="Arial" w:cs="Arial" w:eastAsia="Arial" w:hAnsi="Arial"/>
                <w:sz w:val="12"/>
                <w:szCs w:val="12"/>
                <w:color w:val="auto"/>
              </w:rPr>
              <w:t>Tangible net income available to common stockholders (Non-GAAP) [b]</w:t>
            </w:r>
          </w:p>
        </w:tc>
        <w:tc>
          <w:tcPr>
            <w:tcW w:w="180" w:type="dxa"/>
            <w:vAlign w:val="bottom"/>
            <w:tcBorders>
              <w:bottom w:val="single" w:sz="8" w:color="auto"/>
            </w:tcBorders>
            <w:shd w:val="clear" w:color="auto" w:fill="E0E7ED"/>
          </w:tcPr>
          <w:p>
            <w:pPr>
              <w:jc w:val="right"/>
              <w:ind w:right="7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54,369</w:t>
            </w:r>
          </w:p>
        </w:tc>
        <w:tc>
          <w:tcPr>
            <w:tcW w:w="80" w:type="dxa"/>
            <w:vAlign w:val="bottom"/>
            <w:tcBorders>
              <w:bottom w:val="single" w:sz="8" w:color="E0E7ED"/>
            </w:tcBorders>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61,760</w:t>
            </w:r>
          </w:p>
        </w:tc>
        <w:tc>
          <w:tcPr>
            <w:tcW w:w="6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55,264</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164,739</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78,163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Adjusted net income (Non-GAAP)</w:t>
      </w:r>
      <w:r>
        <w:rPr>
          <w:rFonts w:ascii="Arial" w:cs="Arial" w:eastAsia="Arial" w:hAnsi="Arial"/>
          <w:sz w:val="15"/>
          <w:szCs w:val="15"/>
          <w:color w:val="auto"/>
          <w:vertAlign w:val="superscript"/>
        </w:rPr>
        <w:t>(ii)</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Amortization of intangible assets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Tax effect of amortization of intangible assets</w:t>
      </w:r>
      <w:r>
        <w:rPr>
          <w:rFonts w:ascii="Arial" w:cs="Arial" w:eastAsia="Arial" w:hAnsi="Arial"/>
          <w:sz w:val="15"/>
          <w:szCs w:val="15"/>
          <w:color w:val="auto"/>
          <w:vertAlign w:val="superscript"/>
        </w:rPr>
        <w:t>(i)</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Preferred dividends</w:t>
      </w:r>
    </w:p>
    <w:p>
      <w:pPr>
        <w:spacing w:after="0" w:line="3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Adjusted tangible net income available to common stockholders (Non-GAAP)</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60" w:type="dxa"/>
            <w:vAlign w:val="bottom"/>
          </w:tcPr>
          <w:p>
            <w:pPr>
              <w:spacing w:after="0"/>
              <w:rPr>
                <w:sz w:val="20"/>
                <w:szCs w:val="20"/>
                <w:color w:val="auto"/>
              </w:rPr>
            </w:pPr>
            <w:r>
              <w:rPr>
                <w:rFonts w:ascii="Arial" w:cs="Arial" w:eastAsia="Arial" w:hAnsi="Arial"/>
                <w:sz w:val="12"/>
                <w:szCs w:val="12"/>
                <w:color w:val="auto"/>
              </w:rPr>
              <w:t>[c]</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57,198</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63,687</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62,496</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184,096</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159,788</w:t>
            </w: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4,151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4,232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4,507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12,674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12,182</w:t>
            </w: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(1,038)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(1,058)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(1,210)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(3,169)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(3,245)</w:t>
            </w:r>
          </w:p>
        </w:tc>
      </w:tr>
      <w:tr>
        <w:trPr>
          <w:trHeight w:val="197"/>
        </w:trPr>
        <w:tc>
          <w:tcPr>
            <w:tcW w:w="7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(4,589)</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(4,590)</w:t>
            </w: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(5,131)</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(13,768)</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(5,286)</w:t>
            </w:r>
          </w:p>
        </w:tc>
      </w:tr>
      <w:tr>
        <w:trPr>
          <w:trHeight w:val="233"/>
        </w:trPr>
        <w:tc>
          <w:tcPr>
            <w:tcW w:w="760" w:type="dxa"/>
            <w:vAlign w:val="bottom"/>
          </w:tcPr>
          <w:p>
            <w:pPr>
              <w:spacing w:after="0"/>
              <w:rPr>
                <w:sz w:val="20"/>
                <w:szCs w:val="20"/>
                <w:color w:val="auto"/>
              </w:rPr>
            </w:pPr>
            <w:r>
              <w:rPr>
                <w:rFonts w:ascii="Arial" w:cs="Arial" w:eastAsia="Arial" w:hAnsi="Arial"/>
                <w:sz w:val="12"/>
                <w:szCs w:val="12"/>
                <w:color w:val="auto"/>
              </w:rPr>
              <w:t>[d]</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55,722</w:t>
            </w:r>
          </w:p>
        </w:tc>
        <w:tc>
          <w:tcPr>
            <w:tcW w:w="80" w:type="dxa"/>
            <w:vAlign w:val="bottom"/>
          </w:tcPr>
          <w:p>
            <w:pPr>
              <w:spacing w:after="0"/>
              <w:rPr>
                <w:sz w:val="20"/>
                <w:szCs w:val="20"/>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62,271</w:t>
            </w:r>
          </w:p>
        </w:tc>
        <w:tc>
          <w:tcPr>
            <w:tcW w:w="60" w:type="dxa"/>
            <w:vAlign w:val="bottom"/>
          </w:tcPr>
          <w:p>
            <w:pPr>
              <w:spacing w:after="0"/>
              <w:rPr>
                <w:sz w:val="20"/>
                <w:szCs w:val="20"/>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60,662</w:t>
            </w:r>
          </w:p>
        </w:tc>
        <w:tc>
          <w:tcPr>
            <w:tcW w:w="80" w:type="dxa"/>
            <w:vAlign w:val="bottom"/>
          </w:tcPr>
          <w:p>
            <w:pPr>
              <w:spacing w:after="0"/>
              <w:rPr>
                <w:sz w:val="20"/>
                <w:szCs w:val="20"/>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179,833</w:t>
            </w:r>
          </w:p>
        </w:tc>
        <w:tc>
          <w:tcPr>
            <w:tcW w:w="80" w:type="dxa"/>
            <w:vAlign w:val="bottom"/>
          </w:tcPr>
          <w:p>
            <w:pPr>
              <w:spacing w:after="0"/>
              <w:rPr>
                <w:sz w:val="20"/>
                <w:szCs w:val="20"/>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163,439</w:t>
            </w:r>
          </w:p>
        </w:tc>
      </w:tr>
      <w:tr>
        <w:trPr>
          <w:trHeight w:val="70"/>
        </w:trPr>
        <w:tc>
          <w:tcPr>
            <w:tcW w:w="76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-462280</wp:posOffset>
            </wp:positionV>
            <wp:extent cx="717804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-222250</wp:posOffset>
            </wp:positionV>
            <wp:extent cx="7178040" cy="211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2114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380" w:space="280"/>
            <w:col w:w="7640"/>
          </w:cols>
          <w:pgMar w:left="300" w:top="910" w:right="29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200" w:type="dxa"/>
            <w:vAlign w:val="bottom"/>
            <w:shd w:val="clear" w:color="auto" w:fill="E0E7ED"/>
          </w:tcPr>
          <w:p>
            <w:pPr>
              <w:spacing w:after="0"/>
              <w:rPr>
                <w:sz w:val="20"/>
                <w:szCs w:val="20"/>
                <w:color w:val="auto"/>
              </w:rPr>
            </w:pPr>
            <w:r>
              <w:rPr>
                <w:rFonts w:ascii="Arial" w:cs="Arial" w:eastAsia="Arial" w:hAnsi="Arial"/>
                <w:sz w:val="12"/>
                <w:szCs w:val="12"/>
                <w:color w:val="auto"/>
              </w:rPr>
              <w:t>Average total assets</w:t>
            </w:r>
          </w:p>
        </w:tc>
        <w:tc>
          <w:tcPr>
            <w:tcW w:w="1220" w:type="dxa"/>
            <w:vAlign w:val="bottom"/>
            <w:shd w:val="clear" w:color="auto" w:fill="E0E7ED"/>
          </w:tcPr>
          <w:p>
            <w:pPr>
              <w:ind w:left="460"/>
              <w:spacing w:after="0"/>
              <w:rPr>
                <w:sz w:val="20"/>
                <w:szCs w:val="20"/>
                <w:color w:val="auto"/>
              </w:rPr>
            </w:pPr>
            <w:r>
              <w:rPr>
                <w:rFonts w:ascii="Arial" w:cs="Arial" w:eastAsia="Arial" w:hAnsi="Arial"/>
                <w:sz w:val="12"/>
                <w:szCs w:val="12"/>
                <w:color w:val="auto"/>
              </w:rPr>
              <w:t>[e]</w:t>
            </w:r>
          </w:p>
        </w:tc>
        <w:tc>
          <w:tcPr>
            <w:tcW w:w="300" w:type="dxa"/>
            <w:vAlign w:val="bottom"/>
            <w:shd w:val="clear" w:color="auto" w:fill="E0E7ED"/>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18,470,939</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17,887,097</w:t>
            </w:r>
          </w:p>
        </w:tc>
        <w:tc>
          <w:tcPr>
            <w:tcW w:w="6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18,662,449</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18,140,923</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17,534,644</w:t>
            </w:r>
          </w:p>
        </w:tc>
      </w:tr>
      <w:tr>
        <w:trPr>
          <w:trHeight w:val="189"/>
        </w:trPr>
        <w:tc>
          <w:tcPr>
            <w:tcW w:w="3200" w:type="dxa"/>
            <w:vAlign w:val="bottom"/>
          </w:tcPr>
          <w:p>
            <w:pPr>
              <w:spacing w:after="0"/>
              <w:rPr>
                <w:sz w:val="20"/>
                <w:szCs w:val="20"/>
                <w:color w:val="auto"/>
              </w:rPr>
            </w:pPr>
            <w:r>
              <w:rPr>
                <w:rFonts w:ascii="Arial" w:cs="Arial" w:eastAsia="Arial" w:hAnsi="Arial"/>
                <w:sz w:val="12"/>
                <w:szCs w:val="12"/>
                <w:color w:val="auto"/>
              </w:rPr>
              <w:t>Return on average assets (Non-GAAP)</w:t>
            </w:r>
            <w:r>
              <w:rPr>
                <w:rFonts w:ascii="Arial" w:cs="Arial" w:eastAsia="Arial" w:hAnsi="Arial"/>
                <w:sz w:val="15"/>
                <w:szCs w:val="15"/>
                <w:color w:val="auto"/>
                <w:vertAlign w:val="superscript"/>
              </w:rPr>
              <w:t>(iii)</w:t>
            </w:r>
          </w:p>
        </w:tc>
        <w:tc>
          <w:tcPr>
            <w:tcW w:w="1220" w:type="dxa"/>
            <w:vAlign w:val="bottom"/>
          </w:tcPr>
          <w:p>
            <w:pPr>
              <w:ind w:left="460"/>
              <w:spacing w:after="0"/>
              <w:rPr>
                <w:sz w:val="20"/>
                <w:szCs w:val="20"/>
                <w:color w:val="auto"/>
              </w:rPr>
            </w:pPr>
            <w:r>
              <w:rPr>
                <w:rFonts w:ascii="Arial" w:cs="Arial" w:eastAsia="Arial" w:hAnsi="Arial"/>
                <w:sz w:val="12"/>
                <w:szCs w:val="12"/>
                <w:color w:val="auto"/>
              </w:rPr>
              <w:t>[a÷e]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1.20 %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1.42 %</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1.21 %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1.25 %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0.57 %</w:t>
            </w:r>
          </w:p>
        </w:tc>
      </w:tr>
      <w:tr>
        <w:trPr>
          <w:trHeight w:val="189"/>
        </w:trPr>
        <w:tc>
          <w:tcPr>
            <w:tcW w:w="3200" w:type="dxa"/>
            <w:vAlign w:val="bottom"/>
            <w:shd w:val="clear" w:color="auto" w:fill="E0E7ED"/>
          </w:tcPr>
          <w:p>
            <w:pPr>
              <w:spacing w:after="0"/>
              <w:rPr>
                <w:sz w:val="20"/>
                <w:szCs w:val="20"/>
                <w:color w:val="auto"/>
              </w:rPr>
            </w:pPr>
            <w:r>
              <w:rPr>
                <w:rFonts w:ascii="Arial" w:cs="Arial" w:eastAsia="Arial" w:hAnsi="Arial"/>
                <w:sz w:val="12"/>
                <w:szCs w:val="12"/>
                <w:color w:val="auto"/>
              </w:rPr>
              <w:t>Adjusted return on average assets (Non-GAAP)</w:t>
            </w:r>
            <w:r>
              <w:rPr>
                <w:rFonts w:ascii="Arial" w:cs="Arial" w:eastAsia="Arial" w:hAnsi="Arial"/>
                <w:sz w:val="15"/>
                <w:szCs w:val="15"/>
                <w:color w:val="auto"/>
                <w:vertAlign w:val="superscript"/>
              </w:rPr>
              <w:t>(iii)</w:t>
            </w:r>
          </w:p>
        </w:tc>
        <w:tc>
          <w:tcPr>
            <w:tcW w:w="1220" w:type="dxa"/>
            <w:vAlign w:val="bottom"/>
            <w:shd w:val="clear" w:color="auto" w:fill="E0E7ED"/>
          </w:tcPr>
          <w:p>
            <w:pPr>
              <w:ind w:left="460"/>
              <w:spacing w:after="0"/>
              <w:rPr>
                <w:sz w:val="20"/>
                <w:szCs w:val="20"/>
                <w:color w:val="auto"/>
              </w:rPr>
            </w:pPr>
            <w:r>
              <w:rPr>
                <w:rFonts w:ascii="Arial" w:cs="Arial" w:eastAsia="Arial" w:hAnsi="Arial"/>
                <w:sz w:val="12"/>
                <w:szCs w:val="12"/>
                <w:color w:val="auto"/>
              </w:rPr>
              <w:t>[c÷e]</w:t>
            </w:r>
          </w:p>
        </w:tc>
        <w:tc>
          <w:tcPr>
            <w:tcW w:w="30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1.23 %</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1.43 %</w:t>
            </w:r>
          </w:p>
        </w:tc>
        <w:tc>
          <w:tcPr>
            <w:tcW w:w="6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1.33 %</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1.36 %</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1.22 %</w:t>
            </w:r>
          </w:p>
        </w:tc>
      </w:tr>
      <w:tr>
        <w:trPr>
          <w:trHeight w:val="180"/>
        </w:trPr>
        <w:tc>
          <w:tcPr>
            <w:tcW w:w="3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3200" w:type="dxa"/>
            <w:vAlign w:val="bottom"/>
            <w:shd w:val="clear" w:color="auto" w:fill="E0E7ED"/>
          </w:tcPr>
          <w:p>
            <w:pPr>
              <w:spacing w:after="0"/>
              <w:rPr>
                <w:sz w:val="20"/>
                <w:szCs w:val="20"/>
                <w:color w:val="auto"/>
              </w:rPr>
            </w:pPr>
            <w:r>
              <w:rPr>
                <w:rFonts w:ascii="Arial" w:cs="Arial" w:eastAsia="Arial" w:hAnsi="Arial"/>
                <w:sz w:val="12"/>
                <w:szCs w:val="12"/>
                <w:color w:val="auto"/>
              </w:rPr>
              <w:t>Average common equity</w:t>
            </w:r>
          </w:p>
        </w:tc>
        <w:tc>
          <w:tcPr>
            <w:tcW w:w="1220" w:type="dxa"/>
            <w:vAlign w:val="bottom"/>
            <w:shd w:val="clear" w:color="auto" w:fill="E0E7ED"/>
          </w:tcPr>
          <w:p>
            <w:pPr>
              <w:spacing w:after="0"/>
              <w:rPr>
                <w:sz w:val="16"/>
                <w:szCs w:val="16"/>
                <w:color w:val="auto"/>
              </w:rPr>
            </w:pPr>
          </w:p>
        </w:tc>
        <w:tc>
          <w:tcPr>
            <w:tcW w:w="300" w:type="dxa"/>
            <w:vAlign w:val="bottom"/>
            <w:shd w:val="clear" w:color="auto" w:fill="E0E7ED"/>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2,138,564</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2,183,290</w:t>
            </w:r>
          </w:p>
        </w:tc>
        <w:tc>
          <w:tcPr>
            <w:tcW w:w="6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2,210,711</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2,191,883</w:t>
            </w: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rPr>
              <w:t>2,109,046</w:t>
            </w:r>
          </w:p>
        </w:tc>
      </w:tr>
      <w:tr>
        <w:trPr>
          <w:trHeight w:val="181"/>
        </w:trPr>
        <w:tc>
          <w:tcPr>
            <w:tcW w:w="32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Average goodwill and other intangible assets, net</w:t>
            </w:r>
          </w:p>
        </w:tc>
        <w:tc>
          <w:tcPr>
            <w:tcW w:w="122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(469,792)</w:t>
            </w:r>
          </w:p>
        </w:tc>
        <w:tc>
          <w:tcPr>
            <w:tcW w:w="8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(474,043)</w:t>
            </w:r>
          </w:p>
        </w:tc>
        <w:tc>
          <w:tcPr>
            <w:tcW w:w="6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(486,625)</w:t>
            </w:r>
          </w:p>
        </w:tc>
        <w:tc>
          <w:tcPr>
            <w:tcW w:w="8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(474,207)</w:t>
            </w:r>
          </w:p>
        </w:tc>
        <w:tc>
          <w:tcPr>
            <w:tcW w:w="8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(464,316)</w:t>
            </w:r>
          </w:p>
        </w:tc>
      </w:tr>
      <w:tr>
        <w:trPr>
          <w:trHeight w:val="202"/>
        </w:trPr>
        <w:tc>
          <w:tcPr>
            <w:tcW w:w="32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Average tangible common equity (Non-GAAP)</w:t>
            </w:r>
          </w:p>
        </w:tc>
        <w:tc>
          <w:tcPr>
            <w:tcW w:w="1220" w:type="dxa"/>
            <w:vAlign w:val="bottom"/>
            <w:tcBorders>
              <w:bottom w:val="single" w:sz="8" w:color="E0E7ED"/>
            </w:tcBorders>
            <w:shd w:val="clear" w:color="auto" w:fill="E0E7ED"/>
          </w:tcPr>
          <w:p>
            <w:pPr>
              <w:ind w:left="460"/>
              <w:spacing w:after="0"/>
              <w:rPr>
                <w:sz w:val="20"/>
                <w:szCs w:val="20"/>
                <w:color w:val="auto"/>
              </w:rPr>
            </w:pPr>
            <w:r>
              <w:rPr>
                <w:rFonts w:ascii="Arial" w:cs="Arial" w:eastAsia="Arial" w:hAnsi="Arial"/>
                <w:sz w:val="12"/>
                <w:szCs w:val="12"/>
                <w:color w:val="auto"/>
              </w:rPr>
              <w:t>[f]</w:t>
            </w:r>
          </w:p>
        </w:tc>
        <w:tc>
          <w:tcPr>
            <w:tcW w:w="300" w:type="dxa"/>
            <w:vAlign w:val="bottom"/>
            <w:tcBorders>
              <w:bottom w:val="single" w:sz="8" w:color="auto"/>
            </w:tcBorders>
            <w:shd w:val="clear" w:color="auto" w:fill="E0E7ED"/>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rPr>
              <w:t>1,668,772</w:t>
            </w:r>
          </w:p>
        </w:tc>
        <w:tc>
          <w:tcPr>
            <w:tcW w:w="8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rPr>
              <w:t>1,709,247</w:t>
            </w:r>
          </w:p>
        </w:tc>
        <w:tc>
          <w:tcPr>
            <w:tcW w:w="6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rPr>
              <w:t>1,724,086</w:t>
            </w:r>
          </w:p>
        </w:tc>
        <w:tc>
          <w:tcPr>
            <w:tcW w:w="8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rPr>
              <w:t>1,717,676</w:t>
            </w:r>
          </w:p>
        </w:tc>
        <w:tc>
          <w:tcPr>
            <w:tcW w:w="8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rPr>
              <w:t>1,644,730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type w:val="continuous"/>
        </w:sectPr>
      </w:pP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1"/>
          <w:szCs w:val="11"/>
          <w:color w:val="auto"/>
        </w:rPr>
        <w:t>Return on average tangible common equity (Non-GAAP)</w:t>
      </w:r>
      <w:r>
        <w:rPr>
          <w:rFonts w:ascii="Arial" w:cs="Arial" w:eastAsia="Arial" w:hAnsi="Arial"/>
          <w:sz w:val="14"/>
          <w:szCs w:val="14"/>
          <w:color w:val="auto"/>
          <w:vertAlign w:val="superscript"/>
        </w:rPr>
        <w:t>(iii, iv)</w:t>
      </w:r>
      <w:r>
        <w:rPr>
          <w:rFonts w:ascii="Arial" w:cs="Arial" w:eastAsia="Arial" w:hAnsi="Arial"/>
          <w:sz w:val="11"/>
          <w:szCs w:val="11"/>
          <w:color w:val="auto"/>
        </w:rPr>
        <w:t xml:space="preserve"> Adjusted return on average tangible common equity (Non-GAAP)</w:t>
      </w:r>
      <w:r>
        <w:rPr>
          <w:rFonts w:ascii="Arial" w:cs="Arial" w:eastAsia="Arial" w:hAnsi="Arial"/>
          <w:sz w:val="14"/>
          <w:szCs w:val="14"/>
          <w:color w:val="auto"/>
          <w:vertAlign w:val="superscript"/>
        </w:rPr>
        <w:t>(iii,</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iv)</w:t>
      </w: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[b÷f]</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Pr>
          <w:p>
            <w:pPr>
              <w:jc w:val="right"/>
              <w:ind w:right="400"/>
              <w:spacing w:after="0"/>
              <w:rPr>
                <w:sz w:val="20"/>
                <w:szCs w:val="20"/>
                <w:color w:val="auto"/>
              </w:rPr>
            </w:pPr>
            <w:r>
              <w:rPr>
                <w:rFonts w:ascii="Arial" w:cs="Arial" w:eastAsia="Arial" w:hAnsi="Arial"/>
                <w:sz w:val="12"/>
                <w:szCs w:val="12"/>
                <w:color w:val="auto"/>
                <w:w w:val="99"/>
              </w:rPr>
              <w:t>12.93 %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14.49 %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12.72 %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12.82 %</w:t>
            </w:r>
          </w:p>
        </w:tc>
        <w:tc>
          <w:tcPr>
            <w:tcW w:w="920" w:type="dxa"/>
            <w:vAlign w:val="bottom"/>
          </w:tcPr>
          <w:p>
            <w:pPr>
              <w:jc w:val="right"/>
              <w:spacing w:after="0"/>
              <w:rPr>
                <w:sz w:val="20"/>
                <w:szCs w:val="20"/>
                <w:color w:val="auto"/>
              </w:rPr>
            </w:pPr>
            <w:r>
              <w:rPr>
                <w:rFonts w:ascii="Arial" w:cs="Arial" w:eastAsia="Arial" w:hAnsi="Arial"/>
                <w:sz w:val="12"/>
                <w:szCs w:val="12"/>
                <w:color w:val="auto"/>
              </w:rPr>
              <w:t>6.35 %</w:t>
            </w:r>
          </w:p>
        </w:tc>
      </w:tr>
      <w:tr>
        <w:trPr>
          <w:trHeight w:val="279"/>
        </w:trPr>
        <w:tc>
          <w:tcPr>
            <w:tcW w:w="920" w:type="dxa"/>
            <w:vAlign w:val="bottom"/>
          </w:tcPr>
          <w:p>
            <w:pPr>
              <w:jc w:val="right"/>
              <w:ind w:right="400"/>
              <w:spacing w:after="0"/>
              <w:rPr>
                <w:sz w:val="20"/>
                <w:szCs w:val="20"/>
                <w:color w:val="auto"/>
              </w:rPr>
            </w:pPr>
            <w:r>
              <w:rPr>
                <w:rFonts w:ascii="Arial" w:cs="Arial" w:eastAsia="Arial" w:hAnsi="Arial"/>
                <w:sz w:val="12"/>
                <w:szCs w:val="12"/>
                <w:color w:val="auto"/>
                <w:w w:val="99"/>
              </w:rPr>
              <w:t>13.25 %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14.61 %</w:t>
            </w:r>
          </w:p>
        </w:tc>
        <w:tc>
          <w:tcPr>
            <w:tcW w:w="1380" w:type="dxa"/>
            <w:vAlign w:val="bottom"/>
          </w:tcPr>
          <w:p>
            <w:pPr>
              <w:jc w:val="right"/>
              <w:ind w:right="400"/>
              <w:spacing w:after="0"/>
              <w:rPr>
                <w:sz w:val="20"/>
                <w:szCs w:val="20"/>
                <w:color w:val="auto"/>
              </w:rPr>
            </w:pPr>
            <w:r>
              <w:rPr>
                <w:rFonts w:ascii="Arial" w:cs="Arial" w:eastAsia="Arial" w:hAnsi="Arial"/>
                <w:sz w:val="12"/>
                <w:szCs w:val="12"/>
                <w:color w:val="auto"/>
              </w:rPr>
              <w:t>13.96 %</w:t>
            </w:r>
          </w:p>
        </w:tc>
        <w:tc>
          <w:tcPr>
            <w:tcW w:w="1400" w:type="dxa"/>
            <w:vAlign w:val="bottom"/>
          </w:tcPr>
          <w:p>
            <w:pPr>
              <w:jc w:val="right"/>
              <w:ind w:right="420"/>
              <w:spacing w:after="0"/>
              <w:rPr>
                <w:sz w:val="20"/>
                <w:szCs w:val="20"/>
                <w:color w:val="auto"/>
              </w:rPr>
            </w:pPr>
            <w:r>
              <w:rPr>
                <w:rFonts w:ascii="Arial" w:cs="Arial" w:eastAsia="Arial" w:hAnsi="Arial"/>
                <w:sz w:val="12"/>
                <w:szCs w:val="12"/>
                <w:color w:val="auto"/>
              </w:rPr>
              <w:t>14.00 %</w:t>
            </w:r>
          </w:p>
        </w:tc>
        <w:tc>
          <w:tcPr>
            <w:tcW w:w="920" w:type="dxa"/>
            <w:vAlign w:val="bottom"/>
          </w:tcPr>
          <w:p>
            <w:pPr>
              <w:jc w:val="right"/>
              <w:spacing w:after="0"/>
              <w:rPr>
                <w:sz w:val="20"/>
                <w:szCs w:val="20"/>
                <w:color w:val="auto"/>
              </w:rPr>
            </w:pPr>
            <w:r>
              <w:rPr>
                <w:rFonts w:ascii="Arial" w:cs="Arial" w:eastAsia="Arial" w:hAnsi="Arial"/>
                <w:sz w:val="12"/>
                <w:szCs w:val="12"/>
                <w:color w:val="auto"/>
              </w:rPr>
              <w:t>13.29 %</w:t>
            </w:r>
          </w:p>
        </w:tc>
      </w:tr>
    </w:tbl>
    <w:p>
      <w:pPr>
        <w:spacing w:after="0" w:line="190" w:lineRule="exact"/>
        <w:rPr>
          <w:sz w:val="20"/>
          <w:szCs w:val="20"/>
          <w:color w:val="auto"/>
        </w:rPr>
      </w:pPr>
    </w:p>
    <w:p>
      <w:pPr>
        <w:sectPr>
          <w:pgSz w:w="11900" w:h="16838" w:orient="portrait"/>
          <w:cols w:equalWidth="0" w:num="3">
            <w:col w:w="3560" w:space="100"/>
            <w:col w:w="880" w:space="720"/>
            <w:col w:w="6040"/>
          </w:cols>
          <w:pgMar w:left="300" w:top="910" w:right="299" w:bottom="1440" w:gutter="0" w:footer="0" w:header="0"/>
          <w:type w:val="continuous"/>
        </w:sectPr>
      </w:pPr>
    </w:p>
    <w:p>
      <w:pPr>
        <w:ind w:left="320" w:hanging="220"/>
        <w:spacing w:after="0" w:line="244" w:lineRule="auto"/>
        <w:tabs>
          <w:tab w:leader="none" w:pos="315" w:val="left"/>
        </w:tabs>
        <w:numPr>
          <w:ilvl w:val="0"/>
          <w:numId w:val="9"/>
        </w:numPr>
        <w:rPr>
          <w:rFonts w:ascii="Arial" w:cs="Arial" w:eastAsia="Arial" w:hAnsi="Arial"/>
          <w:sz w:val="10"/>
          <w:szCs w:val="10"/>
          <w:color w:val="auto"/>
        </w:rPr>
      </w:pPr>
      <w:r>
        <w:rPr>
          <w:rFonts w:ascii="Arial" w:cs="Arial" w:eastAsia="Arial" w:hAnsi="Arial"/>
          <w:sz w:val="10"/>
          <w:szCs w:val="10"/>
          <w:color w:val="auto"/>
        </w:rPr>
        <w:t>Tax effects were calculated using income tax rates of 25.0% and 26.6% for the nine months ended September 30, 2026 and 2025, respectively. Tax effects for quarterly periods were calculated as the year-to-date tax amounts less the tax reported for previous quarters during the year.</w:t>
      </w:r>
    </w:p>
    <w:p>
      <w:pPr>
        <w:ind w:left="320" w:hanging="220"/>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A reconciliation is provided on the previous table.</w:t>
      </w:r>
    </w:p>
    <w:p>
      <w:pPr>
        <w:spacing w:after="0" w:line="2" w:lineRule="exact"/>
        <w:rPr>
          <w:rFonts w:ascii="Arial" w:cs="Arial" w:eastAsia="Arial" w:hAnsi="Arial"/>
          <w:sz w:val="10"/>
          <w:szCs w:val="10"/>
          <w:color w:val="auto"/>
        </w:rPr>
      </w:pPr>
    </w:p>
    <w:p>
      <w:pPr>
        <w:ind w:left="300" w:hanging="200"/>
        <w:spacing w:after="0" w:line="225" w:lineRule="auto"/>
        <w:tabs>
          <w:tab w:leader="none" w:pos="300" w:val="left"/>
        </w:tabs>
        <w:numPr>
          <w:ilvl w:val="0"/>
          <w:numId w:val="9"/>
        </w:numPr>
        <w:rPr>
          <w:rFonts w:ascii="Arial" w:cs="Arial" w:eastAsia="Arial" w:hAnsi="Arial"/>
          <w:sz w:val="10"/>
          <w:szCs w:val="10"/>
          <w:color w:val="auto"/>
        </w:rPr>
      </w:pPr>
      <w:r>
        <w:rPr>
          <w:rFonts w:ascii="Arial" w:cs="Arial" w:eastAsia="Arial" w:hAnsi="Arial"/>
          <w:sz w:val="10"/>
          <w:szCs w:val="10"/>
          <w:color w:val="auto"/>
        </w:rPr>
        <w:t>Annualized measure.</w:t>
      </w:r>
    </w:p>
    <w:p>
      <w:pPr>
        <w:ind w:left="320" w:hanging="220"/>
        <w:spacing w:after="0" w:line="248" w:lineRule="auto"/>
        <w:tabs>
          <w:tab w:leader="none" w:pos="318" w:val="left"/>
        </w:tabs>
        <w:numPr>
          <w:ilvl w:val="0"/>
          <w:numId w:val="9"/>
        </w:numPr>
        <w:rPr>
          <w:rFonts w:ascii="Arial" w:cs="Arial" w:eastAsia="Arial" w:hAnsi="Arial"/>
          <w:sz w:val="10"/>
          <w:szCs w:val="10"/>
          <w:color w:val="auto"/>
        </w:rPr>
      </w:pPr>
      <w:r>
        <w:rPr>
          <w:rFonts w:ascii="Arial" w:cs="Arial" w:eastAsia="Arial" w:hAnsi="Arial"/>
          <w:sz w:val="10"/>
          <w:szCs w:val="10"/>
          <w:color w:val="auto"/>
        </w:rPr>
        <w:t>Beginning in 2026, Busey revised, for all periods presented, its calculation of return on average tangible common equity and adjusted return on average tangible common equity to eliminate the effects of intangible asset amortization from the numerator of both calculations.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14</w:t>
      </w:r>
    </w:p>
    <w:p>
      <w:pPr>
        <w:sectPr>
          <w:pgSz w:w="11900" w:h="16838" w:orient="portrait"/>
          <w:cols w:equalWidth="0" w:num="1">
            <w:col w:w="11300"/>
          </w:cols>
          <w:pgMar w:left="300" w:top="910" w:right="29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Calculation of Net Interest Margin and Adjusted Net Interest Margin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36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8"/>
                <w:szCs w:val="8"/>
                <w:color w:val="auto"/>
              </w:rPr>
            </w:pPr>
          </w:p>
        </w:tc>
        <w:tc>
          <w:tcPr>
            <w:tcW w:w="1240" w:type="dxa"/>
            <w:vAlign w:val="bottom"/>
            <w:gridSpan w:val="2"/>
          </w:tcPr>
          <w:p>
            <w:pPr>
              <w:jc w:val="center"/>
              <w:ind w:right="2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20" w:type="dxa"/>
            <w:vAlign w:val="bottom"/>
          </w:tcPr>
          <w:p>
            <w:pPr>
              <w:jc w:val="right"/>
              <w:ind w:right="28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3600" w:type="dxa"/>
            <w:vAlign w:val="bottom"/>
            <w:tcBorders>
              <w:bottom w:val="single" w:sz="8" w:color="E0E7ED"/>
            </w:tcBorders>
            <w:vMerge w:val="continue"/>
          </w:tcPr>
          <w:p>
            <w:pPr>
              <w:spacing w:after="0"/>
              <w:rPr>
                <w:sz w:val="10"/>
                <w:szCs w:val="10"/>
                <w:color w:val="auto"/>
              </w:rPr>
            </w:pPr>
          </w:p>
        </w:tc>
        <w:tc>
          <w:tcPr>
            <w:tcW w:w="82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36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2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153,145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152,402</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155,137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459,516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412,051</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(i)</w:t>
            </w:r>
          </w:p>
        </w:tc>
        <w:tc>
          <w:tcPr>
            <w:tcW w:w="82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851</w:t>
            </w:r>
          </w:p>
        </w:tc>
        <w:tc>
          <w:tcPr>
            <w:tcW w:w="8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841</w:t>
            </w:r>
          </w:p>
        </w:tc>
        <w:tc>
          <w:tcPr>
            <w:tcW w:w="6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788</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2,569</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2,116</w:t>
            </w:r>
          </w:p>
        </w:tc>
        <w:tc>
          <w:tcPr>
            <w:tcW w:w="0" w:type="dxa"/>
            <w:vAlign w:val="bottom"/>
          </w:tcPr>
          <w:p>
            <w:pPr>
              <w:spacing w:after="0"/>
              <w:rPr>
                <w:sz w:val="1"/>
                <w:szCs w:val="1"/>
                <w:color w:val="auto"/>
              </w:rPr>
            </w:pPr>
          </w:p>
        </w:tc>
      </w:tr>
      <w:tr>
        <w:trPr>
          <w:trHeight w:val="178"/>
        </w:trPr>
        <w:tc>
          <w:tcPr>
            <w:tcW w:w="36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Tax-equivalent net interest income (Non-GAAP)</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[a]</w:t>
            </w: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153,996</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153,243</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155,925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462,085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414,167</w:t>
            </w:r>
          </w:p>
        </w:tc>
        <w:tc>
          <w:tcPr>
            <w:tcW w:w="0" w:type="dxa"/>
            <w:vAlign w:val="bottom"/>
          </w:tcPr>
          <w:p>
            <w:pPr>
              <w:spacing w:after="0"/>
              <w:rPr>
                <w:sz w:val="1"/>
                <w:szCs w:val="1"/>
                <w:color w:val="auto"/>
              </w:rPr>
            </w:pPr>
          </w:p>
        </w:tc>
      </w:tr>
      <w:tr>
        <w:trPr>
          <w:trHeight w:val="181"/>
        </w:trPr>
        <w:tc>
          <w:tcPr>
            <w:tcW w:w="36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Purchase accounting accretion related to business combinations</w:t>
            </w:r>
          </w:p>
        </w:tc>
        <w:tc>
          <w:tcPr>
            <w:tcW w:w="82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(5,199)</w:t>
            </w: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(4,150)</w:t>
            </w:r>
          </w:p>
        </w:tc>
        <w:tc>
          <w:tcPr>
            <w:tcW w:w="6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(5,854)</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(14,743)</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(15,701)</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net interest income (Non-GAAP)</w:t>
            </w:r>
          </w:p>
        </w:tc>
        <w:tc>
          <w:tcPr>
            <w:tcW w:w="82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2"/>
                <w:szCs w:val="12"/>
                <w:color w:val="auto"/>
              </w:rPr>
              <w:t>[b]</w:t>
            </w:r>
          </w:p>
        </w:tc>
        <w:tc>
          <w:tcPr>
            <w:tcW w:w="200" w:type="dxa"/>
            <w:vAlign w:val="bottom"/>
            <w:tcBorders>
              <w:bottom w:val="single" w:sz="8" w:color="auto"/>
            </w:tcBorders>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148,797</w:t>
            </w:r>
          </w:p>
        </w:tc>
        <w:tc>
          <w:tcPr>
            <w:tcW w:w="8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149,093</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150,071</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447,342</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398,466</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Average interest-earning assets (Non-GAAP)</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[c]</w:t>
            </w: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17,056,264</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16,508,372</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17,272,362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16,744,898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16,126,422</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Net interest margin (Non-GAAP)</w:t>
            </w:r>
            <w:r>
              <w:rPr>
                <w:rFonts w:ascii="Arial" w:cs="Arial" w:eastAsia="Arial" w:hAnsi="Arial"/>
                <w:sz w:val="15"/>
                <w:szCs w:val="15"/>
                <w:color w:val="auto"/>
                <w:vertAlign w:val="superscript"/>
              </w:rPr>
              <w:t>(ii)</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[a÷c]</w:t>
            </w: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3.58 %</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3.72 %</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3.58 %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3.69 %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3.43 %</w:t>
            </w:r>
          </w:p>
        </w:tc>
        <w:tc>
          <w:tcPr>
            <w:tcW w:w="0" w:type="dxa"/>
            <w:vAlign w:val="bottom"/>
          </w:tcPr>
          <w:p>
            <w:pPr>
              <w:spacing w:after="0"/>
              <w:rPr>
                <w:sz w:val="1"/>
                <w:szCs w:val="1"/>
                <w:color w:val="auto"/>
              </w:rPr>
            </w:pPr>
          </w:p>
        </w:tc>
      </w:tr>
      <w:tr>
        <w:trPr>
          <w:trHeight w:val="220"/>
        </w:trPr>
        <w:tc>
          <w:tcPr>
            <w:tcW w:w="3600" w:type="dxa"/>
            <w:vAlign w:val="bottom"/>
          </w:tcPr>
          <w:p>
            <w:pPr>
              <w:spacing w:after="0"/>
              <w:rPr>
                <w:sz w:val="20"/>
                <w:szCs w:val="20"/>
                <w:color w:val="auto"/>
              </w:rPr>
            </w:pPr>
            <w:r>
              <w:rPr>
                <w:rFonts w:ascii="Arial" w:cs="Arial" w:eastAsia="Arial" w:hAnsi="Arial"/>
                <w:sz w:val="12"/>
                <w:szCs w:val="12"/>
                <w:color w:val="auto"/>
              </w:rPr>
              <w:t>Adjusted net interest margin (Non-GAAP)</w:t>
            </w:r>
            <w:r>
              <w:rPr>
                <w:rFonts w:ascii="Arial" w:cs="Arial" w:eastAsia="Arial" w:hAnsi="Arial"/>
                <w:sz w:val="15"/>
                <w:szCs w:val="15"/>
                <w:color w:val="auto"/>
                <w:vertAlign w:val="superscript"/>
              </w:rPr>
              <w:t>(ii)</w:t>
            </w:r>
          </w:p>
        </w:tc>
        <w:tc>
          <w:tcPr>
            <w:tcW w:w="820" w:type="dxa"/>
            <w:vAlign w:val="bottom"/>
          </w:tcPr>
          <w:p>
            <w:pPr>
              <w:ind w:left="60"/>
              <w:spacing w:after="0"/>
              <w:rPr>
                <w:sz w:val="20"/>
                <w:szCs w:val="20"/>
                <w:color w:val="auto"/>
              </w:rPr>
            </w:pPr>
            <w:r>
              <w:rPr>
                <w:rFonts w:ascii="Arial" w:cs="Arial" w:eastAsia="Arial" w:hAnsi="Arial"/>
                <w:sz w:val="12"/>
                <w:szCs w:val="12"/>
                <w:color w:val="auto"/>
              </w:rPr>
              <w:t>[b÷c]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3.62 %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3.57 %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3.30 %</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Calculation of Pre-Provision Net Revenue and Related Measures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36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8"/>
                <w:szCs w:val="8"/>
                <w:color w:val="auto"/>
              </w:rPr>
            </w:pPr>
          </w:p>
        </w:tc>
        <w:tc>
          <w:tcPr>
            <w:tcW w:w="1240" w:type="dxa"/>
            <w:vAlign w:val="bottom"/>
            <w:gridSpan w:val="2"/>
          </w:tcPr>
          <w:p>
            <w:pPr>
              <w:jc w:val="center"/>
              <w:ind w:right="22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20" w:type="dxa"/>
            <w:vAlign w:val="bottom"/>
          </w:tcPr>
          <w:p>
            <w:pPr>
              <w:jc w:val="right"/>
              <w:ind w:right="28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3600" w:type="dxa"/>
            <w:vAlign w:val="bottom"/>
            <w:tcBorders>
              <w:bottom w:val="single" w:sz="8" w:color="E0E7ED"/>
            </w:tcBorders>
            <w:vMerge w:val="continue"/>
          </w:tcPr>
          <w:p>
            <w:pPr>
              <w:spacing w:after="0"/>
              <w:rPr>
                <w:sz w:val="10"/>
                <w:szCs w:val="10"/>
                <w:color w:val="auto"/>
              </w:rPr>
            </w:pPr>
          </w:p>
        </w:tc>
        <w:tc>
          <w:tcPr>
            <w:tcW w:w="82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2026</w:t>
            </w:r>
          </w:p>
        </w:tc>
        <w:tc>
          <w:tcPr>
            <w:tcW w:w="6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36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2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153,145</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152,402</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155,137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459,516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412,051</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Arial" w:cs="Arial" w:eastAsia="Arial" w:hAnsi="Arial"/>
                <w:sz w:val="12"/>
                <w:szCs w:val="12"/>
                <w:b w:val="1"/>
                <w:bCs w:val="1"/>
                <w:color w:val="auto"/>
              </w:rPr>
              <w:t>Total noninterest income (GAAP)</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40,402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2"/>
                <w:szCs w:val="12"/>
                <w:color w:val="auto"/>
              </w:rPr>
              <w:t>44,311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41,198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03"/>
              <w:spacing w:after="0"/>
              <w:rPr>
                <w:sz w:val="20"/>
                <w:szCs w:val="20"/>
                <w:color w:val="auto"/>
              </w:rPr>
            </w:pPr>
            <w:r>
              <w:rPr>
                <w:rFonts w:ascii="Arial" w:cs="Arial" w:eastAsia="Arial" w:hAnsi="Arial"/>
                <w:sz w:val="12"/>
                <w:szCs w:val="12"/>
                <w:color w:val="auto"/>
              </w:rPr>
              <w:t>126,978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02"/>
              <w:spacing w:after="0"/>
              <w:rPr>
                <w:sz w:val="20"/>
                <w:szCs w:val="20"/>
                <w:color w:val="auto"/>
              </w:rPr>
            </w:pPr>
            <w:r>
              <w:rPr>
                <w:rFonts w:ascii="Arial" w:cs="Arial" w:eastAsia="Arial" w:hAnsi="Arial"/>
                <w:sz w:val="12"/>
                <w:szCs w:val="12"/>
                <w:color w:val="auto"/>
              </w:rPr>
              <w:t>107,284</w:t>
            </w:r>
          </w:p>
        </w:tc>
        <w:tc>
          <w:tcPr>
            <w:tcW w:w="0" w:type="dxa"/>
            <w:vAlign w:val="bottom"/>
          </w:tcPr>
          <w:p>
            <w:pPr>
              <w:spacing w:after="0"/>
              <w:rPr>
                <w:sz w:val="1"/>
                <w:szCs w:val="1"/>
                <w:color w:val="auto"/>
              </w:rPr>
            </w:pPr>
          </w:p>
        </w:tc>
      </w:tr>
      <w:tr>
        <w:trPr>
          <w:trHeight w:val="194"/>
        </w:trPr>
        <w:tc>
          <w:tcPr>
            <w:tcW w:w="36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security (gains) losses (GAAP)</w:t>
            </w:r>
          </w:p>
        </w:tc>
        <w:tc>
          <w:tcPr>
            <w:tcW w:w="82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703</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83"/>
              <w:spacing w:after="0"/>
              <w:rPr>
                <w:sz w:val="20"/>
                <w:szCs w:val="20"/>
                <w:color w:val="auto"/>
              </w:rPr>
            </w:pPr>
            <w:r>
              <w:rPr>
                <w:rFonts w:ascii="Arial" w:cs="Arial" w:eastAsia="Arial" w:hAnsi="Arial"/>
                <w:sz w:val="12"/>
                <w:szCs w:val="12"/>
                <w:color w:val="auto"/>
              </w:rPr>
              <w:t>(2,445)</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288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63"/>
              <w:spacing w:after="0"/>
              <w:rPr>
                <w:sz w:val="20"/>
                <w:szCs w:val="20"/>
                <w:color w:val="auto"/>
              </w:rPr>
            </w:pPr>
            <w:r>
              <w:rPr>
                <w:rFonts w:ascii="Arial" w:cs="Arial" w:eastAsia="Arial" w:hAnsi="Arial"/>
                <w:sz w:val="12"/>
                <w:szCs w:val="12"/>
                <w:color w:val="auto"/>
              </w:rPr>
              <w:t>(802)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10,059</w:t>
            </w:r>
          </w:p>
        </w:tc>
        <w:tc>
          <w:tcPr>
            <w:tcW w:w="0" w:type="dxa"/>
            <w:vAlign w:val="bottom"/>
          </w:tcPr>
          <w:p>
            <w:pPr>
              <w:spacing w:after="0"/>
              <w:rPr>
                <w:sz w:val="1"/>
                <w:szCs w:val="1"/>
                <w:color w:val="auto"/>
              </w:rPr>
            </w:pPr>
          </w:p>
        </w:tc>
      </w:tr>
      <w:tr>
        <w:trPr>
          <w:trHeight w:val="184"/>
        </w:trPr>
        <w:tc>
          <w:tcPr>
            <w:tcW w:w="3600" w:type="dxa"/>
            <w:vAlign w:val="bottom"/>
            <w:tcBorders>
              <w:bottom w:val="single" w:sz="8" w:color="E0E7ED"/>
            </w:tcBorders>
          </w:tcPr>
          <w:p>
            <w:pPr>
              <w:spacing w:after="0"/>
              <w:rPr>
                <w:sz w:val="20"/>
                <w:szCs w:val="20"/>
                <w:color w:val="auto"/>
              </w:rPr>
            </w:pPr>
            <w:r>
              <w:rPr>
                <w:rFonts w:ascii="Arial" w:cs="Arial" w:eastAsia="Arial" w:hAnsi="Arial"/>
                <w:sz w:val="12"/>
                <w:szCs w:val="12"/>
                <w:b w:val="1"/>
                <w:bCs w:val="1"/>
                <w:color w:val="auto"/>
              </w:rPr>
              <w:t>Total noninterest expense (GAAP)</w:t>
            </w:r>
          </w:p>
        </w:tc>
        <w:tc>
          <w:tcPr>
            <w:tcW w:w="82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(111,398)</w:t>
            </w:r>
          </w:p>
        </w:tc>
        <w:tc>
          <w:tcPr>
            <w:tcW w:w="8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(112,635)</w:t>
            </w:r>
          </w:p>
        </w:tc>
        <w:tc>
          <w:tcPr>
            <w:tcW w:w="6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(120,018)</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(353,552)</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(359,881)</w:t>
            </w:r>
          </w:p>
        </w:tc>
        <w:tc>
          <w:tcPr>
            <w:tcW w:w="0" w:type="dxa"/>
            <w:vAlign w:val="bottom"/>
          </w:tcPr>
          <w:p>
            <w:pPr>
              <w:spacing w:after="0"/>
              <w:rPr>
                <w:sz w:val="1"/>
                <w:szCs w:val="1"/>
                <w:color w:val="auto"/>
              </w:rPr>
            </w:pPr>
          </w:p>
        </w:tc>
      </w:tr>
      <w:tr>
        <w:trPr>
          <w:trHeight w:val="183"/>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Pre-provision net revenue (Non-GAAP)</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[a]</w:t>
            </w:r>
          </w:p>
        </w:tc>
        <w:tc>
          <w:tcPr>
            <w:tcW w:w="200" w:type="dxa"/>
            <w:vAlign w:val="bottom"/>
            <w:shd w:val="clear" w:color="auto" w:fill="E0E7ED"/>
          </w:tcPr>
          <w:p>
            <w:pPr>
              <w:spacing w:after="0"/>
              <w:rPr>
                <w:sz w:val="15"/>
                <w:szCs w:val="15"/>
                <w:color w:val="auto"/>
              </w:rPr>
            </w:pP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82,852</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81,633</w:t>
            </w:r>
          </w:p>
        </w:tc>
        <w:tc>
          <w:tcPr>
            <w:tcW w:w="6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76,605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232,140</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169,513</w:t>
            </w:r>
          </w:p>
        </w:tc>
        <w:tc>
          <w:tcPr>
            <w:tcW w:w="0" w:type="dxa"/>
            <w:vAlign w:val="bottom"/>
          </w:tcPr>
          <w:p>
            <w:pPr>
              <w:spacing w:after="0"/>
              <w:rPr>
                <w:sz w:val="1"/>
                <w:szCs w:val="1"/>
                <w:color w:val="auto"/>
              </w:rPr>
            </w:pPr>
          </w:p>
        </w:tc>
      </w:tr>
      <w:tr>
        <w:trPr>
          <w:trHeight w:val="158"/>
        </w:trPr>
        <w:tc>
          <w:tcPr>
            <w:tcW w:w="3600" w:type="dxa"/>
            <w:vAlign w:val="bottom"/>
          </w:tcPr>
          <w:p>
            <w:pPr>
              <w:ind w:left="120"/>
              <w:spacing w:after="0"/>
              <w:rPr>
                <w:sz w:val="20"/>
                <w:szCs w:val="20"/>
                <w:color w:val="auto"/>
              </w:rPr>
            </w:pPr>
            <w:r>
              <w:rPr>
                <w:rFonts w:ascii="Arial" w:cs="Arial" w:eastAsia="Arial" w:hAnsi="Arial"/>
                <w:sz w:val="12"/>
                <w:szCs w:val="12"/>
                <w:color w:val="auto"/>
              </w:rPr>
              <w:t>Acquisition and restructuring (income) expenses, excluding initial</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provision expenses</w:t>
            </w:r>
          </w:p>
        </w:tc>
        <w:tc>
          <w:tcPr>
            <w:tcW w:w="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1,101</w:t>
            </w:r>
          </w:p>
        </w:tc>
        <w:tc>
          <w:tcPr>
            <w:tcW w:w="8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3,126</w:t>
            </w:r>
          </w:p>
        </w:tc>
        <w:tc>
          <w:tcPr>
            <w:tcW w:w="6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7,251</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20,927</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49,877</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pre-provision net revenue (Non-GAAP)</w:t>
            </w:r>
          </w:p>
        </w:tc>
        <w:tc>
          <w:tcPr>
            <w:tcW w:w="82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2"/>
                <w:szCs w:val="12"/>
                <w:color w:val="auto"/>
              </w:rPr>
              <w:t>[b]</w:t>
            </w:r>
          </w:p>
        </w:tc>
        <w:tc>
          <w:tcPr>
            <w:tcW w:w="200" w:type="dxa"/>
            <w:vAlign w:val="bottom"/>
            <w:tcBorders>
              <w:bottom w:val="single" w:sz="8" w:color="auto"/>
            </w:tcBorders>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83,953</w:t>
            </w:r>
          </w:p>
        </w:tc>
        <w:tc>
          <w:tcPr>
            <w:tcW w:w="8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84,759</w:t>
            </w:r>
          </w:p>
        </w:tc>
        <w:tc>
          <w:tcPr>
            <w:tcW w:w="6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83,856</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3"/>
              <w:spacing w:after="0"/>
              <w:rPr>
                <w:sz w:val="20"/>
                <w:szCs w:val="20"/>
                <w:color w:val="auto"/>
              </w:rPr>
            </w:pPr>
            <w:r>
              <w:rPr>
                <w:rFonts w:ascii="Arial" w:cs="Arial" w:eastAsia="Arial" w:hAnsi="Arial"/>
                <w:sz w:val="12"/>
                <w:szCs w:val="12"/>
                <w:color w:val="auto"/>
              </w:rPr>
              <w:t>253,067</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219,390</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E0E7ED"/>
          </w:tcPr>
          <w:p>
            <w:pPr>
              <w:spacing w:after="0"/>
              <w:rPr>
                <w:sz w:val="20"/>
                <w:szCs w:val="20"/>
                <w:color w:val="auto"/>
              </w:rPr>
            </w:pPr>
            <w:r>
              <w:rPr>
                <w:rFonts w:ascii="Arial" w:cs="Arial" w:eastAsia="Arial" w:hAnsi="Arial"/>
                <w:sz w:val="12"/>
                <w:szCs w:val="12"/>
                <w:color w:val="auto"/>
              </w:rPr>
              <w:t>Average total assets</w:t>
            </w:r>
          </w:p>
        </w:tc>
        <w:tc>
          <w:tcPr>
            <w:tcW w:w="820" w:type="dxa"/>
            <w:vAlign w:val="bottom"/>
            <w:shd w:val="clear" w:color="auto" w:fill="E0E7ED"/>
          </w:tcPr>
          <w:p>
            <w:pPr>
              <w:ind w:left="60"/>
              <w:spacing w:after="0"/>
              <w:rPr>
                <w:sz w:val="20"/>
                <w:szCs w:val="20"/>
                <w:color w:val="auto"/>
              </w:rPr>
            </w:pPr>
            <w:r>
              <w:rPr>
                <w:rFonts w:ascii="Arial" w:cs="Arial" w:eastAsia="Arial" w:hAnsi="Arial"/>
                <w:sz w:val="12"/>
                <w:szCs w:val="12"/>
                <w:color w:val="auto"/>
              </w:rPr>
              <w:t>[c]</w:t>
            </w:r>
          </w:p>
        </w:tc>
        <w:tc>
          <w:tcPr>
            <w:tcW w:w="200" w:type="dxa"/>
            <w:vAlign w:val="bottom"/>
            <w:shd w:val="clear" w:color="auto" w:fill="E0E7ED"/>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18,470,939</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17,887,097</w:t>
            </w:r>
          </w:p>
        </w:tc>
        <w:tc>
          <w:tcPr>
            <w:tcW w:w="6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18,662,449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3"/>
              <w:spacing w:after="0"/>
              <w:rPr>
                <w:sz w:val="20"/>
                <w:szCs w:val="20"/>
                <w:color w:val="auto"/>
              </w:rPr>
            </w:pPr>
            <w:r>
              <w:rPr>
                <w:rFonts w:ascii="Arial" w:cs="Arial" w:eastAsia="Arial" w:hAnsi="Arial"/>
                <w:sz w:val="12"/>
                <w:szCs w:val="12"/>
                <w:color w:val="auto"/>
              </w:rPr>
              <w:t>18,140,923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17,534,644</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shd w:val="clear" w:color="auto" w:fill="E0E7ED"/>
          </w:tcPr>
          <w:p>
            <w:pPr>
              <w:spacing w:after="0"/>
              <w:rPr>
                <w:sz w:val="20"/>
                <w:szCs w:val="20"/>
                <w:color w:val="auto"/>
              </w:rPr>
            </w:pPr>
            <w:r>
              <w:rPr>
                <w:rFonts w:ascii="Arial" w:cs="Arial" w:eastAsia="Arial" w:hAnsi="Arial"/>
                <w:sz w:val="12"/>
                <w:szCs w:val="12"/>
                <w:color w:val="auto"/>
              </w:rPr>
              <w:t>Pre-provision net revenue to average total assets (Non-GAAP)</w:t>
            </w:r>
            <w:r>
              <w:rPr>
                <w:rFonts w:ascii="Arial" w:cs="Arial" w:eastAsia="Arial" w:hAnsi="Arial"/>
                <w:sz w:val="15"/>
                <w:szCs w:val="15"/>
                <w:color w:val="auto"/>
                <w:vertAlign w:val="superscript"/>
              </w:rPr>
              <w:t>(i)</w:t>
            </w:r>
          </w:p>
        </w:tc>
        <w:tc>
          <w:tcPr>
            <w:tcW w:w="10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[a÷c]</w:t>
            </w:r>
          </w:p>
        </w:tc>
        <w:tc>
          <w:tcPr>
            <w:tcW w:w="16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1.78 %</w:t>
            </w:r>
          </w:p>
        </w:tc>
        <w:tc>
          <w:tcPr>
            <w:tcW w:w="138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1.83 %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1.63 %</w:t>
            </w:r>
          </w:p>
        </w:tc>
        <w:tc>
          <w:tcPr>
            <w:tcW w:w="14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1.71 %</w:t>
            </w:r>
          </w:p>
        </w:tc>
        <w:tc>
          <w:tcPr>
            <w:tcW w:w="9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1.29 %</w:t>
            </w:r>
          </w:p>
        </w:tc>
      </w:tr>
      <w:tr>
        <w:trPr>
          <w:trHeight w:val="157"/>
        </w:trPr>
        <w:tc>
          <w:tcPr>
            <w:tcW w:w="3540" w:type="dxa"/>
            <w:vAlign w:val="bottom"/>
          </w:tcPr>
          <w:p>
            <w:pPr>
              <w:spacing w:after="0"/>
              <w:rPr>
                <w:sz w:val="20"/>
                <w:szCs w:val="20"/>
                <w:color w:val="auto"/>
              </w:rPr>
            </w:pPr>
            <w:r>
              <w:rPr>
                <w:rFonts w:ascii="Arial" w:cs="Arial" w:eastAsia="Arial" w:hAnsi="Arial"/>
                <w:sz w:val="12"/>
                <w:szCs w:val="12"/>
                <w:color w:val="auto"/>
              </w:rPr>
              <w:t>Adjusted pre-provision net revenue to average total assets (Non-</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2"/>
                <w:szCs w:val="12"/>
                <w:color w:val="auto"/>
              </w:rPr>
              <w:t>GAAP)</w:t>
            </w:r>
            <w:r>
              <w:rPr>
                <w:rFonts w:ascii="Arial" w:cs="Arial" w:eastAsia="Arial" w:hAnsi="Arial"/>
                <w:sz w:val="15"/>
                <w:szCs w:val="15"/>
                <w:color w:val="auto"/>
                <w:vertAlign w:val="superscript"/>
              </w:rPr>
              <w:t>(i)</w:t>
            </w:r>
          </w:p>
        </w:tc>
        <w:tc>
          <w:tcPr>
            <w:tcW w:w="1080" w:type="dxa"/>
            <w:vAlign w:val="bottom"/>
          </w:tcPr>
          <w:p>
            <w:pPr>
              <w:ind w:left="120"/>
              <w:spacing w:after="0"/>
              <w:rPr>
                <w:sz w:val="20"/>
                <w:szCs w:val="20"/>
                <w:color w:val="auto"/>
              </w:rPr>
            </w:pPr>
            <w:r>
              <w:rPr>
                <w:rFonts w:ascii="Arial" w:cs="Arial" w:eastAsia="Arial" w:hAnsi="Arial"/>
                <w:sz w:val="12"/>
                <w:szCs w:val="12"/>
                <w:color w:val="auto"/>
              </w:rPr>
              <w:t>[b÷c]</w:t>
            </w:r>
          </w:p>
        </w:tc>
        <w:tc>
          <w:tcPr>
            <w:tcW w:w="1600" w:type="dxa"/>
            <w:vAlign w:val="bottom"/>
          </w:tcPr>
          <w:p>
            <w:pPr>
              <w:jc w:val="right"/>
              <w:ind w:right="440"/>
              <w:spacing w:after="0"/>
              <w:rPr>
                <w:sz w:val="20"/>
                <w:szCs w:val="20"/>
                <w:color w:val="auto"/>
              </w:rPr>
            </w:pPr>
            <w:r>
              <w:rPr>
                <w:rFonts w:ascii="Arial" w:cs="Arial" w:eastAsia="Arial" w:hAnsi="Arial"/>
                <w:sz w:val="12"/>
                <w:szCs w:val="12"/>
                <w:color w:val="auto"/>
              </w:rPr>
              <w:t>1.80 %</w:t>
            </w:r>
          </w:p>
        </w:tc>
        <w:tc>
          <w:tcPr>
            <w:tcW w:w="1380" w:type="dxa"/>
            <w:vAlign w:val="bottom"/>
          </w:tcPr>
          <w:p>
            <w:pPr>
              <w:jc w:val="right"/>
              <w:ind w:right="440"/>
              <w:spacing w:after="0"/>
              <w:rPr>
                <w:sz w:val="20"/>
                <w:szCs w:val="20"/>
                <w:color w:val="auto"/>
              </w:rPr>
            </w:pPr>
            <w:r>
              <w:rPr>
                <w:rFonts w:ascii="Arial" w:cs="Arial" w:eastAsia="Arial" w:hAnsi="Arial"/>
                <w:sz w:val="12"/>
                <w:szCs w:val="12"/>
                <w:color w:val="auto"/>
              </w:rPr>
              <w:t>1.90 %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1.78 %</w:t>
            </w:r>
          </w:p>
        </w:tc>
        <w:tc>
          <w:tcPr>
            <w:tcW w:w="1400" w:type="dxa"/>
            <w:vAlign w:val="bottom"/>
          </w:tcPr>
          <w:p>
            <w:pPr>
              <w:jc w:val="right"/>
              <w:ind w:right="460"/>
              <w:spacing w:after="0"/>
              <w:rPr>
                <w:sz w:val="20"/>
                <w:szCs w:val="20"/>
                <w:color w:val="auto"/>
              </w:rPr>
            </w:pPr>
            <w:r>
              <w:rPr>
                <w:rFonts w:ascii="Arial" w:cs="Arial" w:eastAsia="Arial" w:hAnsi="Arial"/>
                <w:sz w:val="12"/>
                <w:szCs w:val="12"/>
                <w:color w:val="auto"/>
              </w:rPr>
              <w:t>1.87 %</w:t>
            </w:r>
          </w:p>
        </w:tc>
        <w:tc>
          <w:tcPr>
            <w:tcW w:w="900" w:type="dxa"/>
            <w:vAlign w:val="bottom"/>
          </w:tcPr>
          <w:p>
            <w:pPr>
              <w:jc w:val="right"/>
              <w:spacing w:after="0"/>
              <w:rPr>
                <w:sz w:val="20"/>
                <w:szCs w:val="20"/>
                <w:color w:val="auto"/>
              </w:rPr>
            </w:pPr>
            <w:r>
              <w:rPr>
                <w:rFonts w:ascii="Arial" w:cs="Arial" w:eastAsia="Arial" w:hAnsi="Arial"/>
                <w:sz w:val="12"/>
                <w:szCs w:val="12"/>
                <w:color w:val="auto"/>
              </w:rPr>
              <w:t>1.67 %</w:t>
            </w:r>
          </w:p>
        </w:tc>
      </w:tr>
    </w:tbl>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0"/>
          <w:szCs w:val="10"/>
          <w:color w:val="auto"/>
        </w:rPr>
        <w:t>(i)</w:t>
        <w:tab/>
        <w:t>Annualized measure.</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15</w:t>
      </w:r>
    </w:p>
    <w:p>
      <w:pPr>
        <w:sectPr>
          <w:pgSz w:w="11900" w:h="16838" w:orient="portrait"/>
          <w:cols w:equalWidth="0" w:num="1">
            <w:col w:w="11300"/>
          </w:cols>
          <w:pgMar w:left="300" w:top="910" w:right="29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Calculation of Efficiency Ratio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7"/>
        </w:trPr>
        <w:tc>
          <w:tcPr>
            <w:tcW w:w="36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8"/>
                <w:szCs w:val="8"/>
                <w:color w:val="auto"/>
              </w:rPr>
            </w:pPr>
          </w:p>
        </w:tc>
        <w:tc>
          <w:tcPr>
            <w:tcW w:w="1240" w:type="dxa"/>
            <w:vAlign w:val="bottom"/>
            <w:gridSpan w:val="2"/>
          </w:tcPr>
          <w:p>
            <w:pPr>
              <w:jc w:val="center"/>
              <w:ind w:right="200"/>
              <w:spacing w:after="0" w:line="97" w:lineRule="exact"/>
              <w:rPr>
                <w:sz w:val="20"/>
                <w:szCs w:val="20"/>
                <w:color w:val="auto"/>
              </w:rPr>
            </w:pPr>
            <w:r>
              <w:rPr>
                <w:rFonts w:ascii="Arial" w:cs="Arial" w:eastAsia="Arial" w:hAnsi="Arial"/>
                <w:sz w:val="10"/>
                <w:szCs w:val="10"/>
                <w:b w:val="1"/>
                <w:bCs w:val="1"/>
                <w:color w:val="auto"/>
                <w:w w:val="99"/>
              </w:rPr>
              <w:t>June 30,</w:t>
            </w:r>
          </w:p>
        </w:tc>
        <w:tc>
          <w:tcPr>
            <w:tcW w:w="220" w:type="dxa"/>
            <w:vAlign w:val="bottom"/>
          </w:tcPr>
          <w:p>
            <w:pPr>
              <w:spacing w:after="0"/>
              <w:rPr>
                <w:sz w:val="8"/>
                <w:szCs w:val="8"/>
                <w:color w:val="auto"/>
              </w:rPr>
            </w:pPr>
          </w:p>
        </w:tc>
        <w:tc>
          <w:tcPr>
            <w:tcW w:w="118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80" w:type="dxa"/>
            <w:vAlign w:val="bottom"/>
            <w:gridSpan w:val="2"/>
          </w:tcPr>
          <w:p>
            <w:pPr>
              <w:ind w:left="120"/>
              <w:spacing w:after="0" w:line="97" w:lineRule="exact"/>
              <w:rPr>
                <w:sz w:val="20"/>
                <w:szCs w:val="20"/>
                <w:color w:val="auto"/>
              </w:rPr>
            </w:pPr>
            <w:r>
              <w:rPr>
                <w:rFonts w:ascii="Arial" w:cs="Arial" w:eastAsia="Arial" w:hAnsi="Arial"/>
                <w:sz w:val="10"/>
                <w:szCs w:val="10"/>
                <w:b w:val="1"/>
                <w:bCs w:val="1"/>
                <w:color w:val="auto"/>
              </w:rPr>
              <w:t>September 30,</w:t>
            </w:r>
          </w:p>
        </w:tc>
        <w:tc>
          <w:tcPr>
            <w:tcW w:w="200" w:type="dxa"/>
            <w:vAlign w:val="bottom"/>
          </w:tcPr>
          <w:p>
            <w:pPr>
              <w:spacing w:after="0"/>
              <w:rPr>
                <w:sz w:val="8"/>
                <w:szCs w:val="8"/>
                <w:color w:val="auto"/>
              </w:rPr>
            </w:pPr>
          </w:p>
        </w:tc>
        <w:tc>
          <w:tcPr>
            <w:tcW w:w="1120" w:type="dxa"/>
            <w:vAlign w:val="bottom"/>
          </w:tcPr>
          <w:p>
            <w:pPr>
              <w:jc w:val="right"/>
              <w:ind w:right="281"/>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3620" w:type="dxa"/>
            <w:vAlign w:val="bottom"/>
            <w:tcBorders>
              <w:bottom w:val="single" w:sz="8" w:color="E0E7ED"/>
            </w:tcBorders>
            <w:vMerge w:val="continue"/>
          </w:tcPr>
          <w:p>
            <w:pPr>
              <w:spacing w:after="0"/>
              <w:rPr>
                <w:sz w:val="10"/>
                <w:szCs w:val="10"/>
                <w:color w:val="auto"/>
              </w:rPr>
            </w:pPr>
          </w:p>
        </w:tc>
        <w:tc>
          <w:tcPr>
            <w:tcW w:w="82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2026</w:t>
            </w:r>
          </w:p>
        </w:tc>
        <w:tc>
          <w:tcPr>
            <w:tcW w:w="60" w:type="dxa"/>
            <w:vAlign w:val="bottom"/>
            <w:tcBorders>
              <w:bottom w:val="single" w:sz="8" w:color="E0E7ED"/>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9"/>
              </w:rPr>
              <w:t>2026</w:t>
            </w:r>
          </w:p>
        </w:tc>
        <w:tc>
          <w:tcPr>
            <w:tcW w:w="6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36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820" w:type="dxa"/>
            <w:vAlign w:val="bottom"/>
            <w:shd w:val="clear" w:color="auto" w:fill="E0E7ED"/>
          </w:tcPr>
          <w:p>
            <w:pPr>
              <w:ind w:left="80"/>
              <w:spacing w:after="0"/>
              <w:rPr>
                <w:sz w:val="20"/>
                <w:szCs w:val="20"/>
                <w:color w:val="auto"/>
              </w:rPr>
            </w:pPr>
            <w:r>
              <w:rPr>
                <w:rFonts w:ascii="Arial" w:cs="Arial" w:eastAsia="Arial" w:hAnsi="Arial"/>
                <w:sz w:val="12"/>
                <w:szCs w:val="12"/>
                <w:color w:val="auto"/>
              </w:rPr>
              <w:t>[a]</w:t>
            </w: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153,145</w:t>
            </w:r>
          </w:p>
        </w:tc>
        <w:tc>
          <w:tcPr>
            <w:tcW w:w="60" w:type="dxa"/>
            <w:vAlign w:val="bottom"/>
            <w:shd w:val="clear" w:color="auto" w:fill="E0E7ED"/>
          </w:tcPr>
          <w:p>
            <w:pPr>
              <w:spacing w:after="0"/>
              <w:rPr>
                <w:sz w:val="15"/>
                <w:szCs w:val="15"/>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152,402</w:t>
            </w:r>
          </w:p>
        </w:tc>
        <w:tc>
          <w:tcPr>
            <w:tcW w:w="6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155,137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459,516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412,051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(i)</w:t>
            </w:r>
          </w:p>
        </w:tc>
        <w:tc>
          <w:tcPr>
            <w:tcW w:w="82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851</w:t>
            </w:r>
          </w:p>
        </w:tc>
        <w:tc>
          <w:tcPr>
            <w:tcW w:w="6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841</w:t>
            </w:r>
          </w:p>
        </w:tc>
        <w:tc>
          <w:tcPr>
            <w:tcW w:w="6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788</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2,569</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2,116</w:t>
            </w:r>
          </w:p>
        </w:tc>
        <w:tc>
          <w:tcPr>
            <w:tcW w:w="0" w:type="dxa"/>
            <w:vAlign w:val="bottom"/>
          </w:tcPr>
          <w:p>
            <w:pPr>
              <w:spacing w:after="0"/>
              <w:rPr>
                <w:sz w:val="1"/>
                <w:szCs w:val="1"/>
                <w:color w:val="auto"/>
              </w:rPr>
            </w:pPr>
          </w:p>
        </w:tc>
      </w:tr>
      <w:tr>
        <w:trPr>
          <w:trHeight w:val="170"/>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Tax-equivalent net interest income (Non-GAAP)</w:t>
            </w:r>
          </w:p>
        </w:tc>
        <w:tc>
          <w:tcPr>
            <w:tcW w:w="820" w:type="dxa"/>
            <w:vAlign w:val="bottom"/>
            <w:shd w:val="clear" w:color="auto" w:fill="E0E7ED"/>
          </w:tcPr>
          <w:p>
            <w:pPr>
              <w:ind w:left="80"/>
              <w:spacing w:after="0"/>
              <w:rPr>
                <w:sz w:val="20"/>
                <w:szCs w:val="20"/>
                <w:color w:val="auto"/>
              </w:rPr>
            </w:pPr>
            <w:r>
              <w:rPr>
                <w:rFonts w:ascii="Arial" w:cs="Arial" w:eastAsia="Arial" w:hAnsi="Arial"/>
                <w:sz w:val="12"/>
                <w:szCs w:val="12"/>
                <w:color w:val="auto"/>
              </w:rPr>
              <w:t>[b]</w:t>
            </w:r>
          </w:p>
        </w:tc>
        <w:tc>
          <w:tcPr>
            <w:tcW w:w="200" w:type="dxa"/>
            <w:vAlign w:val="bottom"/>
            <w:tcBorders>
              <w:bottom w:val="single" w:sz="8" w:color="auto"/>
            </w:tcBorders>
            <w:shd w:val="clear" w:color="auto" w:fill="E0E7ED"/>
          </w:tcPr>
          <w:p>
            <w:pPr>
              <w:spacing w:after="0"/>
              <w:rPr>
                <w:sz w:val="14"/>
                <w:szCs w:val="14"/>
                <w:color w:val="auto"/>
              </w:rPr>
            </w:pPr>
          </w:p>
        </w:tc>
        <w:tc>
          <w:tcPr>
            <w:tcW w:w="11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153,996</w:t>
            </w:r>
          </w:p>
        </w:tc>
        <w:tc>
          <w:tcPr>
            <w:tcW w:w="60" w:type="dxa"/>
            <w:vAlign w:val="bottom"/>
            <w:shd w:val="clear" w:color="auto" w:fill="E0E7ED"/>
          </w:tcPr>
          <w:p>
            <w:pPr>
              <w:spacing w:after="0"/>
              <w:rPr>
                <w:sz w:val="14"/>
                <w:szCs w:val="14"/>
                <w:color w:val="auto"/>
              </w:rPr>
            </w:pPr>
          </w:p>
        </w:tc>
        <w:tc>
          <w:tcPr>
            <w:tcW w:w="140" w:type="dxa"/>
            <w:vAlign w:val="bottom"/>
            <w:tcBorders>
              <w:bottom w:val="single" w:sz="8" w:color="auto"/>
            </w:tcBorders>
            <w:shd w:val="clear" w:color="auto" w:fill="E0E7ED"/>
          </w:tcPr>
          <w:p>
            <w:pPr>
              <w:spacing w:after="0"/>
              <w:rPr>
                <w:sz w:val="14"/>
                <w:szCs w:val="14"/>
                <w:color w:val="auto"/>
              </w:rPr>
            </w:pPr>
          </w:p>
        </w:tc>
        <w:tc>
          <w:tcPr>
            <w:tcW w:w="11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153,243</w:t>
            </w:r>
          </w:p>
        </w:tc>
        <w:tc>
          <w:tcPr>
            <w:tcW w:w="60" w:type="dxa"/>
            <w:vAlign w:val="bottom"/>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spacing w:after="0"/>
              <w:rPr>
                <w:sz w:val="14"/>
                <w:szCs w:val="14"/>
                <w:color w:val="auto"/>
              </w:rPr>
            </w:pPr>
          </w:p>
        </w:tc>
        <w:tc>
          <w:tcPr>
            <w:tcW w:w="110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155,925</w:t>
            </w:r>
          </w:p>
        </w:tc>
        <w:tc>
          <w:tcPr>
            <w:tcW w:w="8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10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462,085</w:t>
            </w:r>
          </w:p>
        </w:tc>
        <w:tc>
          <w:tcPr>
            <w:tcW w:w="8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1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414,167</w:t>
            </w: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noninterest income (GAAP)</w:t>
            </w:r>
          </w:p>
        </w:tc>
        <w:tc>
          <w:tcPr>
            <w:tcW w:w="82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40,402</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44,311</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41,198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126,978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107,284</w:t>
            </w:r>
          </w:p>
        </w:tc>
        <w:tc>
          <w:tcPr>
            <w:tcW w:w="0" w:type="dxa"/>
            <w:vAlign w:val="bottom"/>
          </w:tcPr>
          <w:p>
            <w:pPr>
              <w:spacing w:after="0"/>
              <w:rPr>
                <w:sz w:val="1"/>
                <w:szCs w:val="1"/>
                <w:color w:val="auto"/>
              </w:rPr>
            </w:pPr>
          </w:p>
        </w:tc>
      </w:tr>
      <w:tr>
        <w:trPr>
          <w:trHeight w:val="181"/>
        </w:trPr>
        <w:tc>
          <w:tcPr>
            <w:tcW w:w="3620" w:type="dxa"/>
            <w:vAlign w:val="bottom"/>
          </w:tcPr>
          <w:p>
            <w:pPr>
              <w:ind w:left="120"/>
              <w:spacing w:after="0"/>
              <w:rPr>
                <w:sz w:val="20"/>
                <w:szCs w:val="20"/>
                <w:color w:val="auto"/>
              </w:rPr>
            </w:pPr>
            <w:r>
              <w:rPr>
                <w:rFonts w:ascii="Arial" w:cs="Arial" w:eastAsia="Arial" w:hAnsi="Arial"/>
                <w:sz w:val="12"/>
                <w:szCs w:val="12"/>
                <w:color w:val="auto"/>
              </w:rPr>
              <w:t>Net security (gains) losses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703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(2,445)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(802)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10,059</w:t>
            </w:r>
          </w:p>
        </w:tc>
        <w:tc>
          <w:tcPr>
            <w:tcW w:w="0" w:type="dxa"/>
            <w:vAlign w:val="bottom"/>
          </w:tcPr>
          <w:p>
            <w:pPr>
              <w:spacing w:after="0"/>
              <w:rPr>
                <w:sz w:val="1"/>
                <w:szCs w:val="1"/>
                <w:color w:val="auto"/>
              </w:rPr>
            </w:pPr>
          </w:p>
        </w:tc>
      </w:tr>
      <w:tr>
        <w:trPr>
          <w:trHeight w:val="189"/>
        </w:trPr>
        <w:tc>
          <w:tcPr>
            <w:tcW w:w="36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Acquisition and restructuring (gain) loss</w:t>
            </w:r>
          </w:p>
        </w:tc>
        <w:tc>
          <w:tcPr>
            <w:tcW w:w="82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E0E7ED"/>
          </w:tcPr>
          <w:p>
            <w:pPr>
              <w:spacing w:after="0"/>
              <w:rPr>
                <w:sz w:val="16"/>
                <w:szCs w:val="16"/>
                <w:color w:val="auto"/>
              </w:rPr>
            </w:pPr>
          </w:p>
        </w:tc>
        <w:tc>
          <w:tcPr>
            <w:tcW w:w="124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02"/>
        </w:trPr>
        <w:tc>
          <w:tcPr>
            <w:tcW w:w="36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Adjusted noninterest income (Non-GAAP)</w:t>
            </w:r>
          </w:p>
        </w:tc>
        <w:tc>
          <w:tcPr>
            <w:tcW w:w="820" w:type="dxa"/>
            <w:vAlign w:val="bottom"/>
            <w:tcBorders>
              <w:bottom w:val="single" w:sz="8" w:color="E0E7ED"/>
            </w:tcBorders>
          </w:tcPr>
          <w:p>
            <w:pPr>
              <w:ind w:left="80"/>
              <w:spacing w:after="0"/>
              <w:rPr>
                <w:sz w:val="20"/>
                <w:szCs w:val="20"/>
                <w:color w:val="auto"/>
              </w:rPr>
            </w:pPr>
            <w:r>
              <w:rPr>
                <w:rFonts w:ascii="Arial" w:cs="Arial" w:eastAsia="Arial" w:hAnsi="Arial"/>
                <w:sz w:val="12"/>
                <w:szCs w:val="12"/>
                <w:color w:val="auto"/>
              </w:rPr>
              <w:t>[c]</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41,105</w:t>
            </w:r>
          </w:p>
        </w:tc>
        <w:tc>
          <w:tcPr>
            <w:tcW w:w="60" w:type="dxa"/>
            <w:vAlign w:val="bottom"/>
            <w:tcBorders>
              <w:bottom w:val="single" w:sz="8" w:color="E0E7ED"/>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41,866</w:t>
            </w:r>
          </w:p>
        </w:tc>
        <w:tc>
          <w:tcPr>
            <w:tcW w:w="60" w:type="dxa"/>
            <w:vAlign w:val="bottom"/>
            <w:tcBorders>
              <w:bottom w:val="single" w:sz="8" w:color="E0E7ED"/>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41,530</w:t>
            </w:r>
          </w:p>
        </w:tc>
        <w:tc>
          <w:tcPr>
            <w:tcW w:w="80" w:type="dxa"/>
            <w:vAlign w:val="bottom"/>
            <w:tcBorders>
              <w:bottom w:val="single" w:sz="8" w:color="E0E7ED"/>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126,176</w:t>
            </w:r>
          </w:p>
        </w:tc>
        <w:tc>
          <w:tcPr>
            <w:tcW w:w="80" w:type="dxa"/>
            <w:vAlign w:val="bottom"/>
            <w:tcBorders>
              <w:bottom w:val="single" w:sz="8" w:color="E0E7ED"/>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117,387</w:t>
            </w:r>
          </w:p>
        </w:tc>
        <w:tc>
          <w:tcPr>
            <w:tcW w:w="0" w:type="dxa"/>
            <w:vAlign w:val="bottom"/>
          </w:tcPr>
          <w:p>
            <w:pPr>
              <w:spacing w:after="0"/>
              <w:rPr>
                <w:sz w:val="1"/>
                <w:szCs w:val="1"/>
                <w:color w:val="auto"/>
              </w:rPr>
            </w:pPr>
          </w:p>
        </w:tc>
      </w:tr>
      <w:tr>
        <w:trPr>
          <w:trHeight w:val="162"/>
        </w:trPr>
        <w:tc>
          <w:tcPr>
            <w:tcW w:w="3620" w:type="dxa"/>
            <w:vAlign w:val="bottom"/>
            <w:shd w:val="clear" w:color="auto" w:fill="E0E7ED"/>
          </w:tcPr>
          <w:p>
            <w:pPr>
              <w:spacing w:after="0"/>
              <w:rPr>
                <w:sz w:val="14"/>
                <w:szCs w:val="14"/>
                <w:color w:val="auto"/>
              </w:rPr>
            </w:pPr>
          </w:p>
        </w:tc>
        <w:tc>
          <w:tcPr>
            <w:tcW w:w="82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20"/>
                <w:szCs w:val="20"/>
                <w:color w:val="auto"/>
              </w:rPr>
            </w:pPr>
            <w:r>
              <w:rPr>
                <w:rFonts w:ascii="Arial" w:cs="Arial" w:eastAsia="Arial" w:hAnsi="Arial"/>
                <w:sz w:val="12"/>
                <w:szCs w:val="12"/>
                <w:color w:val="auto"/>
              </w:rPr>
              <w:t>Operating revenue (Non-GAAP)</w:t>
            </w:r>
          </w:p>
        </w:tc>
        <w:tc>
          <w:tcPr>
            <w:tcW w:w="820" w:type="dxa"/>
            <w:vAlign w:val="bottom"/>
          </w:tcPr>
          <w:p>
            <w:pPr>
              <w:ind w:left="80"/>
              <w:spacing w:after="0"/>
              <w:rPr>
                <w:sz w:val="20"/>
                <w:szCs w:val="20"/>
                <w:color w:val="auto"/>
              </w:rPr>
            </w:pPr>
            <w:r>
              <w:rPr>
                <w:rFonts w:ascii="Arial" w:cs="Arial" w:eastAsia="Arial" w:hAnsi="Arial"/>
                <w:sz w:val="12"/>
                <w:szCs w:val="12"/>
                <w:color w:val="auto"/>
              </w:rPr>
              <w:t>[d = a+c]</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194,250</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194,268</w:t>
            </w:r>
          </w:p>
        </w:tc>
        <w:tc>
          <w:tcPr>
            <w:tcW w:w="6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196,667</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585,692</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529,438</w:t>
            </w:r>
          </w:p>
        </w:tc>
        <w:tc>
          <w:tcPr>
            <w:tcW w:w="0" w:type="dxa"/>
            <w:vAlign w:val="bottom"/>
          </w:tcPr>
          <w:p>
            <w:pPr>
              <w:spacing w:after="0"/>
              <w:rPr>
                <w:sz w:val="1"/>
                <w:szCs w:val="1"/>
                <w:color w:val="auto"/>
              </w:rPr>
            </w:pPr>
          </w:p>
        </w:tc>
      </w:tr>
      <w:tr>
        <w:trPr>
          <w:trHeight w:val="197"/>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Tax-equivalent operating revenue (Non-GAAP)</w:t>
            </w:r>
            <w:r>
              <w:rPr>
                <w:rFonts w:ascii="Arial" w:cs="Arial" w:eastAsia="Arial" w:hAnsi="Arial"/>
                <w:sz w:val="15"/>
                <w:szCs w:val="15"/>
                <w:color w:val="auto"/>
                <w:vertAlign w:val="superscript"/>
              </w:rPr>
              <w:t>(ii)</w:t>
            </w:r>
          </w:p>
        </w:tc>
        <w:tc>
          <w:tcPr>
            <w:tcW w:w="820" w:type="dxa"/>
            <w:vAlign w:val="bottom"/>
            <w:shd w:val="clear" w:color="auto" w:fill="E0E7ED"/>
          </w:tcPr>
          <w:p>
            <w:pPr>
              <w:ind w:left="80"/>
              <w:spacing w:after="0"/>
              <w:rPr>
                <w:sz w:val="20"/>
                <w:szCs w:val="20"/>
                <w:color w:val="auto"/>
              </w:rPr>
            </w:pPr>
            <w:r>
              <w:rPr>
                <w:rFonts w:ascii="Arial" w:cs="Arial" w:eastAsia="Arial" w:hAnsi="Arial"/>
                <w:sz w:val="12"/>
                <w:szCs w:val="12"/>
                <w:color w:val="auto"/>
              </w:rPr>
              <w:t>[e = b+c]</w:t>
            </w:r>
          </w:p>
        </w:tc>
        <w:tc>
          <w:tcPr>
            <w:tcW w:w="20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195,101</w:t>
            </w:r>
          </w:p>
        </w:tc>
        <w:tc>
          <w:tcPr>
            <w:tcW w:w="6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195,109</w:t>
            </w:r>
          </w:p>
        </w:tc>
        <w:tc>
          <w:tcPr>
            <w:tcW w:w="60" w:type="dxa"/>
            <w:vAlign w:val="bottom"/>
            <w:shd w:val="clear" w:color="auto" w:fill="E0E7ED"/>
          </w:tcPr>
          <w:p>
            <w:pPr>
              <w:spacing w:after="0"/>
              <w:rPr>
                <w:sz w:val="17"/>
                <w:szCs w:val="17"/>
                <w:color w:val="auto"/>
              </w:rPr>
            </w:pPr>
          </w:p>
        </w:tc>
        <w:tc>
          <w:tcPr>
            <w:tcW w:w="220" w:type="dxa"/>
            <w:vAlign w:val="bottom"/>
            <w:shd w:val="clear" w:color="auto" w:fill="E0E7ED"/>
          </w:tcPr>
          <w:p>
            <w:pPr>
              <w:spacing w:after="0"/>
              <w:rPr>
                <w:sz w:val="17"/>
                <w:szCs w:val="17"/>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197,455</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588,261</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531,554</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Adjusted noninterest income to operating revenue (Non-GAAP)</w:t>
            </w:r>
          </w:p>
        </w:tc>
        <w:tc>
          <w:tcPr>
            <w:tcW w:w="820" w:type="dxa"/>
            <w:vAlign w:val="bottom"/>
            <w:shd w:val="clear" w:color="auto" w:fill="E0E7ED"/>
          </w:tcPr>
          <w:p>
            <w:pPr>
              <w:ind w:left="80"/>
              <w:spacing w:after="0"/>
              <w:rPr>
                <w:sz w:val="20"/>
                <w:szCs w:val="20"/>
                <w:color w:val="auto"/>
              </w:rPr>
            </w:pPr>
            <w:r>
              <w:rPr>
                <w:rFonts w:ascii="Arial" w:cs="Arial" w:eastAsia="Arial" w:hAnsi="Arial"/>
                <w:sz w:val="12"/>
                <w:szCs w:val="12"/>
                <w:color w:val="auto"/>
              </w:rPr>
              <w:t>[c÷d]</w:t>
            </w: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21.16 %</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21.55 %</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21.12 %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21.54 %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22.17 %</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noninterest expense (GAAP)</w:t>
            </w:r>
          </w:p>
        </w:tc>
        <w:tc>
          <w:tcPr>
            <w:tcW w:w="82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111,398</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112,635</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120,018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353,552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359,881</w:t>
            </w:r>
          </w:p>
        </w:tc>
        <w:tc>
          <w:tcPr>
            <w:tcW w:w="0" w:type="dxa"/>
            <w:vAlign w:val="bottom"/>
          </w:tcPr>
          <w:p>
            <w:pPr>
              <w:spacing w:after="0"/>
              <w:rPr>
                <w:sz w:val="1"/>
                <w:szCs w:val="1"/>
                <w:color w:val="auto"/>
              </w:rPr>
            </w:pPr>
          </w:p>
        </w:tc>
      </w:tr>
      <w:tr>
        <w:trPr>
          <w:trHeight w:val="158"/>
        </w:trPr>
        <w:tc>
          <w:tcPr>
            <w:tcW w:w="3620" w:type="dxa"/>
            <w:vAlign w:val="bottom"/>
          </w:tcPr>
          <w:p>
            <w:pPr>
              <w:ind w:left="120"/>
              <w:spacing w:after="0"/>
              <w:rPr>
                <w:sz w:val="20"/>
                <w:szCs w:val="20"/>
                <w:color w:val="auto"/>
              </w:rPr>
            </w:pPr>
            <w:r>
              <w:rPr>
                <w:rFonts w:ascii="Arial" w:cs="Arial" w:eastAsia="Arial" w:hAnsi="Arial"/>
                <w:sz w:val="12"/>
                <w:szCs w:val="12"/>
                <w:color w:val="auto"/>
              </w:rPr>
              <w:t>Acquisition and restructuring expenses, excluding initial provision</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expenses</w:t>
            </w:r>
          </w:p>
        </w:tc>
        <w:tc>
          <w:tcPr>
            <w:tcW w:w="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(1,101)</w:t>
            </w:r>
          </w:p>
        </w:tc>
        <w:tc>
          <w:tcPr>
            <w:tcW w:w="6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(3,126)</w:t>
            </w:r>
          </w:p>
        </w:tc>
        <w:tc>
          <w:tcPr>
            <w:tcW w:w="6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(7,207)</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(20,927)</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(49,833)</w:t>
            </w:r>
          </w:p>
        </w:tc>
        <w:tc>
          <w:tcPr>
            <w:tcW w:w="0" w:type="dxa"/>
            <w:vAlign w:val="bottom"/>
          </w:tcPr>
          <w:p>
            <w:pPr>
              <w:spacing w:after="0"/>
              <w:rPr>
                <w:sz w:val="1"/>
                <w:szCs w:val="1"/>
                <w:color w:val="auto"/>
              </w:rPr>
            </w:pPr>
          </w:p>
        </w:tc>
      </w:tr>
      <w:tr>
        <w:trPr>
          <w:trHeight w:val="186"/>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Adjusted noninterest expense (Non-GAAP)</w:t>
            </w:r>
            <w:r>
              <w:rPr>
                <w:rFonts w:ascii="Arial" w:cs="Arial" w:eastAsia="Arial" w:hAnsi="Arial"/>
                <w:sz w:val="15"/>
                <w:szCs w:val="15"/>
                <w:color w:val="auto"/>
                <w:vertAlign w:val="superscript"/>
              </w:rPr>
              <w:t>(iii)</w:t>
            </w:r>
          </w:p>
        </w:tc>
        <w:tc>
          <w:tcPr>
            <w:tcW w:w="82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110,297</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109,509</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112,811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332,625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310,048</w:t>
            </w:r>
          </w:p>
        </w:tc>
        <w:tc>
          <w:tcPr>
            <w:tcW w:w="0" w:type="dxa"/>
            <w:vAlign w:val="bottom"/>
          </w:tcPr>
          <w:p>
            <w:pPr>
              <w:spacing w:after="0"/>
              <w:rPr>
                <w:sz w:val="1"/>
                <w:szCs w:val="1"/>
                <w:color w:val="auto"/>
              </w:rPr>
            </w:pPr>
          </w:p>
        </w:tc>
      </w:tr>
      <w:tr>
        <w:trPr>
          <w:trHeight w:val="181"/>
        </w:trPr>
        <w:tc>
          <w:tcPr>
            <w:tcW w:w="36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Amortization of intangible assets</w:t>
            </w:r>
          </w:p>
        </w:tc>
        <w:tc>
          <w:tcPr>
            <w:tcW w:w="82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(4,151)</w:t>
            </w:r>
          </w:p>
        </w:tc>
        <w:tc>
          <w:tcPr>
            <w:tcW w:w="6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(4,232)</w:t>
            </w:r>
          </w:p>
        </w:tc>
        <w:tc>
          <w:tcPr>
            <w:tcW w:w="6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(4,507)</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(12,674)</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(12,182)</w:t>
            </w:r>
          </w:p>
        </w:tc>
        <w:tc>
          <w:tcPr>
            <w:tcW w:w="0" w:type="dxa"/>
            <w:vAlign w:val="bottom"/>
          </w:tcPr>
          <w:p>
            <w:pPr>
              <w:spacing w:after="0"/>
              <w:rPr>
                <w:sz w:val="1"/>
                <w:szCs w:val="1"/>
                <w:color w:val="auto"/>
              </w:rPr>
            </w:pPr>
          </w:p>
        </w:tc>
      </w:tr>
      <w:tr>
        <w:trPr>
          <w:trHeight w:val="145"/>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Adjusted noninterest expense excluding amortization of intangible</w:t>
            </w:r>
          </w:p>
        </w:tc>
        <w:tc>
          <w:tcPr>
            <w:tcW w:w="820" w:type="dxa"/>
            <w:vAlign w:val="bottom"/>
            <w:vMerge w:val="restart"/>
            <w:shd w:val="clear" w:color="auto" w:fill="E0E7ED"/>
          </w:tcPr>
          <w:p>
            <w:pPr>
              <w:ind w:left="80"/>
              <w:spacing w:after="0"/>
              <w:rPr>
                <w:sz w:val="20"/>
                <w:szCs w:val="20"/>
                <w:color w:val="auto"/>
              </w:rPr>
            </w:pPr>
            <w:r>
              <w:rPr>
                <w:rFonts w:ascii="Arial" w:cs="Arial" w:eastAsia="Arial" w:hAnsi="Arial"/>
                <w:sz w:val="12"/>
                <w:szCs w:val="12"/>
                <w:color w:val="auto"/>
              </w:rPr>
              <w:t>[f]</w:t>
            </w:r>
          </w:p>
        </w:tc>
        <w:tc>
          <w:tcPr>
            <w:tcW w:w="200" w:type="dxa"/>
            <w:vAlign w:val="bottom"/>
            <w:vMerge w:val="restart"/>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106,146</w:t>
            </w:r>
          </w:p>
        </w:tc>
        <w:tc>
          <w:tcPr>
            <w:tcW w:w="60" w:type="dxa"/>
            <w:vAlign w:val="bottom"/>
            <w:shd w:val="clear" w:color="auto" w:fill="E0E7ED"/>
          </w:tcPr>
          <w:p>
            <w:pPr>
              <w:spacing w:after="0"/>
              <w:rPr>
                <w:sz w:val="12"/>
                <w:szCs w:val="12"/>
                <w:color w:val="auto"/>
              </w:rPr>
            </w:pPr>
          </w:p>
        </w:tc>
        <w:tc>
          <w:tcPr>
            <w:tcW w:w="14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vMerge w:val="restart"/>
            <w:shd w:val="clear" w:color="auto" w:fill="E0E7ED"/>
          </w:tcPr>
          <w:p>
            <w:pPr>
              <w:jc w:val="right"/>
              <w:ind w:right="102"/>
              <w:spacing w:after="0"/>
              <w:rPr>
                <w:sz w:val="20"/>
                <w:szCs w:val="20"/>
                <w:color w:val="auto"/>
              </w:rPr>
            </w:pPr>
            <w:r>
              <w:rPr>
                <w:rFonts w:ascii="Arial" w:cs="Arial" w:eastAsia="Arial" w:hAnsi="Arial"/>
                <w:sz w:val="12"/>
                <w:szCs w:val="12"/>
                <w:color w:val="auto"/>
              </w:rPr>
              <w:t>105,277</w:t>
            </w:r>
          </w:p>
        </w:tc>
        <w:tc>
          <w:tcPr>
            <w:tcW w:w="60" w:type="dxa"/>
            <w:vAlign w:val="bottom"/>
            <w:shd w:val="clear" w:color="auto" w:fill="E0E7ED"/>
          </w:tcPr>
          <w:p>
            <w:pPr>
              <w:spacing w:after="0"/>
              <w:rPr>
                <w:sz w:val="12"/>
                <w:szCs w:val="12"/>
                <w:color w:val="auto"/>
              </w:rPr>
            </w:pPr>
          </w:p>
        </w:tc>
        <w:tc>
          <w:tcPr>
            <w:tcW w:w="220" w:type="dxa"/>
            <w:vAlign w:val="bottom"/>
            <w:vMerge w:val="restart"/>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108,304</w:t>
            </w:r>
          </w:p>
        </w:tc>
        <w:tc>
          <w:tcPr>
            <w:tcW w:w="80" w:type="dxa"/>
            <w:vAlign w:val="bottom"/>
            <w:shd w:val="clear" w:color="auto" w:fill="E0E7ED"/>
          </w:tcPr>
          <w:p>
            <w:pPr>
              <w:spacing w:after="0"/>
              <w:rPr>
                <w:sz w:val="12"/>
                <w:szCs w:val="12"/>
                <w:color w:val="auto"/>
              </w:rPr>
            </w:pPr>
          </w:p>
        </w:tc>
        <w:tc>
          <w:tcPr>
            <w:tcW w:w="200" w:type="dxa"/>
            <w:vAlign w:val="bottom"/>
            <w:vMerge w:val="restart"/>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00" w:type="dxa"/>
            <w:vAlign w:val="bottom"/>
            <w:vMerge w:val="restart"/>
            <w:shd w:val="clear" w:color="auto" w:fill="E0E7ED"/>
          </w:tcPr>
          <w:p>
            <w:pPr>
              <w:jc w:val="right"/>
              <w:ind w:right="82"/>
              <w:spacing w:after="0"/>
              <w:rPr>
                <w:sz w:val="20"/>
                <w:szCs w:val="20"/>
                <w:color w:val="auto"/>
              </w:rPr>
            </w:pPr>
            <w:r>
              <w:rPr>
                <w:rFonts w:ascii="Arial" w:cs="Arial" w:eastAsia="Arial" w:hAnsi="Arial"/>
                <w:sz w:val="12"/>
                <w:szCs w:val="12"/>
                <w:color w:val="auto"/>
              </w:rPr>
              <w:t>319,951</w:t>
            </w:r>
          </w:p>
        </w:tc>
        <w:tc>
          <w:tcPr>
            <w:tcW w:w="80" w:type="dxa"/>
            <w:vAlign w:val="bottom"/>
            <w:shd w:val="clear" w:color="auto" w:fill="E0E7ED"/>
          </w:tcPr>
          <w:p>
            <w:pPr>
              <w:spacing w:after="0"/>
              <w:rPr>
                <w:sz w:val="12"/>
                <w:szCs w:val="12"/>
                <w:color w:val="auto"/>
              </w:rPr>
            </w:pPr>
          </w:p>
        </w:tc>
        <w:tc>
          <w:tcPr>
            <w:tcW w:w="200" w:type="dxa"/>
            <w:vAlign w:val="bottom"/>
            <w:vMerge w:val="restart"/>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297,866</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E0E7ED"/>
            </w:tcBorders>
            <w:shd w:val="clear" w:color="auto" w:fill="E0E7ED"/>
          </w:tcPr>
          <w:p>
            <w:pPr>
              <w:spacing w:after="0" w:line="158" w:lineRule="exact"/>
              <w:rPr>
                <w:sz w:val="20"/>
                <w:szCs w:val="20"/>
                <w:color w:val="auto"/>
              </w:rPr>
            </w:pPr>
            <w:r>
              <w:rPr>
                <w:rFonts w:ascii="Arial" w:cs="Arial" w:eastAsia="Arial" w:hAnsi="Arial"/>
                <w:sz w:val="12"/>
                <w:szCs w:val="12"/>
                <w:color w:val="auto"/>
              </w:rPr>
              <w:t>assets (Non-GAAP)</w:t>
            </w:r>
            <w:r>
              <w:rPr>
                <w:rFonts w:ascii="Arial" w:cs="Arial" w:eastAsia="Arial" w:hAnsi="Arial"/>
                <w:sz w:val="15"/>
                <w:szCs w:val="15"/>
                <w:color w:val="auto"/>
                <w:vertAlign w:val="superscript"/>
              </w:rPr>
              <w:t>(iv)</w:t>
            </w:r>
          </w:p>
        </w:tc>
        <w:tc>
          <w:tcPr>
            <w:tcW w:w="820" w:type="dxa"/>
            <w:vAlign w:val="bottom"/>
            <w:tcBorders>
              <w:bottom w:val="single" w:sz="8" w:color="E0E7ED"/>
            </w:tcBorders>
            <w:vMerge w:val="continue"/>
            <w:shd w:val="clear" w:color="auto" w:fill="E0E7ED"/>
          </w:tcPr>
          <w:p>
            <w:pPr>
              <w:spacing w:after="0"/>
              <w:rPr>
                <w:sz w:val="15"/>
                <w:szCs w:val="15"/>
                <w:color w:val="auto"/>
              </w:rPr>
            </w:pPr>
          </w:p>
        </w:tc>
        <w:tc>
          <w:tcPr>
            <w:tcW w:w="200" w:type="dxa"/>
            <w:vAlign w:val="bottom"/>
            <w:tcBorders>
              <w:bottom w:val="single" w:sz="8" w:color="auto"/>
            </w:tcBorders>
            <w:vMerge w:val="continue"/>
            <w:shd w:val="clear" w:color="auto" w:fill="E0E7ED"/>
          </w:tcPr>
          <w:p>
            <w:pPr>
              <w:spacing w:after="0"/>
              <w:rPr>
                <w:sz w:val="15"/>
                <w:szCs w:val="15"/>
                <w:color w:val="auto"/>
              </w:rPr>
            </w:pPr>
          </w:p>
        </w:tc>
        <w:tc>
          <w:tcPr>
            <w:tcW w:w="1120" w:type="dxa"/>
            <w:vAlign w:val="bottom"/>
            <w:tcBorders>
              <w:bottom w:val="single" w:sz="8" w:color="auto"/>
            </w:tcBorders>
            <w:vMerge w:val="continue"/>
            <w:shd w:val="clear" w:color="auto" w:fill="E0E7ED"/>
          </w:tcPr>
          <w:p>
            <w:pPr>
              <w:spacing w:after="0"/>
              <w:rPr>
                <w:sz w:val="15"/>
                <w:szCs w:val="15"/>
                <w:color w:val="auto"/>
              </w:rPr>
            </w:pPr>
          </w:p>
        </w:tc>
        <w:tc>
          <w:tcPr>
            <w:tcW w:w="60" w:type="dxa"/>
            <w:vAlign w:val="bottom"/>
            <w:tcBorders>
              <w:bottom w:val="single" w:sz="8" w:color="E0E7ED"/>
            </w:tcBorders>
            <w:shd w:val="clear" w:color="auto" w:fill="E0E7ED"/>
          </w:tcPr>
          <w:p>
            <w:pPr>
              <w:spacing w:after="0"/>
              <w:rPr>
                <w:sz w:val="15"/>
                <w:szCs w:val="15"/>
                <w:color w:val="auto"/>
              </w:rPr>
            </w:pPr>
          </w:p>
        </w:tc>
        <w:tc>
          <w:tcPr>
            <w:tcW w:w="140" w:type="dxa"/>
            <w:vAlign w:val="bottom"/>
            <w:tcBorders>
              <w:bottom w:val="single" w:sz="8" w:color="auto"/>
            </w:tcBorders>
            <w:vMerge w:val="continue"/>
            <w:shd w:val="clear" w:color="auto" w:fill="E0E7ED"/>
          </w:tcPr>
          <w:p>
            <w:pPr>
              <w:spacing w:after="0"/>
              <w:rPr>
                <w:sz w:val="15"/>
                <w:szCs w:val="15"/>
                <w:color w:val="auto"/>
              </w:rPr>
            </w:pPr>
          </w:p>
        </w:tc>
        <w:tc>
          <w:tcPr>
            <w:tcW w:w="1180" w:type="dxa"/>
            <w:vAlign w:val="bottom"/>
            <w:tcBorders>
              <w:bottom w:val="single" w:sz="8" w:color="auto"/>
            </w:tcBorders>
            <w:vMerge w:val="continue"/>
            <w:shd w:val="clear" w:color="auto" w:fill="E0E7ED"/>
          </w:tcPr>
          <w:p>
            <w:pPr>
              <w:spacing w:after="0"/>
              <w:rPr>
                <w:sz w:val="15"/>
                <w:szCs w:val="15"/>
                <w:color w:val="auto"/>
              </w:rPr>
            </w:pPr>
          </w:p>
        </w:tc>
        <w:tc>
          <w:tcPr>
            <w:tcW w:w="60" w:type="dxa"/>
            <w:vAlign w:val="bottom"/>
            <w:tcBorders>
              <w:bottom w:val="single" w:sz="8" w:color="E0E7ED"/>
            </w:tcBorders>
            <w:shd w:val="clear" w:color="auto" w:fill="E0E7ED"/>
          </w:tcPr>
          <w:p>
            <w:pPr>
              <w:spacing w:after="0"/>
              <w:rPr>
                <w:sz w:val="15"/>
                <w:szCs w:val="15"/>
                <w:color w:val="auto"/>
              </w:rPr>
            </w:pPr>
          </w:p>
        </w:tc>
        <w:tc>
          <w:tcPr>
            <w:tcW w:w="220" w:type="dxa"/>
            <w:vAlign w:val="bottom"/>
            <w:tcBorders>
              <w:bottom w:val="single" w:sz="8" w:color="auto"/>
            </w:tcBorders>
            <w:vMerge w:val="continue"/>
            <w:shd w:val="clear" w:color="auto" w:fill="E0E7ED"/>
          </w:tcPr>
          <w:p>
            <w:pPr>
              <w:spacing w:after="0"/>
              <w:rPr>
                <w:sz w:val="15"/>
                <w:szCs w:val="15"/>
                <w:color w:val="auto"/>
              </w:rPr>
            </w:pPr>
          </w:p>
        </w:tc>
        <w:tc>
          <w:tcPr>
            <w:tcW w:w="1100" w:type="dxa"/>
            <w:vAlign w:val="bottom"/>
            <w:tcBorders>
              <w:bottom w:val="single" w:sz="8" w:color="auto"/>
            </w:tcBorders>
            <w:vMerge w:val="continue"/>
            <w:shd w:val="clear" w:color="auto" w:fill="E0E7ED"/>
          </w:tcPr>
          <w:p>
            <w:pPr>
              <w:spacing w:after="0"/>
              <w:rPr>
                <w:sz w:val="15"/>
                <w:szCs w:val="15"/>
                <w:color w:val="auto"/>
              </w:rPr>
            </w:pPr>
          </w:p>
        </w:tc>
        <w:tc>
          <w:tcPr>
            <w:tcW w:w="80" w:type="dxa"/>
            <w:vAlign w:val="bottom"/>
            <w:tcBorders>
              <w:bottom w:val="single" w:sz="8" w:color="E0E7ED"/>
            </w:tcBorders>
            <w:shd w:val="clear" w:color="auto" w:fill="E0E7ED"/>
          </w:tcPr>
          <w:p>
            <w:pPr>
              <w:spacing w:after="0"/>
              <w:rPr>
                <w:sz w:val="15"/>
                <w:szCs w:val="15"/>
                <w:color w:val="auto"/>
              </w:rPr>
            </w:pPr>
          </w:p>
        </w:tc>
        <w:tc>
          <w:tcPr>
            <w:tcW w:w="200" w:type="dxa"/>
            <w:vAlign w:val="bottom"/>
            <w:tcBorders>
              <w:bottom w:val="single" w:sz="8" w:color="auto"/>
            </w:tcBorders>
            <w:vMerge w:val="continue"/>
            <w:shd w:val="clear" w:color="auto" w:fill="E0E7ED"/>
          </w:tcPr>
          <w:p>
            <w:pPr>
              <w:spacing w:after="0"/>
              <w:rPr>
                <w:sz w:val="15"/>
                <w:szCs w:val="15"/>
                <w:color w:val="auto"/>
              </w:rPr>
            </w:pPr>
          </w:p>
        </w:tc>
        <w:tc>
          <w:tcPr>
            <w:tcW w:w="1100" w:type="dxa"/>
            <w:vAlign w:val="bottom"/>
            <w:tcBorders>
              <w:bottom w:val="single" w:sz="8" w:color="auto"/>
            </w:tcBorders>
            <w:vMerge w:val="continue"/>
            <w:shd w:val="clear" w:color="auto" w:fill="E0E7ED"/>
          </w:tcPr>
          <w:p>
            <w:pPr>
              <w:spacing w:after="0"/>
              <w:rPr>
                <w:sz w:val="15"/>
                <w:szCs w:val="15"/>
                <w:color w:val="auto"/>
              </w:rPr>
            </w:pPr>
          </w:p>
        </w:tc>
        <w:tc>
          <w:tcPr>
            <w:tcW w:w="80" w:type="dxa"/>
            <w:vAlign w:val="bottom"/>
            <w:tcBorders>
              <w:bottom w:val="single" w:sz="8" w:color="E0E7ED"/>
            </w:tcBorders>
            <w:shd w:val="clear" w:color="auto" w:fill="E0E7ED"/>
          </w:tcPr>
          <w:p>
            <w:pPr>
              <w:spacing w:after="0"/>
              <w:rPr>
                <w:sz w:val="15"/>
                <w:szCs w:val="15"/>
                <w:color w:val="auto"/>
              </w:rPr>
            </w:pPr>
          </w:p>
        </w:tc>
        <w:tc>
          <w:tcPr>
            <w:tcW w:w="200" w:type="dxa"/>
            <w:vAlign w:val="bottom"/>
            <w:tcBorders>
              <w:bottom w:val="single" w:sz="8" w:color="auto"/>
            </w:tcBorders>
            <w:vMerge w:val="continue"/>
            <w:shd w:val="clear" w:color="auto" w:fill="E0E7ED"/>
          </w:tcPr>
          <w:p>
            <w:pPr>
              <w:spacing w:after="0"/>
              <w:rPr>
                <w:sz w:val="15"/>
                <w:szCs w:val="15"/>
                <w:color w:val="auto"/>
              </w:rPr>
            </w:pPr>
          </w:p>
        </w:tc>
        <w:tc>
          <w:tcPr>
            <w:tcW w:w="1120" w:type="dxa"/>
            <w:vAlign w:val="bottom"/>
            <w:tcBorders>
              <w:bottom w:val="single" w:sz="8" w:color="auto"/>
            </w:tcBorders>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E0E7ED"/>
          </w:tcPr>
          <w:p>
            <w:pPr>
              <w:spacing w:after="0"/>
              <w:rPr>
                <w:sz w:val="20"/>
                <w:szCs w:val="20"/>
                <w:color w:val="auto"/>
              </w:rPr>
            </w:pPr>
            <w:r>
              <w:rPr>
                <w:rFonts w:ascii="Arial" w:cs="Arial" w:eastAsia="Arial" w:hAnsi="Arial"/>
                <w:sz w:val="12"/>
                <w:szCs w:val="12"/>
                <w:color w:val="auto"/>
              </w:rPr>
              <w:t>Efficiency ratio (Non-GAAP)</w:t>
            </w:r>
            <w:r>
              <w:rPr>
                <w:rFonts w:ascii="Arial" w:cs="Arial" w:eastAsia="Arial" w:hAnsi="Arial"/>
                <w:sz w:val="15"/>
                <w:szCs w:val="15"/>
                <w:color w:val="auto"/>
                <w:vertAlign w:val="superscript"/>
              </w:rPr>
              <w:t>(v)</w:t>
            </w:r>
          </w:p>
        </w:tc>
        <w:tc>
          <w:tcPr>
            <w:tcW w:w="820" w:type="dxa"/>
            <w:vAlign w:val="bottom"/>
            <w:shd w:val="clear" w:color="auto" w:fill="E0E7ED"/>
          </w:tcPr>
          <w:p>
            <w:pPr>
              <w:ind w:left="80"/>
              <w:spacing w:after="0"/>
              <w:rPr>
                <w:sz w:val="20"/>
                <w:szCs w:val="20"/>
                <w:color w:val="auto"/>
              </w:rPr>
            </w:pPr>
            <w:r>
              <w:rPr>
                <w:rFonts w:ascii="Arial" w:cs="Arial" w:eastAsia="Arial" w:hAnsi="Arial"/>
                <w:sz w:val="12"/>
                <w:szCs w:val="12"/>
                <w:color w:val="auto"/>
              </w:rPr>
              <w:t>[f÷e]</w:t>
            </w: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54.41 %</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53.96 %</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54.85 %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54.39 %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56.04 %</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20"/>
                <w:szCs w:val="20"/>
                <w:color w:val="auto"/>
              </w:rPr>
            </w:pPr>
            <w:r>
              <w:rPr>
                <w:rFonts w:ascii="Arial" w:cs="Arial" w:eastAsia="Arial" w:hAnsi="Arial"/>
                <w:sz w:val="10"/>
                <w:szCs w:val="10"/>
                <w:color w:val="auto"/>
              </w:rPr>
              <w:t>___________________________________________</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2026, Busey changed the caption for this revenue measure, which was previously called “adjusted tax-equivalent revenue.” The calculation itself has not changed.</w:t>
      </w:r>
    </w:p>
    <w:p>
      <w:pPr>
        <w:spacing w:after="0" w:line="2" w:lineRule="exact"/>
        <w:rPr>
          <w:rFonts w:ascii="Arial" w:cs="Arial" w:eastAsia="Arial" w:hAnsi="Arial"/>
          <w:sz w:val="10"/>
          <w:szCs w:val="10"/>
          <w:color w:val="auto"/>
        </w:rPr>
      </w:pPr>
    </w:p>
    <w:p>
      <w:pPr>
        <w:ind w:left="300" w:hanging="200"/>
        <w:spacing w:after="0"/>
        <w:tabs>
          <w:tab w:leader="none" w:pos="300"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2026, to better align with industry standards, Busey revised its calculation of adjusted noninterest expense, for all periods presented, to exclude any adjustment for amortization of intangible assets.</w:t>
      </w:r>
    </w:p>
    <w:p>
      <w:pPr>
        <w:spacing w:after="0" w:line="2" w:lineRule="exact"/>
        <w:rPr>
          <w:rFonts w:ascii="Arial" w:cs="Arial" w:eastAsia="Arial" w:hAnsi="Arial"/>
          <w:sz w:val="10"/>
          <w:szCs w:val="10"/>
          <w:color w:val="auto"/>
        </w:rPr>
      </w:pPr>
    </w:p>
    <w:p>
      <w:pPr>
        <w:ind w:left="320" w:hanging="220"/>
        <w:spacing w:after="0" w:line="225" w:lineRule="auto"/>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2026, Busey changed the caption for the efficiency ratio numerator from “adjusted noninterest expense” to “adjusted noninterest expense excluding amortization of intangible assets.” The calculation itself has not changed.</w:t>
      </w:r>
    </w:p>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2026, Busey now reports a single efficiency ratio, which was previously reported as the “adjusted efficiency ratio.”</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16</w:t>
      </w:r>
    </w:p>
    <w:p>
      <w:pPr>
        <w:sectPr>
          <w:pgSz w:w="11900" w:h="16838" w:orient="portrait"/>
          <w:cols w:equalWidth="0" w:num="1">
            <w:col w:w="11300"/>
          </w:cols>
          <w:pgMar w:left="300" w:top="910" w:right="2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Calculation of Tangible Common Equity, and Related Measures and Ratio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9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9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2"/>
          </w:tcPr>
          <w:p>
            <w:pPr>
              <w:ind w:left="140"/>
              <w:spacing w:after="0" w:line="97" w:lineRule="exact"/>
              <w:rPr>
                <w:sz w:val="20"/>
                <w:szCs w:val="20"/>
                <w:color w:val="auto"/>
              </w:rPr>
            </w:pPr>
            <w:r>
              <w:rPr>
                <w:rFonts w:ascii="Arial" w:cs="Arial" w:eastAsia="Arial" w:hAnsi="Arial"/>
                <w:sz w:val="10"/>
                <w:szCs w:val="10"/>
                <w:b w:val="1"/>
                <w:bCs w:val="1"/>
                <w:color w:val="auto"/>
              </w:rPr>
              <w:t>September 30,</w:t>
            </w:r>
          </w:p>
        </w:tc>
        <w:tc>
          <w:tcPr>
            <w:tcW w:w="280" w:type="dxa"/>
            <w:vAlign w:val="bottom"/>
          </w:tcPr>
          <w:p>
            <w:pPr>
              <w:spacing w:after="0"/>
              <w:rPr>
                <w:sz w:val="8"/>
                <w:szCs w:val="8"/>
                <w:color w:val="auto"/>
              </w:rPr>
            </w:pPr>
          </w:p>
        </w:tc>
        <w:tc>
          <w:tcPr>
            <w:tcW w:w="1140" w:type="dxa"/>
            <w:vAlign w:val="bottom"/>
            <w:gridSpan w:val="2"/>
          </w:tcPr>
          <w:p>
            <w:pPr>
              <w:jc w:val="center"/>
              <w:ind w:right="360"/>
              <w:spacing w:after="0" w:line="97" w:lineRule="exact"/>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8"/>
                <w:szCs w:val="8"/>
                <w:color w:val="auto"/>
              </w:rPr>
            </w:pPr>
          </w:p>
        </w:tc>
        <w:tc>
          <w:tcPr>
            <w:tcW w:w="1140" w:type="dxa"/>
            <w:vAlign w:val="bottom"/>
          </w:tcPr>
          <w:p>
            <w:pPr>
              <w:jc w:val="right"/>
              <w:ind w:right="282"/>
              <w:spacing w:after="0" w:line="97"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17"/>
        </w:trPr>
        <w:tc>
          <w:tcPr>
            <w:tcW w:w="4920" w:type="dxa"/>
            <w:vAlign w:val="bottom"/>
            <w:tcBorders>
              <w:bottom w:val="single" w:sz="8" w:color="E0E7ED"/>
            </w:tcBorders>
            <w:vMerge w:val="continue"/>
          </w:tcPr>
          <w:p>
            <w:pPr>
              <w:spacing w:after="0"/>
              <w:rPr>
                <w:sz w:val="10"/>
                <w:szCs w:val="10"/>
                <w:color w:val="auto"/>
              </w:rPr>
            </w:pPr>
          </w:p>
        </w:tc>
        <w:tc>
          <w:tcPr>
            <w:tcW w:w="2200" w:type="dxa"/>
            <w:vAlign w:val="bottom"/>
            <w:tcBorders>
              <w:bottom w:val="single" w:sz="8" w:color="E0E7ED"/>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E0E7ED"/>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22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Borders>
              <w:bottom w:val="single" w:sz="8" w:color="E0E7ED"/>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8"/>
        </w:trPr>
        <w:tc>
          <w:tcPr>
            <w:tcW w:w="49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assets (GAAP)</w:t>
            </w:r>
          </w:p>
        </w:tc>
        <w:tc>
          <w:tcPr>
            <w:tcW w:w="220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18,558,606</w:t>
            </w: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18,191,867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18,188,628</w:t>
            </w:r>
          </w:p>
        </w:tc>
        <w:tc>
          <w:tcPr>
            <w:tcW w:w="0" w:type="dxa"/>
            <w:vAlign w:val="bottom"/>
          </w:tcPr>
          <w:p>
            <w:pPr>
              <w:spacing w:after="0"/>
              <w:rPr>
                <w:sz w:val="1"/>
                <w:szCs w:val="1"/>
                <w:color w:val="auto"/>
              </w:rPr>
            </w:pPr>
          </w:p>
        </w:tc>
      </w:tr>
      <w:tr>
        <w:trPr>
          <w:trHeight w:val="181"/>
        </w:trPr>
        <w:tc>
          <w:tcPr>
            <w:tcW w:w="49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2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(467,137)</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(471,288)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(485,203)</w:t>
            </w:r>
          </w:p>
        </w:tc>
        <w:tc>
          <w:tcPr>
            <w:tcW w:w="0" w:type="dxa"/>
            <w:vAlign w:val="bottom"/>
          </w:tcPr>
          <w:p>
            <w:pPr>
              <w:spacing w:after="0"/>
              <w:rPr>
                <w:sz w:val="1"/>
                <w:szCs w:val="1"/>
                <w:color w:val="auto"/>
              </w:rPr>
            </w:pPr>
          </w:p>
        </w:tc>
      </w:tr>
      <w:tr>
        <w:trPr>
          <w:trHeight w:val="202"/>
        </w:trPr>
        <w:tc>
          <w:tcPr>
            <w:tcW w:w="492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Tangible assets (Non-GAAP)</w:t>
            </w:r>
            <w:r>
              <w:rPr>
                <w:rFonts w:ascii="Arial" w:cs="Arial" w:eastAsia="Arial" w:hAnsi="Arial"/>
                <w:sz w:val="15"/>
                <w:szCs w:val="15"/>
                <w:color w:val="auto"/>
                <w:vertAlign w:val="superscript"/>
              </w:rPr>
              <w:t>(i)</w:t>
            </w:r>
          </w:p>
        </w:tc>
        <w:tc>
          <w:tcPr>
            <w:tcW w:w="2200" w:type="dxa"/>
            <w:vAlign w:val="bottom"/>
            <w:tcBorders>
              <w:bottom w:val="single" w:sz="8" w:color="E0E7ED"/>
            </w:tcBorders>
            <w:shd w:val="clear" w:color="auto" w:fill="E0E7ED"/>
          </w:tcPr>
          <w:p>
            <w:pPr>
              <w:ind w:left="1440"/>
              <w:spacing w:after="0"/>
              <w:rPr>
                <w:sz w:val="20"/>
                <w:szCs w:val="20"/>
                <w:color w:val="auto"/>
              </w:rPr>
            </w:pPr>
            <w:r>
              <w:rPr>
                <w:rFonts w:ascii="Arial" w:cs="Arial" w:eastAsia="Arial" w:hAnsi="Arial"/>
                <w:sz w:val="12"/>
                <w:szCs w:val="12"/>
                <w:color w:val="auto"/>
              </w:rPr>
              <w:t>[a]</w:t>
            </w: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18,091,469</w:t>
            </w:r>
          </w:p>
        </w:tc>
        <w:tc>
          <w:tcPr>
            <w:tcW w:w="80" w:type="dxa"/>
            <w:vAlign w:val="bottom"/>
            <w:tcBorders>
              <w:bottom w:val="single" w:sz="8" w:color="E0E7ED"/>
            </w:tcBorders>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17,720,579</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17,703,425</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stockholders’ equity (GAAP)</w:t>
            </w:r>
          </w:p>
        </w:tc>
        <w:tc>
          <w:tcPr>
            <w:tcW w:w="220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2,256,279</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2,383,170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2,448,835</w:t>
            </w:r>
          </w:p>
        </w:tc>
        <w:tc>
          <w:tcPr>
            <w:tcW w:w="0" w:type="dxa"/>
            <w:vAlign w:val="bottom"/>
          </w:tcPr>
          <w:p>
            <w:pPr>
              <w:spacing w:after="0"/>
              <w:rPr>
                <w:sz w:val="1"/>
                <w:szCs w:val="1"/>
                <w:color w:val="auto"/>
              </w:rPr>
            </w:pPr>
          </w:p>
        </w:tc>
      </w:tr>
      <w:tr>
        <w:trPr>
          <w:trHeight w:val="181"/>
        </w:trPr>
        <w:tc>
          <w:tcPr>
            <w:tcW w:w="49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Preferred stock and additional paid in capital on preferred stock</w:t>
            </w:r>
          </w:p>
        </w:tc>
        <w:tc>
          <w:tcPr>
            <w:tcW w:w="22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(215,197)</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(215,197)</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(215,197)</w:t>
            </w:r>
          </w:p>
        </w:tc>
        <w:tc>
          <w:tcPr>
            <w:tcW w:w="0" w:type="dxa"/>
            <w:vAlign w:val="bottom"/>
          </w:tcPr>
          <w:p>
            <w:pPr>
              <w:spacing w:after="0"/>
              <w:rPr>
                <w:sz w:val="1"/>
                <w:szCs w:val="1"/>
                <w:color w:val="auto"/>
              </w:rPr>
            </w:pPr>
          </w:p>
        </w:tc>
      </w:tr>
      <w:tr>
        <w:trPr>
          <w:trHeight w:val="186"/>
        </w:trPr>
        <w:tc>
          <w:tcPr>
            <w:tcW w:w="4920" w:type="dxa"/>
            <w:vAlign w:val="bottom"/>
            <w:shd w:val="clear" w:color="auto" w:fill="E0E7ED"/>
          </w:tcPr>
          <w:p>
            <w:pPr>
              <w:spacing w:after="0"/>
              <w:rPr>
                <w:sz w:val="20"/>
                <w:szCs w:val="20"/>
                <w:color w:val="auto"/>
              </w:rPr>
            </w:pPr>
            <w:r>
              <w:rPr>
                <w:rFonts w:ascii="Arial" w:cs="Arial" w:eastAsia="Arial" w:hAnsi="Arial"/>
                <w:sz w:val="12"/>
                <w:szCs w:val="12"/>
                <w:color w:val="auto"/>
              </w:rPr>
              <w:t>Common equity</w:t>
            </w:r>
          </w:p>
        </w:tc>
        <w:tc>
          <w:tcPr>
            <w:tcW w:w="2200" w:type="dxa"/>
            <w:vAlign w:val="bottom"/>
            <w:shd w:val="clear" w:color="auto" w:fill="E0E7ED"/>
          </w:tcPr>
          <w:p>
            <w:pPr>
              <w:ind w:left="1440"/>
              <w:spacing w:after="0"/>
              <w:rPr>
                <w:sz w:val="20"/>
                <w:szCs w:val="20"/>
                <w:color w:val="auto"/>
              </w:rPr>
            </w:pPr>
            <w:r>
              <w:rPr>
                <w:rFonts w:ascii="Arial" w:cs="Arial" w:eastAsia="Arial" w:hAnsi="Arial"/>
                <w:sz w:val="12"/>
                <w:szCs w:val="12"/>
                <w:color w:val="auto"/>
              </w:rPr>
              <w:t>[b]</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2,041,082</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2,167,973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2,233,638</w:t>
            </w:r>
          </w:p>
        </w:tc>
        <w:tc>
          <w:tcPr>
            <w:tcW w:w="0" w:type="dxa"/>
            <w:vAlign w:val="bottom"/>
          </w:tcPr>
          <w:p>
            <w:pPr>
              <w:spacing w:after="0"/>
              <w:rPr>
                <w:sz w:val="1"/>
                <w:szCs w:val="1"/>
                <w:color w:val="auto"/>
              </w:rPr>
            </w:pPr>
          </w:p>
        </w:tc>
      </w:tr>
      <w:tr>
        <w:trPr>
          <w:trHeight w:val="181"/>
        </w:trPr>
        <w:tc>
          <w:tcPr>
            <w:tcW w:w="49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2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(467,137)</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(471,288)</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(485,203)</w:t>
            </w:r>
          </w:p>
        </w:tc>
        <w:tc>
          <w:tcPr>
            <w:tcW w:w="0" w:type="dxa"/>
            <w:vAlign w:val="bottom"/>
          </w:tcPr>
          <w:p>
            <w:pPr>
              <w:spacing w:after="0"/>
              <w:rPr>
                <w:sz w:val="1"/>
                <w:szCs w:val="1"/>
                <w:color w:val="auto"/>
              </w:rPr>
            </w:pPr>
          </w:p>
        </w:tc>
      </w:tr>
      <w:tr>
        <w:trPr>
          <w:trHeight w:val="202"/>
        </w:trPr>
        <w:tc>
          <w:tcPr>
            <w:tcW w:w="492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Tangible common equity (Non-GAAP)</w:t>
            </w:r>
          </w:p>
        </w:tc>
        <w:tc>
          <w:tcPr>
            <w:tcW w:w="2200" w:type="dxa"/>
            <w:vAlign w:val="bottom"/>
            <w:tcBorders>
              <w:bottom w:val="single" w:sz="8" w:color="E0E7ED"/>
            </w:tcBorders>
            <w:shd w:val="clear" w:color="auto" w:fill="E0E7ED"/>
          </w:tcPr>
          <w:p>
            <w:pPr>
              <w:ind w:left="1440"/>
              <w:spacing w:after="0"/>
              <w:rPr>
                <w:sz w:val="20"/>
                <w:szCs w:val="20"/>
                <w:color w:val="auto"/>
              </w:rPr>
            </w:pPr>
            <w:r>
              <w:rPr>
                <w:rFonts w:ascii="Arial" w:cs="Arial" w:eastAsia="Arial" w:hAnsi="Arial"/>
                <w:sz w:val="12"/>
                <w:szCs w:val="12"/>
                <w:color w:val="auto"/>
              </w:rPr>
              <w:t>[c]</w:t>
            </w:r>
          </w:p>
        </w:tc>
        <w:tc>
          <w:tcPr>
            <w:tcW w:w="220" w:type="dxa"/>
            <w:vAlign w:val="bottom"/>
            <w:tcBorders>
              <w:bottom w:val="single" w:sz="8" w:color="auto"/>
            </w:tcBorders>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E0E7ED"/>
          </w:tcPr>
          <w:p>
            <w:pPr>
              <w:jc w:val="right"/>
              <w:ind w:right="82"/>
              <w:spacing w:after="0"/>
              <w:rPr>
                <w:sz w:val="20"/>
                <w:szCs w:val="20"/>
                <w:color w:val="auto"/>
              </w:rPr>
            </w:pPr>
            <w:r>
              <w:rPr>
                <w:rFonts w:ascii="Arial" w:cs="Arial" w:eastAsia="Arial" w:hAnsi="Arial"/>
                <w:sz w:val="12"/>
                <w:szCs w:val="12"/>
                <w:color w:val="auto"/>
              </w:rPr>
              <w:t>1,573,945</w:t>
            </w:r>
          </w:p>
        </w:tc>
        <w:tc>
          <w:tcPr>
            <w:tcW w:w="80" w:type="dxa"/>
            <w:vAlign w:val="bottom"/>
            <w:tcBorders>
              <w:bottom w:val="single" w:sz="8" w:color="E0E7ED"/>
            </w:tcBorders>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1,696,685</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1,748,435</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E0E7ED"/>
          </w:tcPr>
          <w:p>
            <w:pPr>
              <w:spacing w:after="0"/>
              <w:rPr>
                <w:sz w:val="20"/>
                <w:szCs w:val="20"/>
                <w:color w:val="auto"/>
              </w:rPr>
            </w:pPr>
            <w:r>
              <w:rPr>
                <w:rFonts w:ascii="Arial" w:cs="Arial" w:eastAsia="Arial" w:hAnsi="Arial"/>
                <w:sz w:val="12"/>
                <w:szCs w:val="12"/>
                <w:color w:val="auto"/>
              </w:rPr>
              <w:t>Tangible common equity to tangible assets (Non-GAAP)</w:t>
            </w:r>
          </w:p>
        </w:tc>
        <w:tc>
          <w:tcPr>
            <w:tcW w:w="2200" w:type="dxa"/>
            <w:vAlign w:val="bottom"/>
            <w:shd w:val="clear" w:color="auto" w:fill="E0E7ED"/>
          </w:tcPr>
          <w:p>
            <w:pPr>
              <w:ind w:left="1440"/>
              <w:spacing w:after="0"/>
              <w:rPr>
                <w:sz w:val="20"/>
                <w:szCs w:val="20"/>
                <w:color w:val="auto"/>
              </w:rPr>
            </w:pPr>
            <w:r>
              <w:rPr>
                <w:rFonts w:ascii="Arial" w:cs="Arial" w:eastAsia="Arial" w:hAnsi="Arial"/>
                <w:sz w:val="12"/>
                <w:szCs w:val="12"/>
                <w:color w:val="auto"/>
              </w:rPr>
              <w:t>[c÷a]</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8.70 %</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9.57 %</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9.88 %</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E0E7ED"/>
          </w:tcPr>
          <w:p>
            <w:pPr>
              <w:spacing w:after="0"/>
              <w:rPr>
                <w:sz w:val="20"/>
                <w:szCs w:val="20"/>
                <w:color w:val="auto"/>
              </w:rPr>
            </w:pPr>
            <w:r>
              <w:rPr>
                <w:rFonts w:ascii="Arial" w:cs="Arial" w:eastAsia="Arial" w:hAnsi="Arial"/>
                <w:sz w:val="12"/>
                <w:szCs w:val="12"/>
                <w:color w:val="auto"/>
              </w:rPr>
              <w:t>Ending number of common shares outstanding (GAAP)</w:t>
            </w:r>
          </w:p>
        </w:tc>
        <w:tc>
          <w:tcPr>
            <w:tcW w:w="2200" w:type="dxa"/>
            <w:vAlign w:val="bottom"/>
            <w:shd w:val="clear" w:color="auto" w:fill="E0E7ED"/>
          </w:tcPr>
          <w:p>
            <w:pPr>
              <w:ind w:left="1440"/>
              <w:spacing w:after="0"/>
              <w:rPr>
                <w:sz w:val="20"/>
                <w:szCs w:val="20"/>
                <w:color w:val="auto"/>
              </w:rPr>
            </w:pPr>
            <w:r>
              <w:rPr>
                <w:rFonts w:ascii="Arial" w:cs="Arial" w:eastAsia="Arial" w:hAnsi="Arial"/>
                <w:sz w:val="12"/>
                <w:szCs w:val="12"/>
                <w:color w:val="auto"/>
              </w:rPr>
              <w:t>[d]</w:t>
            </w:r>
          </w:p>
        </w:tc>
        <w:tc>
          <w:tcPr>
            <w:tcW w:w="220" w:type="dxa"/>
            <w:vAlign w:val="bottom"/>
            <w:shd w:val="clear" w:color="auto" w:fill="E0E7ED"/>
          </w:tcPr>
          <w:p>
            <w:pPr>
              <w:spacing w:after="0"/>
              <w:rPr>
                <w:sz w:val="16"/>
                <w:szCs w:val="16"/>
                <w:color w:val="auto"/>
              </w:rPr>
            </w:pP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81,276,654</w:t>
            </w: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83,189,501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88,789,043</w:t>
            </w:r>
          </w:p>
        </w:tc>
        <w:tc>
          <w:tcPr>
            <w:tcW w:w="0" w:type="dxa"/>
            <w:vAlign w:val="bottom"/>
          </w:tcPr>
          <w:p>
            <w:pPr>
              <w:spacing w:after="0"/>
              <w:rPr>
                <w:sz w:val="1"/>
                <w:szCs w:val="1"/>
                <w:color w:val="auto"/>
              </w:rPr>
            </w:pPr>
          </w:p>
        </w:tc>
      </w:tr>
      <w:tr>
        <w:trPr>
          <w:trHeight w:val="181"/>
        </w:trPr>
        <w:tc>
          <w:tcPr>
            <w:tcW w:w="4920" w:type="dxa"/>
            <w:vAlign w:val="bottom"/>
          </w:tcPr>
          <w:p>
            <w:pPr>
              <w:spacing w:after="0"/>
              <w:rPr>
                <w:sz w:val="20"/>
                <w:szCs w:val="20"/>
                <w:color w:val="auto"/>
              </w:rPr>
            </w:pPr>
            <w:r>
              <w:rPr>
                <w:rFonts w:ascii="Arial" w:cs="Arial" w:eastAsia="Arial" w:hAnsi="Arial"/>
                <w:sz w:val="12"/>
                <w:szCs w:val="12"/>
                <w:color w:val="auto"/>
              </w:rPr>
              <w:t>Book value per common share (Non-GAAP)</w:t>
            </w:r>
          </w:p>
        </w:tc>
        <w:tc>
          <w:tcPr>
            <w:tcW w:w="2200" w:type="dxa"/>
            <w:vAlign w:val="bottom"/>
          </w:tcPr>
          <w:p>
            <w:pPr>
              <w:ind w:left="1440"/>
              <w:spacing w:after="0"/>
              <w:rPr>
                <w:sz w:val="20"/>
                <w:szCs w:val="20"/>
                <w:color w:val="auto"/>
              </w:rPr>
            </w:pPr>
            <w:r>
              <w:rPr>
                <w:rFonts w:ascii="Arial" w:cs="Arial" w:eastAsia="Arial" w:hAnsi="Arial"/>
                <w:sz w:val="12"/>
                <w:szCs w:val="12"/>
                <w:color w:val="auto"/>
              </w:rPr>
              <w:t>[b÷d]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25.11</w:t>
            </w:r>
          </w:p>
        </w:tc>
        <w:tc>
          <w:tcPr>
            <w:tcW w:w="8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2"/>
              <w:spacing w:after="0"/>
              <w:rPr>
                <w:sz w:val="20"/>
                <w:szCs w:val="20"/>
                <w:color w:val="auto"/>
              </w:rPr>
            </w:pPr>
            <w:r>
              <w:rPr>
                <w:rFonts w:ascii="Arial" w:cs="Arial" w:eastAsia="Arial" w:hAnsi="Arial"/>
                <w:sz w:val="12"/>
                <w:szCs w:val="12"/>
                <w:color w:val="auto"/>
              </w:rPr>
              <w:t>26.06</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25.16</w:t>
            </w:r>
          </w:p>
        </w:tc>
        <w:tc>
          <w:tcPr>
            <w:tcW w:w="0" w:type="dxa"/>
            <w:vAlign w:val="bottom"/>
          </w:tcPr>
          <w:p>
            <w:pPr>
              <w:spacing w:after="0"/>
              <w:rPr>
                <w:sz w:val="1"/>
                <w:szCs w:val="1"/>
                <w:color w:val="auto"/>
              </w:rPr>
            </w:pPr>
          </w:p>
        </w:tc>
      </w:tr>
      <w:tr>
        <w:trPr>
          <w:trHeight w:val="197"/>
        </w:trPr>
        <w:tc>
          <w:tcPr>
            <w:tcW w:w="4920" w:type="dxa"/>
            <w:vAlign w:val="bottom"/>
            <w:shd w:val="clear" w:color="auto" w:fill="E0E7ED"/>
          </w:tcPr>
          <w:p>
            <w:pPr>
              <w:spacing w:after="0"/>
              <w:rPr>
                <w:sz w:val="20"/>
                <w:szCs w:val="20"/>
                <w:color w:val="auto"/>
              </w:rPr>
            </w:pPr>
            <w:r>
              <w:rPr>
                <w:rFonts w:ascii="Arial" w:cs="Arial" w:eastAsia="Arial" w:hAnsi="Arial"/>
                <w:sz w:val="12"/>
                <w:szCs w:val="12"/>
                <w:color w:val="auto"/>
              </w:rPr>
              <w:t>Tangible book value per common share (Non-GAAP)</w:t>
            </w:r>
          </w:p>
        </w:tc>
        <w:tc>
          <w:tcPr>
            <w:tcW w:w="2200" w:type="dxa"/>
            <w:vAlign w:val="bottom"/>
            <w:shd w:val="clear" w:color="auto" w:fill="E0E7ED"/>
          </w:tcPr>
          <w:p>
            <w:pPr>
              <w:ind w:left="1440"/>
              <w:spacing w:after="0"/>
              <w:rPr>
                <w:sz w:val="20"/>
                <w:szCs w:val="20"/>
                <w:color w:val="auto"/>
              </w:rPr>
            </w:pPr>
            <w:r>
              <w:rPr>
                <w:rFonts w:ascii="Arial" w:cs="Arial" w:eastAsia="Arial" w:hAnsi="Arial"/>
                <w:sz w:val="12"/>
                <w:szCs w:val="12"/>
                <w:color w:val="auto"/>
              </w:rPr>
              <w:t>[c÷d]</w:t>
            </w: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E0E7ED"/>
          </w:tcPr>
          <w:p>
            <w:pPr>
              <w:jc w:val="right"/>
              <w:ind w:right="82"/>
              <w:spacing w:after="0"/>
              <w:rPr>
                <w:sz w:val="20"/>
                <w:szCs w:val="20"/>
                <w:color w:val="auto"/>
              </w:rPr>
            </w:pPr>
            <w:r>
              <w:rPr>
                <w:rFonts w:ascii="Arial" w:cs="Arial" w:eastAsia="Arial" w:hAnsi="Arial"/>
                <w:sz w:val="12"/>
                <w:szCs w:val="12"/>
                <w:color w:val="auto"/>
              </w:rPr>
              <w:t>19.37</w:t>
            </w:r>
          </w:p>
        </w:tc>
        <w:tc>
          <w:tcPr>
            <w:tcW w:w="80" w:type="dxa"/>
            <w:vAlign w:val="bottom"/>
            <w:shd w:val="clear" w:color="auto" w:fill="E0E7ED"/>
          </w:tcPr>
          <w:p>
            <w:pPr>
              <w:spacing w:after="0"/>
              <w:rPr>
                <w:sz w:val="17"/>
                <w:szCs w:val="17"/>
                <w:color w:val="auto"/>
              </w:rPr>
            </w:pP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20.40</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19.69</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Calculation of Core Deposits and Related Ratio</w:t>
      </w:r>
    </w:p>
    <w:p>
      <w:pPr>
        <w:spacing w:after="0" w:line="228" w:lineRule="exact"/>
        <w:rPr>
          <w:sz w:val="20"/>
          <w:szCs w:val="20"/>
          <w:color w:val="auto"/>
        </w:rPr>
      </w:pPr>
    </w:p>
    <w:p>
      <w:pPr>
        <w:ind w:left="9100"/>
        <w:spacing w:after="0"/>
        <w:rPr>
          <w:sz w:val="20"/>
          <w:szCs w:val="20"/>
          <w:color w:val="auto"/>
        </w:rPr>
      </w:pPr>
      <w:r>
        <w:rPr>
          <w:rFonts w:ascii="Arial" w:cs="Arial" w:eastAsia="Arial" w:hAnsi="Arial"/>
          <w:sz w:val="10"/>
          <w:szCs w:val="10"/>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4526915</wp:posOffset>
            </wp:positionH>
            <wp:positionV relativeFrom="paragraph">
              <wp:posOffset>5715</wp:posOffset>
            </wp:positionV>
            <wp:extent cx="264604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46045" cy="5715"/>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thousands)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deposits (GAAP)</w:t>
      </w:r>
    </w:p>
    <w:p>
      <w:pPr>
        <w:spacing w:after="0" w:line="51" w:lineRule="exact"/>
        <w:rPr>
          <w:sz w:val="20"/>
          <w:szCs w:val="20"/>
          <w:color w:val="auto"/>
        </w:rPr>
      </w:pPr>
    </w:p>
    <w:p>
      <w:pPr>
        <w:ind w:left="120" w:right="1500"/>
        <w:spacing w:after="0" w:line="352" w:lineRule="auto"/>
        <w:rPr>
          <w:sz w:val="20"/>
          <w:szCs w:val="20"/>
          <w:color w:val="auto"/>
        </w:rPr>
      </w:pPr>
      <w:r>
        <w:rPr>
          <w:rFonts w:ascii="Arial" w:cs="Arial" w:eastAsia="Arial" w:hAnsi="Arial"/>
          <w:sz w:val="12"/>
          <w:szCs w:val="12"/>
          <w:color w:val="auto"/>
        </w:rPr>
        <w:t>Brokered deposits, excluding brokered time deposits of more than $250,000 Time deposits of more than $250,000</w:t>
      </w:r>
    </w:p>
    <w:p>
      <w:pPr>
        <w:spacing w:after="0"/>
        <w:rPr>
          <w:sz w:val="20"/>
          <w:szCs w:val="20"/>
          <w:color w:val="auto"/>
        </w:rPr>
      </w:pPr>
      <w:r>
        <w:rPr>
          <w:rFonts w:ascii="Arial" w:cs="Arial" w:eastAsia="Arial" w:hAnsi="Arial"/>
          <w:sz w:val="12"/>
          <w:szCs w:val="12"/>
          <w:color w:val="auto"/>
        </w:rPr>
        <w:t>Core deposits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280" w:type="dxa"/>
            <w:vAlign w:val="bottom"/>
          </w:tcPr>
          <w:p>
            <w:pPr>
              <w:spacing w:after="0"/>
              <w:rPr>
                <w:sz w:val="10"/>
                <w:szCs w:val="10"/>
                <w:color w:val="auto"/>
              </w:rPr>
            </w:pPr>
          </w:p>
        </w:tc>
        <w:tc>
          <w:tcPr>
            <w:tcW w:w="114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w:t>
            </w:r>
          </w:p>
        </w:tc>
        <w:tc>
          <w:tcPr>
            <w:tcW w:w="200" w:type="dxa"/>
            <w:vAlign w:val="bottom"/>
          </w:tcPr>
          <w:p>
            <w:pPr>
              <w:spacing w:after="0"/>
              <w:rPr>
                <w:sz w:val="10"/>
                <w:szCs w:val="10"/>
                <w:color w:val="auto"/>
              </w:rPr>
            </w:pPr>
          </w:p>
        </w:tc>
        <w:tc>
          <w:tcPr>
            <w:tcW w:w="1140" w:type="dxa"/>
            <w:vAlign w:val="bottom"/>
          </w:tcPr>
          <w:p>
            <w:pPr>
              <w:jc w:val="right"/>
              <w:ind w:right="284"/>
              <w:spacing w:after="0"/>
              <w:rPr>
                <w:sz w:val="20"/>
                <w:szCs w:val="20"/>
                <w:color w:val="auto"/>
              </w:rPr>
            </w:pPr>
            <w:r>
              <w:rPr>
                <w:rFonts w:ascii="Arial" w:cs="Arial" w:eastAsia="Arial" w:hAnsi="Arial"/>
                <w:sz w:val="10"/>
                <w:szCs w:val="10"/>
                <w:b w:val="1"/>
                <w:bCs w:val="1"/>
                <w:color w:val="auto"/>
              </w:rPr>
              <w:t>September 30,</w:t>
            </w:r>
          </w:p>
        </w:tc>
      </w:tr>
      <w:tr>
        <w:trPr>
          <w:trHeight w:val="117"/>
        </w:trPr>
        <w:tc>
          <w:tcPr>
            <w:tcW w:w="7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0"/>
                <w:szCs w:val="10"/>
                <w:b w:val="1"/>
                <w:bCs w:val="1"/>
                <w:color w:val="auto"/>
              </w:rPr>
              <w:t>2025</w:t>
            </w:r>
          </w:p>
        </w:tc>
      </w:tr>
      <w:tr>
        <w:trPr>
          <w:trHeight w:val="162"/>
        </w:trPr>
        <w:tc>
          <w:tcPr>
            <w:tcW w:w="760" w:type="dxa"/>
            <w:vAlign w:val="bottom"/>
          </w:tcPr>
          <w:p>
            <w:pPr>
              <w:spacing w:after="0"/>
              <w:rPr>
                <w:sz w:val="20"/>
                <w:szCs w:val="20"/>
                <w:color w:val="auto"/>
              </w:rPr>
            </w:pPr>
            <w:r>
              <w:rPr>
                <w:rFonts w:ascii="Arial" w:cs="Arial" w:eastAsia="Arial" w:hAnsi="Arial"/>
                <w:sz w:val="12"/>
                <w:szCs w:val="12"/>
                <w:color w:val="auto"/>
              </w:rPr>
              <w:t>[a]</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4"/>
              <w:spacing w:after="0"/>
              <w:rPr>
                <w:sz w:val="20"/>
                <w:szCs w:val="20"/>
                <w:color w:val="auto"/>
              </w:rPr>
            </w:pPr>
            <w:r>
              <w:rPr>
                <w:rFonts w:ascii="Arial" w:cs="Arial" w:eastAsia="Arial" w:hAnsi="Arial"/>
                <w:sz w:val="12"/>
                <w:szCs w:val="12"/>
                <w:color w:val="auto"/>
              </w:rPr>
              <w:t>15,537,566</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4"/>
              <w:spacing w:after="0"/>
              <w:rPr>
                <w:sz w:val="20"/>
                <w:szCs w:val="20"/>
                <w:color w:val="auto"/>
              </w:rPr>
            </w:pPr>
            <w:r>
              <w:rPr>
                <w:rFonts w:ascii="Arial" w:cs="Arial" w:eastAsia="Arial" w:hAnsi="Arial"/>
                <w:sz w:val="12"/>
                <w:szCs w:val="12"/>
                <w:color w:val="auto"/>
              </w:rPr>
              <w:t>15,128,745</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04"/>
              <w:spacing w:after="0"/>
              <w:rPr>
                <w:sz w:val="20"/>
                <w:szCs w:val="20"/>
                <w:color w:val="auto"/>
              </w:rPr>
            </w:pPr>
            <w:r>
              <w:rPr>
                <w:rFonts w:ascii="Arial" w:cs="Arial" w:eastAsia="Arial" w:hAnsi="Arial"/>
                <w:sz w:val="12"/>
                <w:szCs w:val="12"/>
                <w:color w:val="auto"/>
              </w:rPr>
              <w:t>15,070,162</w:t>
            </w:r>
          </w:p>
        </w:tc>
      </w:tr>
      <w:tr>
        <w:trPr>
          <w:trHeight w:val="189"/>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64"/>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(60,043)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Arial" w:cs="Arial" w:eastAsia="Arial" w:hAnsi="Arial"/>
                <w:sz w:val="12"/>
                <w:szCs w:val="12"/>
                <w:color w:val="auto"/>
              </w:rPr>
              <w:t>(125,432)</w:t>
            </w:r>
          </w:p>
        </w:tc>
      </w:tr>
      <w:tr>
        <w:trPr>
          <w:trHeight w:val="197"/>
        </w:trPr>
        <w:tc>
          <w:tcPr>
            <w:tcW w:w="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(920,142)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(896,354)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(807,378)</w:t>
            </w:r>
          </w:p>
        </w:tc>
      </w:tr>
      <w:tr>
        <w:trPr>
          <w:trHeight w:val="178"/>
        </w:trPr>
        <w:tc>
          <w:tcPr>
            <w:tcW w:w="760" w:type="dxa"/>
            <w:vAlign w:val="bottom"/>
          </w:tcPr>
          <w:p>
            <w:pPr>
              <w:spacing w:after="0"/>
              <w:rPr>
                <w:sz w:val="20"/>
                <w:szCs w:val="20"/>
                <w:color w:val="auto"/>
              </w:rPr>
            </w:pPr>
            <w:r>
              <w:rPr>
                <w:rFonts w:ascii="Arial" w:cs="Arial" w:eastAsia="Arial" w:hAnsi="Arial"/>
                <w:sz w:val="12"/>
                <w:szCs w:val="12"/>
                <w:color w:val="auto"/>
              </w:rPr>
              <w:t>[b]</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14,607,424</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14,172,348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14,137,352</w:t>
            </w:r>
          </w:p>
        </w:tc>
      </w:tr>
      <w:tr>
        <w:trPr>
          <w:trHeight w:val="20"/>
        </w:trPr>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-513715</wp:posOffset>
            </wp:positionV>
            <wp:extent cx="7178040" cy="125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-267970</wp:posOffset>
            </wp:positionV>
            <wp:extent cx="717804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-10795</wp:posOffset>
            </wp:positionV>
            <wp:extent cx="7178040" cy="108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640" w:space="720"/>
            <w:col w:w="4940"/>
          </w:cols>
          <w:pgMar w:left="300" w:top="910" w:right="299" w:bottom="1440" w:gutter="0" w:footer="0" w:header="0"/>
          <w:type w:val="continuous"/>
        </w:sectPr>
      </w:pPr>
    </w:p>
    <w:p>
      <w:pPr>
        <w:spacing w:after="0"/>
        <w:tabs>
          <w:tab w:leader="none" w:pos="6340" w:val="left"/>
          <w:tab w:leader="none" w:pos="8000" w:val="left"/>
          <w:tab w:leader="none" w:pos="9400" w:val="left"/>
          <w:tab w:leader="none" w:pos="10820" w:val="left"/>
        </w:tabs>
        <w:rPr>
          <w:sz w:val="20"/>
          <w:szCs w:val="20"/>
          <w:color w:val="auto"/>
        </w:rPr>
      </w:pPr>
      <w:r>
        <w:rPr>
          <w:rFonts w:ascii="Arial" w:cs="Arial" w:eastAsia="Arial" w:hAnsi="Arial"/>
          <w:sz w:val="12"/>
          <w:szCs w:val="12"/>
          <w:color w:val="auto"/>
        </w:rPr>
        <w:t>Core deposits to total deposits (Non-GAAP)</w:t>
      </w:r>
      <w:r>
        <w:rPr>
          <w:sz w:val="20"/>
          <w:szCs w:val="20"/>
          <w:color w:val="auto"/>
        </w:rPr>
        <w:tab/>
      </w:r>
      <w:r>
        <w:rPr>
          <w:rFonts w:ascii="Arial" w:cs="Arial" w:eastAsia="Arial" w:hAnsi="Arial"/>
          <w:sz w:val="12"/>
          <w:szCs w:val="12"/>
          <w:color w:val="auto"/>
        </w:rPr>
        <w:t>[b÷a]</w:t>
      </w:r>
      <w:r>
        <w:rPr>
          <w:sz w:val="20"/>
          <w:szCs w:val="20"/>
          <w:color w:val="auto"/>
        </w:rPr>
        <w:tab/>
      </w:r>
      <w:r>
        <w:rPr>
          <w:rFonts w:ascii="Arial" w:cs="Arial" w:eastAsia="Arial" w:hAnsi="Arial"/>
          <w:sz w:val="12"/>
          <w:szCs w:val="12"/>
          <w:color w:val="auto"/>
        </w:rPr>
        <w:t>94.01 %</w:t>
      </w:r>
      <w:r>
        <w:rPr>
          <w:sz w:val="20"/>
          <w:szCs w:val="20"/>
          <w:color w:val="auto"/>
        </w:rPr>
        <w:tab/>
      </w:r>
      <w:r>
        <w:rPr>
          <w:rFonts w:ascii="Arial" w:cs="Arial" w:eastAsia="Arial" w:hAnsi="Arial"/>
          <w:sz w:val="12"/>
          <w:szCs w:val="12"/>
          <w:color w:val="auto"/>
        </w:rPr>
        <w:t>93.68 %</w:t>
      </w:r>
      <w:r>
        <w:rPr>
          <w:sz w:val="20"/>
          <w:szCs w:val="20"/>
          <w:color w:val="auto"/>
        </w:rPr>
        <w:tab/>
      </w:r>
      <w:r>
        <w:rPr>
          <w:rFonts w:ascii="Arial" w:cs="Arial" w:eastAsia="Arial" w:hAnsi="Arial"/>
          <w:sz w:val="11"/>
          <w:szCs w:val="11"/>
          <w:color w:val="auto"/>
        </w:rPr>
        <w:t>93.81 %</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17</w:t>
      </w:r>
    </w:p>
    <w:p>
      <w:pPr>
        <w:sectPr>
          <w:pgSz w:w="11900" w:h="16838" w:orient="portrait"/>
          <w:cols w:equalWidth="0" w:num="1">
            <w:col w:w="11300"/>
          </w:cols>
          <w:pgMar w:left="300" w:top="910" w:right="299" w:bottom="1440" w:gutter="0" w:footer="0" w:header="0"/>
          <w:type w:val="continuous"/>
        </w:sectPr>
      </w:pPr>
    </w:p>
    <w:bookmarkStart w:id="21" w:name="page22"/>
    <w:bookmarkEnd w:id="21"/>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FORWARD-LOOKING STATEMENTS</w:t>
      </w:r>
    </w:p>
    <w:p>
      <w:pPr>
        <w:spacing w:after="0" w:line="13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This press release may contain “forward-looking statements” within the meaning of the Private Securities Litigation Reform Act of 1995, Section 27A of the Securities Act of 1933, as amended, and Section 21E of the Securities Exchange Act of 1934, as amended,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92" w:lineRule="exact"/>
        <w:rPr>
          <w:sz w:val="20"/>
          <w:szCs w:val="20"/>
          <w:color w:val="auto"/>
        </w:rPr>
      </w:pPr>
    </w:p>
    <w:p>
      <w:pPr>
        <w:jc w:val="both"/>
        <w:ind w:left="8"/>
        <w:spacing w:after="0" w:line="251" w:lineRule="auto"/>
        <w:rPr>
          <w:sz w:val="20"/>
          <w:szCs w:val="20"/>
          <w:color w:val="auto"/>
        </w:rPr>
      </w:pPr>
      <w:r>
        <w:rPr>
          <w:rFonts w:ascii="Arial" w:cs="Arial" w:eastAsia="Arial" w:hAnsi="Arial"/>
          <w:sz w:val="12"/>
          <w:szCs w:val="12"/>
          <w:color w:val="auto"/>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 governmental policies (including those concerning Busey's general business); (3) the economic impact of any future terrorist threats or attacks, widespread disease or pandemics, military conflicts, acts of war or threats thereof, or other adverse external events that could increase levels of political and economic unpredictability, contribute to rising energy and commodity prices, affect global supply chains, increase the volatility of financial markets, and other matters beyond our control (including the conflicts in the Middle East and Russia’s invasion of Ukraine); (4) unexpected results of acquisitions,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the impact of bank failures or adverse developments at other banks and related negative publicity about the banking industry, including investor and depositor sentiment regarding bank stability and liquidity; (7) new or revised accounting policies and practices as may be adopted by state and federal regulatory banking agencies, the Financial Accounting Standards Board, the Securities and Exchange Commission, or the Public Company Accounting Oversight Board; (8) changes in interest rates and prepayment rates of Busey’s assets (including as a result of the recent increase in the benchmark federal funds rate by the Federal Reserve); (9) increased competition in the financial services sector (including from non-bank competitors such as credit unions, digital asset service providers, private credit, and fintech companies) and the inability to attract new customers; (10) technological changes implemented by us and other parties, including our third-party vendors, which may have unforeseen consequences to us and our customers, including the development and implementation of tools incorporating artificial intelligence; (11) the loss of key executives or associates, talent shortages, and employee turnover; (12) unexpected outcomes and costs of existing or new litigation, investigations, or other legal proceedings, inquiries, and regulatory actions involving Busey (including with respect to Busey’s Illinois franchise taxes);</w:t>
      </w:r>
    </w:p>
    <w:p>
      <w:pPr>
        <w:spacing w:after="0" w:line="8" w:lineRule="exact"/>
        <w:rPr>
          <w:sz w:val="20"/>
          <w:szCs w:val="20"/>
          <w:color w:val="auto"/>
        </w:rPr>
      </w:pPr>
    </w:p>
    <w:p>
      <w:pPr>
        <w:jc w:val="both"/>
        <w:ind w:left="8" w:hanging="8"/>
        <w:spacing w:after="0" w:line="252" w:lineRule="auto"/>
        <w:tabs>
          <w:tab w:leader="none" w:pos="263" w:val="left"/>
        </w:tabs>
        <w:numPr>
          <w:ilvl w:val="0"/>
          <w:numId w:val="12"/>
        </w:numPr>
        <w:rPr>
          <w:rFonts w:ascii="Arial" w:cs="Arial" w:eastAsia="Arial" w:hAnsi="Arial"/>
          <w:sz w:val="12"/>
          <w:szCs w:val="12"/>
          <w:color w:val="auto"/>
        </w:rPr>
      </w:pPr>
      <w:r>
        <w:rPr>
          <w:rFonts w:ascii="Arial" w:cs="Arial" w:eastAsia="Arial" w:hAnsi="Arial"/>
          <w:sz w:val="12"/>
          <w:szCs w:val="12"/>
          <w:color w:val="auto"/>
        </w:rPr>
        <w:t>fluctuations in the value of securities held in Busey’s securities portfolio, including as a result of changes in interest rates; (14) credit risk and risk from concentrations (by type of borrower, geographic area, collateral, and industry) within Busey's loan portfolio and large loans to certain borrowers (including commercial real estate loans); (15) the concentration of large deposits from certain clients who have balances above current Federal Deposit Insurance Corporation insurance limits and may withdraw deposits to diversify their exposure; (16) the level of non-performing assets on Busey’s balance sheets; (17) interruptions involving information technology and communications systems or third-party vendors; (18) breaches or failures of information security controls or cybersecurity-related incidents; (19) the availability of future equity and debt issuances and other capital raising opportunities on favorable terms; (20) the economic impact on Busey and its customers of climate change, natural disasters, and exceptional weather occurrences such as tornadoes, hurricanes, floods, blizzards, and droughts; (21) the ability to successfully manage liquidity risk, which may increase dependence on non-core funding sources such as brokered deposits, and may negatively impact Busey's cost of funds; (22) the ability to maintain an adequate level of allowance for credit losses on loans; (23) the effectiveness of Busey’s risk management framework; and (24) the ability of Busey to manage the risks associated with the foregoing. These risks and uncertainties should be considered in evaluating forward-looking statements and undue reliance should not be placed on such statements.</w:t>
      </w:r>
    </w:p>
    <w:p>
      <w:pPr>
        <w:spacing w:after="0" w:line="98"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Additional information concerning Busey and its business, including additional factors that could materially affect Busey’s financial results, is included in Busey’s filings with the Securities and Exchange Commission.</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18</w:t>
      </w:r>
    </w:p>
    <w:p>
      <w:pPr>
        <w:sectPr>
          <w:pgSz w:w="11900" w:h="16838" w:orient="portrait"/>
          <w:cols w:equalWidth="0" w:num="1">
            <w:col w:w="11308"/>
          </w:cols>
          <w:pgMar w:left="292" w:top="910"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END NOTES</w:t>
      </w:r>
    </w:p>
    <w:p>
      <w:pPr>
        <w:spacing w:after="0" w:line="177" w:lineRule="exact"/>
        <w:rPr>
          <w:sz w:val="20"/>
          <w:szCs w:val="20"/>
          <w:color w:val="auto"/>
        </w:rPr>
      </w:pPr>
    </w:p>
    <w:p>
      <w:pPr>
        <w:ind w:left="420" w:hanging="416"/>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Annualized measure.</w:t>
      </w:r>
    </w:p>
    <w:p>
      <w:pPr>
        <w:spacing w:after="0" w:line="51" w:lineRule="exact"/>
        <w:rPr>
          <w:sz w:val="20"/>
          <w:szCs w:val="20"/>
          <w:color w:val="auto"/>
        </w:rPr>
      </w:pPr>
    </w:p>
    <w:p>
      <w:pPr>
        <w:ind w:left="420" w:right="160" w:hanging="416"/>
        <w:spacing w:after="0" w:line="28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a non-GAAP financial measure. For a reconciliation to the most directly comparable financial measure calculated and presented in accordance with Generally Accepted Accounting Principles (“GAAP”),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w:t>
      </w:r>
    </w:p>
    <w:p>
      <w:pPr>
        <w:spacing w:after="0" w:line="4" w:lineRule="exact"/>
        <w:rPr>
          <w:sz w:val="20"/>
          <w:szCs w:val="20"/>
          <w:color w:val="auto"/>
        </w:rPr>
      </w:pPr>
    </w:p>
    <w:p>
      <w:pPr>
        <w:ind w:left="420" w:hanging="416"/>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Capital amounts and ratios as of September 30, 2026, are not yet finalized and are subject to change.</w:t>
      </w:r>
    </w:p>
    <w:p>
      <w:pPr>
        <w:spacing w:after="0" w:line="51" w:lineRule="exact"/>
        <w:rPr>
          <w:sz w:val="20"/>
          <w:szCs w:val="20"/>
          <w:color w:val="auto"/>
        </w:rPr>
      </w:pPr>
    </w:p>
    <w:p>
      <w:pPr>
        <w:ind w:left="420" w:hanging="416"/>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blended benchmark consists of 60% MSCI All Country World Index and 40% Bloomberg Intermediate US Government/Credit Total Return Index.</w:t>
      </w:r>
    </w:p>
    <w:p>
      <w:pPr>
        <w:spacing w:after="0" w:line="51" w:lineRule="exact"/>
        <w:rPr>
          <w:sz w:val="20"/>
          <w:szCs w:val="20"/>
          <w:color w:val="auto"/>
        </w:rPr>
      </w:pPr>
    </w:p>
    <w:p>
      <w:pPr>
        <w:ind w:left="420" w:right="40" w:hanging="416"/>
        <w:spacing w:after="0" w:line="28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and off-balance sheet liquidity is comprised of cash and cash equivalents, debt securities excluding those pledged as collateral, brokered deposits, and Busey’s borrowing capacity through its revolving credit facility, the FHLB, the Federal Reserve Bank, and federal funds purchased lines.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2026 </w:t>
      </w:r>
      <w:r>
        <w:rPr>
          <w:rFonts w:ascii="Arial" w:cs="Arial" w:eastAsia="Arial" w:hAnsi="Arial"/>
          <w:sz w:val="12"/>
          <w:szCs w:val="12"/>
          <w:b w:val="1"/>
          <w:bCs w:val="1"/>
          <w:color w:val="808285"/>
        </w:rPr>
        <w:t>Q3</w:t>
      </w:r>
      <w:r>
        <w:rPr>
          <w:rFonts w:ascii="Arial" w:cs="Arial" w:eastAsia="Arial" w:hAnsi="Arial"/>
          <w:sz w:val="12"/>
          <w:szCs w:val="12"/>
          <w:color w:val="808285"/>
        </w:rPr>
        <w:t xml:space="preserve"> — </w:t>
      </w:r>
      <w:r>
        <w:rPr>
          <w:rFonts w:ascii="Arial" w:cs="Arial" w:eastAsia="Arial" w:hAnsi="Arial"/>
          <w:sz w:val="12"/>
          <w:szCs w:val="12"/>
          <w:b w:val="1"/>
          <w:bCs w:val="1"/>
          <w:color w:val="376484"/>
        </w:rPr>
        <w:t>19</w:t>
      </w:r>
    </w:p>
    <w:p>
      <w:pPr>
        <w:sectPr>
          <w:pgSz w:w="11900" w:h="16838" w:orient="portrait"/>
          <w:cols w:equalWidth="0" w:num="1">
            <w:col w:w="11300"/>
          </w:cols>
          <w:pgMar w:left="300" w:top="910" w:right="2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6017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601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FFFFFF"/>
        </w:rPr>
        <w:t>FIRST BUSEY CORPORATION</w:t>
      </w:r>
    </w:p>
    <w:p>
      <w:pPr>
        <w:spacing w:after="0" w:line="29" w:lineRule="exact"/>
        <w:rPr>
          <w:sz w:val="20"/>
          <w:szCs w:val="20"/>
          <w:color w:val="auto"/>
        </w:rPr>
      </w:pPr>
    </w:p>
    <w:p>
      <w:pPr>
        <w:ind w:left="3780"/>
        <w:spacing w:after="0"/>
        <w:rPr>
          <w:sz w:val="20"/>
          <w:szCs w:val="20"/>
          <w:color w:val="auto"/>
        </w:rPr>
      </w:pPr>
      <w:r>
        <w:rPr>
          <w:rFonts w:ascii="Arial" w:cs="Arial" w:eastAsia="Arial" w:hAnsi="Arial"/>
          <w:sz w:val="12"/>
          <w:szCs w:val="12"/>
          <w:color w:val="FFFFFF"/>
        </w:rPr>
        <w:t>11440 Tomahawk Creek Parkway, Leawood, KS 66211</w:t>
      </w:r>
    </w:p>
    <w:p>
      <w:pPr>
        <w:spacing w:after="0" w:line="73" w:lineRule="exact"/>
        <w:rPr>
          <w:sz w:val="20"/>
          <w:szCs w:val="20"/>
          <w:color w:val="auto"/>
        </w:rPr>
      </w:pPr>
    </w:p>
    <w:p>
      <w:pPr>
        <w:ind w:left="4780"/>
        <w:spacing w:after="0"/>
        <w:rPr>
          <w:sz w:val="20"/>
          <w:szCs w:val="20"/>
          <w:color w:val="auto"/>
        </w:rPr>
      </w:pPr>
      <w:r>
        <w:rPr>
          <w:rFonts w:ascii="Arial" w:cs="Arial" w:eastAsia="Arial" w:hAnsi="Arial"/>
          <w:sz w:val="12"/>
          <w:szCs w:val="12"/>
          <w:color w:val="FFFFFF"/>
        </w:rPr>
        <w:t>NASDAQ: BUSE</w:t>
      </w:r>
    </w:p>
    <w:p>
      <w:pPr>
        <w:spacing w:after="0" w:line="60"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FFFFFF"/>
        </w:rPr>
        <w:t>Busey 2026 |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FFFFFF"/>
        </w:rPr>
        <w:t>100 West University Avenue, Champaign, IL 61820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0280" w:val="left"/>
        </w:tabs>
        <w:rPr>
          <w:sz w:val="20"/>
          <w:szCs w:val="20"/>
          <w:color w:val="auto"/>
        </w:rPr>
      </w:pPr>
      <w:r>
        <w:rPr>
          <w:rFonts w:ascii="Arial" w:cs="Arial" w:eastAsia="Arial" w:hAnsi="Arial"/>
          <w:sz w:val="12"/>
          <w:szCs w:val="12"/>
          <w:color w:val="FFFFFF"/>
        </w:rPr>
        <w:t>Member FDIC</w:t>
      </w:r>
      <w:r>
        <w:rPr>
          <w:sz w:val="20"/>
          <w:szCs w:val="20"/>
          <w:color w:val="auto"/>
        </w:rPr>
        <w:tab/>
      </w:r>
      <w:r>
        <w:rPr>
          <w:rFonts w:ascii="Arial" w:cs="Arial" w:eastAsia="Arial" w:hAnsi="Arial"/>
          <w:sz w:val="11"/>
          <w:szCs w:val="11"/>
          <w:color w:val="FFFFFF"/>
        </w:rPr>
        <w:t>busey.com</w:t>
      </w:r>
    </w:p>
    <w:p>
      <w:pPr>
        <w:sectPr>
          <w:pgSz w:w="11900" w:h="16838" w:orient="portrait"/>
          <w:cols w:equalWidth="0" w:num="1">
            <w:col w:w="10860"/>
          </w:cols>
          <w:pgMar w:left="720" w:top="1440" w:right="319" w:bottom="1440" w:gutter="0" w:footer="0" w:header="0"/>
        </w:sectPr>
      </w:pPr>
    </w:p>
    <w:bookmarkStart w:id="24" w:name="page25"/>
    <w:bookmarkEnd w:id="24"/>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0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decimal"/>
      <w:start w:val="13"/>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3"/>
      <w:numFmt w:val="bullet"/>
      <w:start w:val="1"/>
    </w:lvl>
  </w:abstractNum>
  <w:abstractNum w:abstractNumId="15">
    <w:nsid w:val="4E6AFB66"/>
    <w:multiLevelType w:val="hybridMultilevel"/>
    <w:lvl w:ilvl="0">
      <w:lvlJc w:val="left"/>
      <w:lvlText w:val="4"/>
      <w:numFmt w:val="bullet"/>
      <w:start w:val="1"/>
    </w:lvl>
  </w:abstractNum>
  <w:abstractNum w:abstractNumId="16">
    <w:nsid w:val="25E45D3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2026-10-27T16:05:04Z</dcterms:created>
  <dcterms:modified xsi:type="dcterms:W3CDTF">2026-10-27T16:05:04Z</dcterms:modified>
</cp:coreProperties>
</file>